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Table of Contents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81"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SECURITIES AND EXCHANGE COMMISSION</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Washington, D.C. 20549</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24"/>
          <w:szCs w:val="24"/>
          <w:b w:val="1"/>
          <w:bCs w:val="1"/>
          <w:color w:val="auto"/>
        </w:rPr>
        <w:t>SCHEDULE 14A</w:t>
      </w:r>
    </w:p>
    <w:p>
      <w:pPr>
        <w:spacing w:after="0" w:line="278"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181"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Exchange Act of 1934 (Amendment No. ___)</w:t>
      </w:r>
    </w:p>
    <w:p>
      <w:pPr>
        <w:spacing w:after="0" w:line="226" w:lineRule="exact"/>
        <w:rPr>
          <w:sz w:val="24"/>
          <w:szCs w:val="24"/>
          <w:color w:val="auto"/>
        </w:rPr>
      </w:pPr>
    </w:p>
    <w:p>
      <w:pPr>
        <w:ind w:left="920" w:hanging="163"/>
        <w:spacing w:after="0" w:line="184" w:lineRule="exact"/>
        <w:tabs>
          <w:tab w:leader="none" w:pos="9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Filed by the Registrant </w:t>
      </w:r>
      <w:r>
        <w:rPr>
          <w:rFonts w:ascii="Arial" w:cs="Arial" w:eastAsia="Arial" w:hAnsi="Arial"/>
          <w:sz w:val="16"/>
          <w:szCs w:val="16"/>
          <w:color w:val="3E3935"/>
        </w:rPr>
        <w:t xml:space="preserve">                                              </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3E3935"/>
        </w:rPr>
        <w:t xml:space="preserve"> </w:t>
      </w:r>
      <w:r>
        <w:rPr>
          <w:rFonts w:ascii="Arial" w:cs="Arial" w:eastAsia="Arial" w:hAnsi="Arial"/>
          <w:sz w:val="16"/>
          <w:szCs w:val="16"/>
          <w:color w:val="auto"/>
        </w:rPr>
        <w:t xml:space="preserve"> Filed</w:t>
      </w:r>
      <w:r>
        <w:rPr>
          <w:rFonts w:ascii="Arial" w:cs="Arial" w:eastAsia="Arial" w:hAnsi="Arial"/>
          <w:sz w:val="16"/>
          <w:szCs w:val="16"/>
          <w:color w:val="3E3935"/>
        </w:rPr>
        <w:t xml:space="preserve"> </w:t>
      </w:r>
      <w:r>
        <w:rPr>
          <w:rFonts w:ascii="Arial" w:cs="Arial" w:eastAsia="Arial" w:hAnsi="Arial"/>
          <w:sz w:val="16"/>
          <w:szCs w:val="16"/>
          <w:color w:val="auto"/>
        </w:rPr>
        <w:t xml:space="preserve"> by a Party other than the Registrant</w:t>
      </w:r>
    </w:p>
    <w:p>
      <w:pPr>
        <w:spacing w:after="0" w:line="359" w:lineRule="exact"/>
        <w:rPr>
          <w:sz w:val="24"/>
          <w:szCs w:val="24"/>
          <w:color w:val="auto"/>
        </w:rPr>
      </w:pPr>
    </w:p>
    <w:p>
      <w:pPr>
        <w:ind w:left="180"/>
        <w:spacing w:after="0"/>
        <w:rPr>
          <w:sz w:val="20"/>
          <w:szCs w:val="20"/>
          <w:color w:val="auto"/>
        </w:rPr>
      </w:pPr>
      <w:r>
        <w:rPr>
          <w:rFonts w:ascii="Arial" w:cs="Arial" w:eastAsia="Arial" w:hAnsi="Arial"/>
          <w:sz w:val="23"/>
          <w:szCs w:val="23"/>
          <w:b w:val="1"/>
          <w:bCs w:val="1"/>
          <w:color w:val="auto"/>
        </w:rPr>
        <w:t>Check the appropriate box:</w:t>
      </w:r>
    </w:p>
    <w:p>
      <w:pPr>
        <w:spacing w:after="0" w:line="65" w:lineRule="exact"/>
        <w:rPr>
          <w:sz w:val="24"/>
          <w:szCs w:val="24"/>
          <w:color w:val="auto"/>
        </w:rPr>
      </w:pPr>
    </w:p>
    <w:p>
      <w:pPr>
        <w:ind w:left="560" w:hanging="374"/>
        <w:spacing w:after="0"/>
        <w:tabs>
          <w:tab w:leader="none" w:pos="560" w:val="left"/>
        </w:tabs>
        <w:numPr>
          <w:ilvl w:val="0"/>
          <w:numId w:val="2"/>
        </w:numPr>
        <w:rPr>
          <w:rFonts w:ascii="MS PGothic" w:cs="MS PGothic" w:eastAsia="MS PGothic" w:hAnsi="MS PGothic"/>
          <w:sz w:val="20"/>
          <w:szCs w:val="20"/>
          <w:color w:val="auto"/>
        </w:rPr>
      </w:pPr>
      <w:r>
        <w:rPr>
          <w:rFonts w:ascii="Arial" w:cs="Arial" w:eastAsia="Arial" w:hAnsi="Arial"/>
          <w:sz w:val="16"/>
          <w:szCs w:val="16"/>
          <w:color w:val="auto"/>
        </w:rPr>
        <w:t>Preliminary Proxy Statement</w:t>
      </w:r>
    </w:p>
    <w:p>
      <w:pPr>
        <w:spacing w:after="0" w:line="70" w:lineRule="exact"/>
        <w:rPr>
          <w:sz w:val="24"/>
          <w:szCs w:val="24"/>
          <w:color w:val="auto"/>
        </w:rPr>
      </w:pPr>
    </w:p>
    <w:p>
      <w:pPr>
        <w:ind w:left="18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16"/>
          <w:szCs w:val="16"/>
          <w:color w:val="auto"/>
        </w:rPr>
        <w:t>Confidential, for Use of the Commission Only (as permitted by Rule 14a-6(e)(2))</w:t>
      </w:r>
    </w:p>
    <w:p>
      <w:pPr>
        <w:spacing w:after="0" w:line="40" w:lineRule="exact"/>
        <w:rPr>
          <w:sz w:val="24"/>
          <w:szCs w:val="24"/>
          <w:color w:val="auto"/>
        </w:rPr>
      </w:pPr>
    </w:p>
    <w:p>
      <w:pPr>
        <w:ind w:left="180" w:right="5779" w:firstLine="6"/>
        <w:spacing w:after="0" w:line="271" w:lineRule="exact"/>
        <w:tabs>
          <w:tab w:leader="none" w:pos="548" w:val="left"/>
        </w:tabs>
        <w:numPr>
          <w:ilvl w:val="0"/>
          <w:numId w:val="3"/>
        </w:numPr>
        <w:rPr>
          <w:rFonts w:ascii="MS PGothic" w:cs="MS PGothic" w:eastAsia="MS PGothic" w:hAnsi="MS PGothic"/>
          <w:sz w:val="20"/>
          <w:szCs w:val="20"/>
          <w:color w:val="auto"/>
        </w:rPr>
      </w:pPr>
      <w:r>
        <w:rPr>
          <w:rFonts w:ascii="Arial" w:cs="Arial" w:eastAsia="Arial" w:hAnsi="Arial"/>
          <w:sz w:val="16"/>
          <w:szCs w:val="16"/>
          <w:color w:val="auto"/>
        </w:rPr>
        <w:t xml:space="preserve">Definitive Proxy Statement </w:t>
      </w: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6"/>
          <w:szCs w:val="16"/>
          <w:color w:val="auto"/>
        </w:rPr>
        <w:t>Definitive Additional Materials</w:t>
      </w:r>
      <w:r>
        <w:rPr>
          <w:rFonts w:ascii="Arial" w:cs="Arial" w:eastAsia="Arial" w:hAnsi="Arial"/>
          <w:sz w:val="19"/>
          <w:szCs w:val="19"/>
          <w:b w:val="1"/>
          <w:bCs w:val="1"/>
          <w:color w:val="auto"/>
        </w:rPr>
        <w:t xml:space="preserve"> </w:t>
      </w: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6"/>
          <w:szCs w:val="16"/>
          <w:color w:val="auto"/>
        </w:rPr>
        <w:t>Soliciting Material under §.240.14a-12</w:t>
      </w:r>
    </w:p>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0956FF"/>
        </w:rPr>
        <w:t>GENERAL MOTORS COMPANY</w:t>
      </w:r>
    </w:p>
    <w:p>
      <w:pPr>
        <w:spacing w:after="0" w:line="242" w:lineRule="exact"/>
        <w:rPr>
          <w:sz w:val="24"/>
          <w:szCs w:val="24"/>
          <w:color w:val="auto"/>
        </w:rPr>
      </w:pPr>
    </w:p>
    <w:p>
      <w:pPr>
        <w:ind w:left="2720"/>
        <w:spacing w:after="0"/>
        <w:rPr>
          <w:sz w:val="20"/>
          <w:szCs w:val="20"/>
          <w:color w:val="auto"/>
        </w:rPr>
      </w:pPr>
      <w:r>
        <w:rPr>
          <w:rFonts w:ascii="Arial" w:cs="Arial" w:eastAsia="Arial" w:hAnsi="Arial"/>
          <w:sz w:val="16"/>
          <w:szCs w:val="16"/>
          <w:color w:val="auto"/>
        </w:rPr>
        <w:t>1240 Woodward Avenue, Detroit, Michigan 48265</w:t>
      </w:r>
    </w:p>
    <w:p>
      <w:pPr>
        <w:spacing w:after="0" w:line="250"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67" w:lineRule="exact"/>
        <w:rPr>
          <w:sz w:val="24"/>
          <w:szCs w:val="24"/>
          <w:color w:val="auto"/>
        </w:rPr>
      </w:pPr>
    </w:p>
    <w:p>
      <w:pPr>
        <w:jc w:val="center"/>
        <w:ind w:right="-24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321" w:lineRule="exact"/>
        <w:rPr>
          <w:sz w:val="24"/>
          <w:szCs w:val="24"/>
          <w:color w:val="auto"/>
        </w:rPr>
      </w:pPr>
    </w:p>
    <w:p>
      <w:pPr>
        <w:ind w:left="180"/>
        <w:spacing w:after="0"/>
        <w:rPr>
          <w:sz w:val="20"/>
          <w:szCs w:val="20"/>
          <w:color w:val="auto"/>
        </w:rPr>
      </w:pPr>
      <w:r>
        <w:rPr>
          <w:rFonts w:ascii="Arial" w:cs="Arial" w:eastAsia="Arial" w:hAnsi="Arial"/>
          <w:sz w:val="23"/>
          <w:szCs w:val="23"/>
          <w:b w:val="1"/>
          <w:bCs w:val="1"/>
          <w:color w:val="auto"/>
        </w:rPr>
        <w:t>Payment of Filing Fee (Check all boxes that apply):</w:t>
      </w:r>
    </w:p>
    <w:p>
      <w:pPr>
        <w:spacing w:after="0" w:line="65" w:lineRule="exact"/>
        <w:rPr>
          <w:sz w:val="24"/>
          <w:szCs w:val="24"/>
          <w:color w:val="auto"/>
        </w:rPr>
      </w:pPr>
    </w:p>
    <w:p>
      <w:pPr>
        <w:ind w:left="600" w:hanging="414"/>
        <w:spacing w:after="0"/>
        <w:tabs>
          <w:tab w:leader="none" w:pos="6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600" w:hanging="414"/>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86" w:lineRule="exact"/>
        <w:rPr>
          <w:rFonts w:ascii="MS PGothic" w:cs="MS PGothic" w:eastAsia="MS PGothic" w:hAnsi="MS PGothic"/>
          <w:sz w:val="16"/>
          <w:szCs w:val="16"/>
          <w:color w:val="auto"/>
        </w:rPr>
      </w:pPr>
    </w:p>
    <w:p>
      <w:pPr>
        <w:ind w:left="600" w:hanging="414"/>
        <w:spacing w:after="0"/>
        <w:tabs>
          <w:tab w:leader="none" w:pos="6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9059"/>
          </w:cols>
          <w:pgMar w:left="1400" w:top="495" w:right="1440" w:bottom="1440" w:gutter="0" w:footer="0" w:header="0"/>
        </w:sectPr>
      </w:pPr>
    </w:p>
    <w:bookmarkStart w:id="1" w:name="page2"/>
    <w:bookmarkEnd w:id="1"/>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6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To Our Fellow Shareholders,</w:t>
      </w:r>
    </w:p>
    <w:p>
      <w:pPr>
        <w:spacing w:after="0" w:line="149" w:lineRule="exact"/>
        <w:rPr>
          <w:sz w:val="20"/>
          <w:szCs w:val="20"/>
          <w:color w:val="auto"/>
        </w:rPr>
      </w:pPr>
    </w:p>
    <w:p>
      <w:pPr>
        <w:ind w:right="159"/>
        <w:spacing w:after="0" w:line="283" w:lineRule="auto"/>
        <w:rPr>
          <w:sz w:val="20"/>
          <w:szCs w:val="20"/>
          <w:color w:val="auto"/>
        </w:rPr>
      </w:pPr>
      <w:r>
        <w:rPr>
          <w:rFonts w:ascii="Arial" w:cs="Arial" w:eastAsia="Arial" w:hAnsi="Arial"/>
          <w:sz w:val="18"/>
          <w:szCs w:val="18"/>
          <w:color w:val="auto"/>
        </w:rPr>
        <w:t>In advance of the 2026 Annual Meeting of Shareholders, we are pleased to report strong momentum at General Motors Company (“GM”, the “Company”, “we” or “us”), based on a multiyear foundation of product excellence, operating discipline, and resilience, that we believe sets the foundation for a bright future and differentiates the Company from its peers.</w:t>
      </w:r>
    </w:p>
    <w:p>
      <w:pPr>
        <w:spacing w:after="0" w:line="200" w:lineRule="exact"/>
        <w:rPr>
          <w:sz w:val="20"/>
          <w:szCs w:val="20"/>
          <w:color w:val="auto"/>
        </w:rPr>
      </w:pPr>
    </w:p>
    <w:p>
      <w:pPr>
        <w:spacing w:after="0" w:line="303" w:lineRule="exact"/>
        <w:rPr>
          <w:sz w:val="20"/>
          <w:szCs w:val="20"/>
          <w:color w:val="auto"/>
        </w:rPr>
      </w:pPr>
    </w:p>
    <w:p>
      <w:pPr>
        <w:jc w:val="center"/>
        <w:ind w:left="1640" w:right="280"/>
        <w:spacing w:after="0" w:line="264" w:lineRule="auto"/>
        <w:rPr>
          <w:sz w:val="20"/>
          <w:szCs w:val="20"/>
          <w:color w:val="auto"/>
        </w:rPr>
      </w:pPr>
      <w:r>
        <w:rPr>
          <w:rFonts w:ascii="Arial" w:cs="Arial" w:eastAsia="Arial" w:hAnsi="Arial"/>
          <w:sz w:val="25"/>
          <w:szCs w:val="25"/>
          <w:b w:val="1"/>
          <w:bCs w:val="1"/>
          <w:color w:val="0956FF"/>
        </w:rPr>
        <w:t>Three Core Success Drivers: Agile Strategy, Operational Excellence, and Balanced Capital Allocation</w:t>
      </w:r>
    </w:p>
    <w:p>
      <w:pPr>
        <w:spacing w:after="0" w:line="21"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color w:val="auto"/>
        </w:rPr>
        <w:t>In 2025, the Board was actively engaged in shaping and overseeing the Company’s strategy, which remains focused on delivering exceptional products our customers love that drive profitability and growth. The Company responded with agility to major trade policy and regulatory shifts impacting our industry, as we worked with management to pivot capital investment priorities across our strategic pillars by increasing focus on highly profitable internal combustion engine products and proactively reducing EV capacity, including through rightsizing our manufacturing footprint and battery cell capacity to align with market demand. In connection with this strategic EV realignment, we impaired certain EV assets and recorded other charges that we believe will help us achieve improved EV profitability in the future. The Company believes demand for EVs will grow over the long term, so it continues to execute its plan to make them more profitable and more accessible to consumers, including by launching an innovative Lithium Manganese-Rich battery chemistry to reduce cell costs. Ensuring our EV business is well-positioned for the future will require continued investment, but at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lower levels.</w:t>
      </w:r>
    </w:p>
    <w:p>
      <w:pPr>
        <w:spacing w:after="0" w:line="212" w:lineRule="exact"/>
        <w:rPr>
          <w:sz w:val="20"/>
          <w:szCs w:val="20"/>
          <w:color w:val="auto"/>
        </w:rPr>
      </w:pPr>
    </w:p>
    <w:p>
      <w:pPr>
        <w:ind w:right="139"/>
        <w:spacing w:after="0" w:line="300" w:lineRule="auto"/>
        <w:rPr>
          <w:sz w:val="20"/>
          <w:szCs w:val="20"/>
          <w:color w:val="auto"/>
        </w:rPr>
      </w:pPr>
      <w:r>
        <w:rPr>
          <w:rFonts w:ascii="Arial" w:cs="Arial" w:eastAsia="Arial" w:hAnsi="Arial"/>
          <w:sz w:val="18"/>
          <w:szCs w:val="18"/>
          <w:color w:val="auto"/>
        </w:rPr>
        <w:t>We also accelerated our high-margin software and services lines of business, which included a record 12 million global subscribers for OnStar and nearly 80 percent year-over-year growth for Super Cruise to more than 620,000 subscribers, together driving over $5.4 billion in deferred revenue at the end of 2025.</w:t>
      </w:r>
    </w:p>
    <w:p>
      <w:pPr>
        <w:spacing w:after="0" w:line="128" w:lineRule="exact"/>
        <w:rPr>
          <w:sz w:val="20"/>
          <w:szCs w:val="20"/>
          <w:color w:val="auto"/>
        </w:rPr>
      </w:pPr>
    </w:p>
    <w:p>
      <w:pPr>
        <w:ind w:right="199"/>
        <w:spacing w:after="0" w:line="292" w:lineRule="auto"/>
        <w:rPr>
          <w:sz w:val="20"/>
          <w:szCs w:val="20"/>
          <w:color w:val="auto"/>
        </w:rPr>
      </w:pPr>
      <w:r>
        <w:rPr>
          <w:rFonts w:ascii="Arial" w:cs="Arial" w:eastAsia="Arial" w:hAnsi="Arial"/>
          <w:sz w:val="17"/>
          <w:szCs w:val="17"/>
          <w:color w:val="auto"/>
        </w:rPr>
        <w:t>Thanks to the Company’s ability to adapt in this dynamic environment, we achieved our highest full-year market share in a decade and fourth consecutive year of market growth. Further, the Company’s strong foundation and operational discipline facilitated all phases of our capital allocation program, from investing in the business and our people, to maintaining a strong balance sheet, and returning capital to shareholders. Given this performance, in January we took action to reaffirm our commitment to shareholder returns by authorizing a new $6 billion share repurchase program and increasing the quarterly dividend rate by 20 percent to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$0.18 per share.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market has endorsed our strategy and recognized our focus and discipline, resulting in exceptional</w:t>
      </w:r>
    </w:p>
    <w:p>
      <w:pPr>
        <w:spacing w:after="0" w:line="36" w:lineRule="exact"/>
        <w:rPr>
          <w:sz w:val="20"/>
          <w:szCs w:val="20"/>
          <w:color w:val="auto"/>
        </w:rPr>
      </w:pPr>
    </w:p>
    <w:p>
      <w:pPr>
        <w:ind w:right="139"/>
        <w:spacing w:after="0" w:line="318" w:lineRule="auto"/>
        <w:rPr>
          <w:sz w:val="20"/>
          <w:szCs w:val="20"/>
          <w:color w:val="auto"/>
        </w:rPr>
      </w:pPr>
      <w:r>
        <w:rPr>
          <w:rFonts w:ascii="Arial" w:cs="Arial" w:eastAsia="Arial" w:hAnsi="Arial"/>
          <w:sz w:val="18"/>
          <w:szCs w:val="18"/>
          <w:color w:val="auto"/>
        </w:rPr>
        <w:t>shareholder retur ns — over 50 percent total return for a second year in a row —that have outperformed key competitors as well as the S&amp;P 500 Index.</w:t>
      </w:r>
    </w:p>
    <w:p>
      <w:pPr>
        <w:spacing w:after="0" w:line="75" w:lineRule="exact"/>
        <w:rPr>
          <w:sz w:val="20"/>
          <w:szCs w:val="20"/>
          <w:color w:val="auto"/>
        </w:rPr>
      </w:pPr>
    </w:p>
    <w:p>
      <w:pPr>
        <w:ind w:left="3200"/>
        <w:spacing w:after="0"/>
        <w:rPr>
          <w:sz w:val="20"/>
          <w:szCs w:val="20"/>
          <w:color w:val="auto"/>
        </w:rPr>
      </w:pPr>
      <w:r>
        <w:rPr>
          <w:rFonts w:ascii="Arial" w:cs="Arial" w:eastAsia="Arial" w:hAnsi="Arial"/>
          <w:sz w:val="25"/>
          <w:szCs w:val="25"/>
          <w:b w:val="1"/>
          <w:bCs w:val="1"/>
          <w:color w:val="0956FF"/>
        </w:rPr>
        <w:t>Shaping the Board and</w:t>
      </w:r>
    </w:p>
    <w:p>
      <w:pPr>
        <w:ind w:left="2620"/>
        <w:spacing w:after="0"/>
        <w:rPr>
          <w:sz w:val="20"/>
          <w:szCs w:val="20"/>
          <w:color w:val="auto"/>
        </w:rPr>
      </w:pPr>
      <w:r>
        <w:rPr>
          <w:rFonts w:ascii="Arial" w:cs="Arial" w:eastAsia="Arial" w:hAnsi="Arial"/>
          <w:sz w:val="25"/>
          <w:szCs w:val="25"/>
          <w:b w:val="1"/>
          <w:bCs w:val="1"/>
          <w:color w:val="0956FF"/>
        </w:rPr>
        <w:t>Management Team of the Future</w:t>
      </w:r>
    </w:p>
    <w:p>
      <w:pPr>
        <w:spacing w:after="0" w:line="43" w:lineRule="exact"/>
        <w:rPr>
          <w:sz w:val="20"/>
          <w:szCs w:val="20"/>
          <w:color w:val="auto"/>
        </w:rPr>
      </w:pPr>
    </w:p>
    <w:p>
      <w:pPr>
        <w:ind w:right="739"/>
        <w:spacing w:after="0" w:line="318" w:lineRule="auto"/>
        <w:rPr>
          <w:sz w:val="20"/>
          <w:szCs w:val="20"/>
          <w:color w:val="auto"/>
        </w:rPr>
      </w:pPr>
      <w:r>
        <w:rPr>
          <w:rFonts w:ascii="Arial" w:cs="Arial" w:eastAsia="Arial" w:hAnsi="Arial"/>
          <w:sz w:val="18"/>
          <w:szCs w:val="18"/>
          <w:color w:val="auto"/>
        </w:rPr>
        <w:t>In 2026, we are continuing to prioritize alignment of the Company’s strategy with the best interests of our shareholders and customers, now and in the future.</w:t>
      </w:r>
    </w:p>
    <w:p>
      <w:pPr>
        <w:sectPr>
          <w:pgSz w:w="11900" w:h="16838" w:orient="portrait"/>
          <w:cols w:equalWidth="0" w:num="1">
            <w:col w:w="9059"/>
          </w:cols>
          <w:pgMar w:left="1400" w:top="13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020"/>
        <w:spacing w:after="0"/>
        <w:tabs>
          <w:tab w:leader="none" w:pos="898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i</w:t>
      </w:r>
    </w:p>
    <w:p>
      <w:pPr>
        <w:sectPr>
          <w:pgSz w:w="11900" w:h="16838" w:orient="portrait"/>
          <w:cols w:equalWidth="0" w:num="1">
            <w:col w:w="9059"/>
          </w:cols>
          <w:pgMar w:left="1400" w:top="1361" w:right="1440" w:bottom="1440" w:gutter="0" w:footer="0" w:header="0"/>
          <w:type w:val="continuous"/>
        </w:sectPr>
      </w:pPr>
    </w:p>
    <w:bookmarkStart w:id="4" w:name="page5"/>
    <w:bookmarkEnd w:id="4"/>
    <w:p>
      <w:pPr>
        <w:ind w:right="11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With respect to the Board, we have a strong and well-established process for Board member selection that is directly linked to the strategic needs of the business and ensures each member brings a unique skill set and perspective that complement the Board as a whole. We believe our current Board comprises a strong mix of directors with a wide range of relevant expertise and skills, including a breadth of experience in dealing with transformative change across our industry. To ensure the continuity of our Board while also balancing the importance of refreshment, we recently approved an amendment to our Corporate Governance Guidelines that sets the non-employee director retirement age at 75 and adds a term limit of 20 years.</w:t>
      </w:r>
    </w:p>
    <w:p>
      <w:pPr>
        <w:spacing w:after="0" w:line="147" w:lineRule="exact"/>
        <w:rPr>
          <w:sz w:val="20"/>
          <w:szCs w:val="20"/>
          <w:color w:val="auto"/>
        </w:rPr>
      </w:pPr>
    </w:p>
    <w:p>
      <w:pPr>
        <w:ind w:right="279"/>
        <w:spacing w:after="0" w:line="318" w:lineRule="auto"/>
        <w:rPr>
          <w:sz w:val="20"/>
          <w:szCs w:val="20"/>
          <w:color w:val="auto"/>
        </w:rPr>
      </w:pPr>
      <w:r>
        <w:rPr>
          <w:rFonts w:ascii="Arial" w:cs="Arial" w:eastAsia="Arial" w:hAnsi="Arial"/>
          <w:sz w:val="18"/>
          <w:szCs w:val="18"/>
          <w:color w:val="auto"/>
        </w:rPr>
        <w:t>Another priority for the Board is to continue evolving the skills of the Company’s senior leaders as part of our management succession planning. We devote a significant portion of time at each Board meeting to this effort.</w:t>
      </w:r>
    </w:p>
    <w:p>
      <w:pPr>
        <w:spacing w:after="0" w:line="113" w:lineRule="exact"/>
        <w:rPr>
          <w:sz w:val="20"/>
          <w:szCs w:val="20"/>
          <w:color w:val="auto"/>
        </w:rPr>
      </w:pPr>
    </w:p>
    <w:p>
      <w:pPr>
        <w:ind w:right="419"/>
        <w:spacing w:after="0" w:line="352" w:lineRule="auto"/>
        <w:rPr>
          <w:sz w:val="20"/>
          <w:szCs w:val="20"/>
          <w:color w:val="auto"/>
        </w:rPr>
      </w:pPr>
      <w:r>
        <w:rPr>
          <w:rFonts w:ascii="Arial" w:cs="Arial" w:eastAsia="Arial" w:hAnsi="Arial"/>
          <w:sz w:val="16"/>
          <w:szCs w:val="16"/>
          <w:color w:val="auto"/>
        </w:rPr>
        <w:t>The Board regularly meets with the next generation of talent and has focused on broadening the already strong internal talent base with fresh ideas and skills from other industries. We believe this talent development process will provide the right leadership and skill sets the Company needs to meet the opportunities and demands of the future.</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0956FF"/>
        </w:rPr>
        <w:t>Annual Meeting Preview</w:t>
      </w:r>
    </w:p>
    <w:p>
      <w:pPr>
        <w:spacing w:after="0" w:line="110" w:lineRule="exact"/>
        <w:rPr>
          <w:sz w:val="20"/>
          <w:szCs w:val="20"/>
          <w:color w:val="auto"/>
        </w:rPr>
      </w:pPr>
    </w:p>
    <w:p>
      <w:pPr>
        <w:ind w:right="219"/>
        <w:spacing w:after="0" w:line="287" w:lineRule="auto"/>
        <w:rPr>
          <w:sz w:val="20"/>
          <w:szCs w:val="20"/>
          <w:color w:val="auto"/>
        </w:rPr>
      </w:pPr>
      <w:r>
        <w:rPr>
          <w:rFonts w:ascii="Arial" w:cs="Arial" w:eastAsia="Arial" w:hAnsi="Arial"/>
          <w:sz w:val="18"/>
          <w:szCs w:val="18"/>
          <w:color w:val="auto"/>
        </w:rPr>
        <w:t>We encourage you to review this Proxy Statement which describes our corporate governance practices designed to foster effective oversight of the Company’s business risks and strategy. We look forward to hearing from you at the annual meeting and at that time will provide a further update on the Company’s performance and answer your questions. We remain committed to working on your behalf and serving the best interest of shareholders. Thank you in advance for your continued support of General Motors.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40"/>
        <w:spacing w:after="0"/>
        <w:tabs>
          <w:tab w:leader="none" w:pos="2760" w:val="left"/>
          <w:tab w:leader="none" w:pos="5080" w:val="left"/>
          <w:tab w:leader="none" w:pos="7100" w:val="left"/>
        </w:tabs>
        <w:rPr>
          <w:sz w:val="20"/>
          <w:szCs w:val="20"/>
          <w:color w:val="auto"/>
        </w:rPr>
      </w:pPr>
      <w:r>
        <w:rPr>
          <w:rFonts w:ascii="Arial" w:cs="Arial" w:eastAsia="Arial" w:hAnsi="Arial"/>
          <w:sz w:val="16"/>
          <w:szCs w:val="16"/>
          <w:b w:val="1"/>
          <w:bCs w:val="1"/>
          <w:color w:val="0956FF"/>
        </w:rPr>
        <w:t>Mary T. Barra</w:t>
      </w:r>
      <w:r>
        <w:rPr>
          <w:sz w:val="20"/>
          <w:szCs w:val="20"/>
          <w:color w:val="auto"/>
        </w:rPr>
        <w:tab/>
      </w:r>
      <w:r>
        <w:rPr>
          <w:rFonts w:ascii="Arial" w:cs="Arial" w:eastAsia="Arial" w:hAnsi="Arial"/>
          <w:sz w:val="16"/>
          <w:szCs w:val="16"/>
          <w:b w:val="1"/>
          <w:bCs w:val="1"/>
          <w:color w:val="0956FF"/>
        </w:rPr>
        <w:t>Patricia F. Russo</w:t>
      </w:r>
      <w:r>
        <w:rPr>
          <w:sz w:val="20"/>
          <w:szCs w:val="20"/>
          <w:color w:val="auto"/>
        </w:rPr>
        <w:tab/>
      </w:r>
      <w:r>
        <w:rPr>
          <w:rFonts w:ascii="Arial" w:cs="Arial" w:eastAsia="Arial" w:hAnsi="Arial"/>
          <w:sz w:val="16"/>
          <w:szCs w:val="16"/>
          <w:b w:val="1"/>
          <w:bCs w:val="1"/>
          <w:color w:val="0956FF"/>
        </w:rPr>
        <w:t>Wesley G. Bush</w:t>
      </w:r>
      <w:r>
        <w:rPr>
          <w:sz w:val="20"/>
          <w:szCs w:val="20"/>
          <w:color w:val="auto"/>
        </w:rPr>
        <w:tab/>
      </w:r>
      <w:r>
        <w:rPr>
          <w:rFonts w:ascii="Arial" w:cs="Arial" w:eastAsia="Arial" w:hAnsi="Arial"/>
          <w:sz w:val="16"/>
          <w:szCs w:val="16"/>
          <w:b w:val="1"/>
          <w:bCs w:val="1"/>
          <w:color w:val="0956FF"/>
        </w:rPr>
        <w:t>Joanne C. Crevoiserat</w:t>
      </w:r>
    </w:p>
    <w:p>
      <w:pPr>
        <w:spacing w:after="0" w:line="39" w:lineRule="exact"/>
        <w:rPr>
          <w:sz w:val="20"/>
          <w:szCs w:val="20"/>
          <w:color w:val="auto"/>
        </w:rPr>
      </w:pPr>
    </w:p>
    <w:p>
      <w:pPr>
        <w:ind w:left="620"/>
        <w:spacing w:after="0"/>
        <w:tabs>
          <w:tab w:leader="none" w:pos="2920" w:val="left"/>
        </w:tabs>
        <w:rPr>
          <w:sz w:val="20"/>
          <w:szCs w:val="20"/>
          <w:color w:val="auto"/>
        </w:rPr>
      </w:pPr>
      <w:r>
        <w:rPr>
          <w:rFonts w:ascii="Arial" w:cs="Arial" w:eastAsia="Arial" w:hAnsi="Arial"/>
          <w:sz w:val="16"/>
          <w:szCs w:val="16"/>
          <w:color w:val="auto"/>
        </w:rPr>
        <w:t>Chair and CEO</w:t>
      </w:r>
      <w:r>
        <w:rPr>
          <w:sz w:val="20"/>
          <w:szCs w:val="20"/>
          <w:color w:val="auto"/>
        </w:rPr>
        <w:tab/>
      </w:r>
      <w:r>
        <w:rPr>
          <w:rFonts w:ascii="Arial" w:cs="Arial" w:eastAsia="Arial" w:hAnsi="Arial"/>
          <w:sz w:val="16"/>
          <w:szCs w:val="16"/>
          <w:color w:val="auto"/>
        </w:rPr>
        <w:t>Independent</w:t>
      </w:r>
    </w:p>
    <w:p>
      <w:pPr>
        <w:spacing w:after="0" w:line="25"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Lead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40"/>
        <w:spacing w:after="0"/>
        <w:tabs>
          <w:tab w:leader="none" w:pos="2700" w:val="left"/>
          <w:tab w:leader="none" w:pos="5000" w:val="left"/>
          <w:tab w:leader="none" w:pos="7320" w:val="left"/>
        </w:tabs>
        <w:rPr>
          <w:sz w:val="20"/>
          <w:szCs w:val="20"/>
          <w:color w:val="auto"/>
        </w:rPr>
      </w:pPr>
      <w:r>
        <w:rPr>
          <w:rFonts w:ascii="Arial" w:cs="Arial" w:eastAsia="Arial" w:hAnsi="Arial"/>
          <w:sz w:val="16"/>
          <w:szCs w:val="16"/>
          <w:b w:val="1"/>
          <w:bCs w:val="1"/>
          <w:color w:val="0956FF"/>
        </w:rPr>
        <w:t>Joseph Jimenez</w:t>
      </w:r>
      <w:r>
        <w:rPr>
          <w:sz w:val="20"/>
          <w:szCs w:val="20"/>
          <w:color w:val="auto"/>
        </w:rPr>
        <w:tab/>
      </w:r>
      <w:r>
        <w:rPr>
          <w:rFonts w:ascii="Arial" w:cs="Arial" w:eastAsia="Arial" w:hAnsi="Arial"/>
          <w:sz w:val="16"/>
          <w:szCs w:val="16"/>
          <w:b w:val="1"/>
          <w:bCs w:val="1"/>
          <w:color w:val="0956FF"/>
        </w:rPr>
        <w:t>Alfred F. Kelly, Jr.</w:t>
      </w:r>
      <w:r>
        <w:rPr>
          <w:sz w:val="20"/>
          <w:szCs w:val="20"/>
          <w:color w:val="auto"/>
        </w:rPr>
        <w:tab/>
      </w:r>
      <w:r>
        <w:rPr>
          <w:rFonts w:ascii="Arial" w:cs="Arial" w:eastAsia="Arial" w:hAnsi="Arial"/>
          <w:sz w:val="16"/>
          <w:szCs w:val="16"/>
          <w:b w:val="1"/>
          <w:bCs w:val="1"/>
          <w:color w:val="0956FF"/>
        </w:rPr>
        <w:t>Jonathan McNeill</w:t>
      </w:r>
      <w:r>
        <w:rPr>
          <w:sz w:val="20"/>
          <w:szCs w:val="20"/>
          <w:color w:val="auto"/>
        </w:rPr>
        <w:tab/>
      </w:r>
      <w:r>
        <w:rPr>
          <w:rFonts w:ascii="Arial" w:cs="Arial" w:eastAsia="Arial" w:hAnsi="Arial"/>
          <w:sz w:val="16"/>
          <w:szCs w:val="16"/>
          <w:b w:val="1"/>
          <w:bCs w:val="1"/>
          <w:color w:val="0956FF"/>
        </w:rPr>
        <w:t>Judith A. Miscik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740"/>
        <w:spacing w:after="0"/>
        <w:tabs>
          <w:tab w:leader="none" w:pos="4060" w:val="left"/>
          <w:tab w:leader="none" w:pos="6220" w:val="left"/>
        </w:tabs>
        <w:rPr>
          <w:sz w:val="20"/>
          <w:szCs w:val="20"/>
          <w:color w:val="auto"/>
        </w:rPr>
      </w:pPr>
      <w:r>
        <w:rPr>
          <w:rFonts w:ascii="Arial" w:cs="Arial" w:eastAsia="Arial" w:hAnsi="Arial"/>
          <w:sz w:val="16"/>
          <w:szCs w:val="16"/>
          <w:b w:val="1"/>
          <w:bCs w:val="1"/>
          <w:color w:val="0956FF"/>
        </w:rPr>
        <w:t>Mark A. Tatum</w:t>
      </w:r>
      <w:r>
        <w:rPr>
          <w:sz w:val="20"/>
          <w:szCs w:val="20"/>
          <w:color w:val="auto"/>
        </w:rPr>
        <w:tab/>
      </w:r>
      <w:r>
        <w:rPr>
          <w:rFonts w:ascii="Arial" w:cs="Arial" w:eastAsia="Arial" w:hAnsi="Arial"/>
          <w:sz w:val="16"/>
          <w:szCs w:val="16"/>
          <w:b w:val="1"/>
          <w:bCs w:val="1"/>
          <w:color w:val="0956FF"/>
        </w:rPr>
        <w:t>Jan E. Tighe</w:t>
      </w:r>
      <w:r>
        <w:rPr>
          <w:sz w:val="20"/>
          <w:szCs w:val="20"/>
          <w:color w:val="auto"/>
        </w:rPr>
        <w:tab/>
      </w:r>
      <w:r>
        <w:rPr>
          <w:rFonts w:ascii="Arial" w:cs="Arial" w:eastAsia="Arial" w:hAnsi="Arial"/>
          <w:sz w:val="16"/>
          <w:szCs w:val="16"/>
          <w:b w:val="1"/>
          <w:bCs w:val="1"/>
          <w:color w:val="0956FF"/>
        </w:rPr>
        <w:t>Devin N. Wenig</w:t>
      </w:r>
    </w:p>
    <w:p>
      <w:pPr>
        <w:sectPr>
          <w:pgSz w:w="11900" w:h="16838" w:orient="portrait"/>
          <w:cols w:equalWidth="0" w:num="1">
            <w:col w:w="9059"/>
          </w:cols>
          <w:pgMar w:left="1400" w:top="13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ii</w:t>
      </w:r>
    </w:p>
    <w:p>
      <w:pPr>
        <w:sectPr>
          <w:pgSz w:w="11900" w:h="16838" w:orient="portrait"/>
          <w:cols w:equalWidth="0" w:num="1">
            <w:col w:w="9059"/>
          </w:cols>
          <w:pgMar w:left="1400" w:top="1390" w:right="1440" w:bottom="1440" w:gutter="0" w:footer="0" w:header="0"/>
          <w:type w:val="continuous"/>
        </w:sectPr>
      </w:pPr>
    </w:p>
    <w:bookmarkStart w:id="5" w:name="page6"/>
    <w:bookmarkEnd w:id="5"/>
    <w:p>
      <w:pPr>
        <w:ind w:right="2420"/>
        <w:spacing w:after="0" w:line="281" w:lineRule="auto"/>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Notice of 2026 Annual Meeting of Shareholders</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956FF"/>
        </w:rPr>
        <w:t>Meeting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ind w:left="820"/>
              <w:spacing w:after="0"/>
              <w:rPr>
                <w:sz w:val="20"/>
                <w:szCs w:val="20"/>
                <w:color w:val="auto"/>
              </w:rPr>
            </w:pPr>
            <w:r>
              <w:rPr>
                <w:rFonts w:ascii="Arial" w:cs="Arial" w:eastAsia="Arial" w:hAnsi="Arial"/>
                <w:sz w:val="18"/>
                <w:szCs w:val="18"/>
                <w:b w:val="1"/>
                <w:bCs w:val="1"/>
                <w:color w:val="auto"/>
              </w:rPr>
              <w:t>Date and Time:</w:t>
            </w:r>
          </w:p>
        </w:tc>
        <w:tc>
          <w:tcPr>
            <w:tcW w:w="3400" w:type="dxa"/>
            <w:vAlign w:val="bottom"/>
            <w:gridSpan w:val="2"/>
          </w:tcPr>
          <w:p>
            <w:pPr>
              <w:ind w:left="520"/>
              <w:spacing w:after="0"/>
              <w:rPr>
                <w:sz w:val="20"/>
                <w:szCs w:val="20"/>
                <w:color w:val="auto"/>
              </w:rPr>
            </w:pPr>
            <w:r>
              <w:rPr>
                <w:rFonts w:ascii="Arial" w:cs="Arial" w:eastAsia="Arial" w:hAnsi="Arial"/>
                <w:sz w:val="18"/>
                <w:szCs w:val="18"/>
                <w:b w:val="1"/>
                <w:bCs w:val="1"/>
                <w:color w:val="auto"/>
              </w:rPr>
              <w:t>Place:</w:t>
            </w:r>
          </w:p>
        </w:tc>
        <w:tc>
          <w:tcPr>
            <w:tcW w:w="2660" w:type="dxa"/>
            <w:vAlign w:val="bottom"/>
          </w:tcPr>
          <w:p>
            <w:pPr>
              <w:ind w:left="1260"/>
              <w:spacing w:after="0"/>
              <w:rPr>
                <w:sz w:val="20"/>
                <w:szCs w:val="20"/>
                <w:color w:val="auto"/>
              </w:rPr>
            </w:pPr>
            <w:r>
              <w:rPr>
                <w:rFonts w:ascii="Arial" w:cs="Arial" w:eastAsia="Arial" w:hAnsi="Arial"/>
                <w:sz w:val="18"/>
                <w:szCs w:val="18"/>
                <w:b w:val="1"/>
                <w:bCs w:val="1"/>
                <w:color w:val="auto"/>
              </w:rPr>
              <w:t>Record Date:</w:t>
            </w:r>
          </w:p>
        </w:tc>
      </w:tr>
      <w:tr>
        <w:trPr>
          <w:trHeight w:val="203"/>
        </w:trPr>
        <w:tc>
          <w:tcPr>
            <w:tcW w:w="3020" w:type="dxa"/>
            <w:vAlign w:val="bottom"/>
          </w:tcPr>
          <w:p>
            <w:pPr>
              <w:ind w:left="820"/>
              <w:spacing w:after="0"/>
              <w:rPr>
                <w:sz w:val="20"/>
                <w:szCs w:val="20"/>
                <w:color w:val="auto"/>
              </w:rPr>
            </w:pPr>
            <w:r>
              <w:rPr>
                <w:rFonts w:ascii="Arial" w:cs="Arial" w:eastAsia="Arial" w:hAnsi="Arial"/>
                <w:sz w:val="16"/>
                <w:szCs w:val="16"/>
                <w:color w:val="auto"/>
              </w:rPr>
              <w:t>June 2, 2026</w:t>
            </w:r>
          </w:p>
        </w:tc>
        <w:tc>
          <w:tcPr>
            <w:tcW w:w="3400" w:type="dxa"/>
            <w:vAlign w:val="bottom"/>
            <w:gridSpan w:val="2"/>
          </w:tcPr>
          <w:p>
            <w:pPr>
              <w:ind w:left="520"/>
              <w:spacing w:after="0"/>
              <w:rPr>
                <w:sz w:val="20"/>
                <w:szCs w:val="20"/>
                <w:color w:val="auto"/>
              </w:rPr>
            </w:pPr>
            <w:r>
              <w:rPr>
                <w:rFonts w:ascii="Arial" w:cs="Arial" w:eastAsia="Arial" w:hAnsi="Arial"/>
                <w:sz w:val="16"/>
                <w:szCs w:val="16"/>
                <w:color w:val="auto"/>
              </w:rPr>
              <w:t>Online via live webcast at:</w:t>
            </w:r>
          </w:p>
        </w:tc>
        <w:tc>
          <w:tcPr>
            <w:tcW w:w="2660" w:type="dxa"/>
            <w:vAlign w:val="bottom"/>
          </w:tcPr>
          <w:p>
            <w:pPr>
              <w:ind w:left="1260"/>
              <w:spacing w:after="0"/>
              <w:rPr>
                <w:sz w:val="20"/>
                <w:szCs w:val="20"/>
                <w:color w:val="auto"/>
              </w:rPr>
            </w:pPr>
            <w:r>
              <w:rPr>
                <w:rFonts w:ascii="Arial" w:cs="Arial" w:eastAsia="Arial" w:hAnsi="Arial"/>
                <w:sz w:val="16"/>
                <w:szCs w:val="16"/>
                <w:color w:val="auto"/>
              </w:rPr>
              <w:t>April 6, 2026</w:t>
            </w:r>
          </w:p>
        </w:tc>
      </w:tr>
      <w:tr>
        <w:trPr>
          <w:trHeight w:val="230"/>
        </w:trPr>
        <w:tc>
          <w:tcPr>
            <w:tcW w:w="3020" w:type="dxa"/>
            <w:vAlign w:val="bottom"/>
          </w:tcPr>
          <w:p>
            <w:pPr>
              <w:ind w:left="820"/>
              <w:spacing w:after="0"/>
              <w:rPr>
                <w:sz w:val="20"/>
                <w:szCs w:val="20"/>
                <w:color w:val="auto"/>
              </w:rPr>
            </w:pPr>
            <w:r>
              <w:rPr>
                <w:rFonts w:ascii="Arial" w:cs="Arial" w:eastAsia="Arial" w:hAnsi="Arial"/>
                <w:sz w:val="16"/>
                <w:szCs w:val="16"/>
                <w:color w:val="auto"/>
              </w:rPr>
              <w:t>2:30 p.m. Eastern Time</w:t>
            </w:r>
          </w:p>
        </w:tc>
        <w:tc>
          <w:tcPr>
            <w:tcW w:w="3400" w:type="dxa"/>
            <w:vAlign w:val="bottom"/>
            <w:gridSpan w:val="2"/>
          </w:tcPr>
          <w:p>
            <w:pPr>
              <w:ind w:left="520"/>
              <w:spacing w:after="0"/>
              <w:rPr>
                <w:sz w:val="20"/>
                <w:szCs w:val="20"/>
                <w:color w:val="auto"/>
              </w:rPr>
            </w:pPr>
            <w:r>
              <w:rPr>
                <w:rFonts w:ascii="Arial" w:cs="Arial" w:eastAsia="Arial" w:hAnsi="Arial"/>
                <w:sz w:val="16"/>
                <w:szCs w:val="16"/>
                <w:color w:val="0956FF"/>
              </w:rPr>
              <w:t>virtualshareholdermeeting.com/GM2026</w:t>
            </w:r>
          </w:p>
        </w:tc>
        <w:tc>
          <w:tcPr>
            <w:tcW w:w="2660" w:type="dxa"/>
            <w:vAlign w:val="bottom"/>
          </w:tcPr>
          <w:p>
            <w:pPr>
              <w:spacing w:after="0"/>
              <w:rPr>
                <w:sz w:val="19"/>
                <w:szCs w:val="19"/>
                <w:color w:val="auto"/>
              </w:rPr>
            </w:pPr>
          </w:p>
        </w:tc>
      </w:tr>
      <w:tr>
        <w:trPr>
          <w:trHeight w:val="237"/>
        </w:trPr>
        <w:tc>
          <w:tcPr>
            <w:tcW w:w="3020" w:type="dxa"/>
            <w:vAlign w:val="bottom"/>
            <w:tcBorders>
              <w:bottom w:val="single" w:sz="8" w:color="3D3935"/>
            </w:tcBorders>
          </w:tcPr>
          <w:p>
            <w:pPr>
              <w:spacing w:after="0"/>
              <w:rPr>
                <w:sz w:val="20"/>
                <w:szCs w:val="20"/>
                <w:color w:val="auto"/>
              </w:rPr>
            </w:pPr>
          </w:p>
        </w:tc>
        <w:tc>
          <w:tcPr>
            <w:tcW w:w="520" w:type="dxa"/>
            <w:vAlign w:val="bottom"/>
            <w:tcBorders>
              <w:bottom w:val="single" w:sz="8" w:color="3D3935"/>
            </w:tcBorders>
          </w:tcPr>
          <w:p>
            <w:pPr>
              <w:spacing w:after="0"/>
              <w:rPr>
                <w:sz w:val="20"/>
                <w:szCs w:val="20"/>
                <w:color w:val="auto"/>
              </w:rPr>
            </w:pPr>
          </w:p>
        </w:tc>
        <w:tc>
          <w:tcPr>
            <w:tcW w:w="2880" w:type="dxa"/>
            <w:vAlign w:val="bottom"/>
            <w:tcBorders>
              <w:top w:val="single" w:sz="8" w:color="0956FF"/>
              <w:bottom w:val="single" w:sz="8" w:color="3D3935"/>
            </w:tcBorders>
          </w:tcPr>
          <w:p>
            <w:pPr>
              <w:spacing w:after="0"/>
              <w:rPr>
                <w:sz w:val="20"/>
                <w:szCs w:val="20"/>
                <w:color w:val="auto"/>
              </w:rPr>
            </w:pPr>
          </w:p>
        </w:tc>
        <w:tc>
          <w:tcPr>
            <w:tcW w:w="2660" w:type="dxa"/>
            <w:vAlign w:val="bottom"/>
            <w:tcBorders>
              <w:bottom w:val="single" w:sz="8" w:color="3D3935"/>
            </w:tcBorders>
          </w:tcPr>
          <w:p>
            <w:pPr>
              <w:spacing w:after="0"/>
              <w:rPr>
                <w:sz w:val="20"/>
                <w:szCs w:val="20"/>
                <w:color w:val="auto"/>
              </w:rPr>
            </w:pPr>
          </w:p>
        </w:tc>
      </w:tr>
      <w:tr>
        <w:trPr>
          <w:trHeight w:val="370"/>
        </w:trPr>
        <w:tc>
          <w:tcPr>
            <w:tcW w:w="3020" w:type="dxa"/>
            <w:vAlign w:val="bottom"/>
          </w:tcPr>
          <w:p>
            <w:pPr>
              <w:spacing w:after="0"/>
              <w:rPr>
                <w:sz w:val="20"/>
                <w:szCs w:val="20"/>
                <w:color w:val="auto"/>
              </w:rPr>
            </w:pPr>
            <w:r>
              <w:rPr>
                <w:rFonts w:ascii="Arial" w:cs="Arial" w:eastAsia="Arial" w:hAnsi="Arial"/>
                <w:sz w:val="18"/>
                <w:szCs w:val="18"/>
                <w:b w:val="1"/>
                <w:bCs w:val="1"/>
                <w:color w:val="0956FF"/>
              </w:rPr>
              <w:t>April 20, 2026</w:t>
            </w:r>
          </w:p>
        </w:tc>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65"/>
        </w:trPr>
        <w:tc>
          <w:tcPr>
            <w:tcW w:w="3020" w:type="dxa"/>
            <w:vAlign w:val="bottom"/>
          </w:tcPr>
          <w:p>
            <w:pPr>
              <w:spacing w:after="0"/>
              <w:rPr>
                <w:sz w:val="20"/>
                <w:szCs w:val="20"/>
                <w:color w:val="auto"/>
              </w:rPr>
            </w:pPr>
            <w:r>
              <w:rPr>
                <w:rFonts w:ascii="Arial" w:cs="Arial" w:eastAsia="Arial" w:hAnsi="Arial"/>
                <w:sz w:val="22"/>
                <w:szCs w:val="22"/>
                <w:b w:val="1"/>
                <w:bCs w:val="1"/>
                <w:color w:val="auto"/>
              </w:rPr>
              <w:t>Dear Shareholders:</w:t>
            </w:r>
          </w:p>
        </w:tc>
        <w:tc>
          <w:tcPr>
            <w:tcW w:w="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General Motors Company invites you to attend the 2026 Annual Meeting of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you will be asked to:</w:t>
      </w:r>
    </w:p>
    <w:p>
      <w:pPr>
        <w:spacing w:after="0" w:line="127"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6"/>
          <w:szCs w:val="16"/>
          <w:color w:val="0956FF"/>
        </w:rPr>
      </w:pPr>
      <w:r>
        <w:rPr>
          <w:rFonts w:ascii="Arial" w:cs="Arial" w:eastAsia="Arial" w:hAnsi="Arial"/>
          <w:sz w:val="16"/>
          <w:szCs w:val="16"/>
          <w:color w:val="auto"/>
        </w:rPr>
        <w:t>Elect the 11 Board-recommended director nominees named in this Proxy Statement;</w:t>
      </w:r>
    </w:p>
    <w:p>
      <w:pPr>
        <w:spacing w:after="0" w:line="32" w:lineRule="exact"/>
        <w:rPr>
          <w:rFonts w:ascii="Arial" w:cs="Arial" w:eastAsia="Arial" w:hAnsi="Arial"/>
          <w:sz w:val="16"/>
          <w:szCs w:val="16"/>
          <w:color w:val="0956FF"/>
        </w:rPr>
      </w:pPr>
    </w:p>
    <w:p>
      <w:pPr>
        <w:ind w:left="200" w:hanging="192"/>
        <w:spacing w:after="0"/>
        <w:tabs>
          <w:tab w:leader="none" w:pos="200" w:val="left"/>
        </w:tabs>
        <w:numPr>
          <w:ilvl w:val="0"/>
          <w:numId w:val="6"/>
        </w:numPr>
        <w:rPr>
          <w:rFonts w:ascii="Arial" w:cs="Arial" w:eastAsia="Arial" w:hAnsi="Arial"/>
          <w:sz w:val="16"/>
          <w:szCs w:val="16"/>
          <w:color w:val="0956FF"/>
        </w:rPr>
      </w:pPr>
      <w:r>
        <w:rPr>
          <w:rFonts w:ascii="Arial" w:cs="Arial" w:eastAsia="Arial" w:hAnsi="Arial"/>
          <w:sz w:val="16"/>
          <w:szCs w:val="16"/>
          <w:color w:val="auto"/>
        </w:rPr>
        <w:t>Ratify the selection of Ernst &amp; Young LLP as the Company’s independent registered public accounting firm for 2026;</w:t>
      </w:r>
    </w:p>
    <w:p>
      <w:pPr>
        <w:spacing w:after="0" w:line="30" w:lineRule="exact"/>
        <w:rPr>
          <w:rFonts w:ascii="Arial" w:cs="Arial" w:eastAsia="Arial" w:hAnsi="Arial"/>
          <w:sz w:val="16"/>
          <w:szCs w:val="16"/>
          <w:color w:val="0956FF"/>
        </w:rPr>
      </w:pPr>
    </w:p>
    <w:p>
      <w:pPr>
        <w:ind w:left="200" w:hanging="192"/>
        <w:spacing w:after="0"/>
        <w:tabs>
          <w:tab w:leader="none" w:pos="200" w:val="left"/>
        </w:tabs>
        <w:numPr>
          <w:ilvl w:val="0"/>
          <w:numId w:val="6"/>
        </w:numPr>
        <w:rPr>
          <w:rFonts w:ascii="Arial" w:cs="Arial" w:eastAsia="Arial" w:hAnsi="Arial"/>
          <w:sz w:val="16"/>
          <w:szCs w:val="16"/>
          <w:color w:val="0956FF"/>
        </w:rPr>
      </w:pPr>
      <w:r>
        <w:rPr>
          <w:rFonts w:ascii="Arial" w:cs="Arial" w:eastAsia="Arial" w:hAnsi="Arial"/>
          <w:sz w:val="16"/>
          <w:szCs w:val="16"/>
          <w:color w:val="auto"/>
        </w:rPr>
        <w:t>Approve, on an advisory basis, named executive officer compensation;</w:t>
      </w:r>
    </w:p>
    <w:p>
      <w:pPr>
        <w:spacing w:after="0" w:line="19" w:lineRule="exact"/>
        <w:rPr>
          <w:rFonts w:ascii="Arial" w:cs="Arial" w:eastAsia="Arial" w:hAnsi="Arial"/>
          <w:sz w:val="16"/>
          <w:szCs w:val="16"/>
          <w:color w:val="0956FF"/>
        </w:rPr>
      </w:pPr>
    </w:p>
    <w:p>
      <w:pPr>
        <w:ind w:left="200" w:hanging="192"/>
        <w:spacing w:after="0"/>
        <w:tabs>
          <w:tab w:leader="none" w:pos="200" w:val="left"/>
        </w:tabs>
        <w:numPr>
          <w:ilvl w:val="0"/>
          <w:numId w:val="6"/>
        </w:numPr>
        <w:rPr>
          <w:rFonts w:ascii="Arial" w:cs="Arial" w:eastAsia="Arial" w:hAnsi="Arial"/>
          <w:sz w:val="16"/>
          <w:szCs w:val="16"/>
          <w:color w:val="0956FF"/>
        </w:rPr>
      </w:pPr>
      <w:r>
        <w:rPr>
          <w:rFonts w:ascii="Arial" w:cs="Arial" w:eastAsia="Arial" w:hAnsi="Arial"/>
          <w:sz w:val="16"/>
          <w:szCs w:val="16"/>
          <w:color w:val="auto"/>
        </w:rPr>
        <w:t>Approve, on an advisory basis, the frequency of future advisory votes on named executive officer compensation;</w:t>
      </w:r>
    </w:p>
    <w:p>
      <w:pPr>
        <w:spacing w:after="0" w:line="32" w:lineRule="exact"/>
        <w:rPr>
          <w:rFonts w:ascii="Arial" w:cs="Arial" w:eastAsia="Arial" w:hAnsi="Arial"/>
          <w:sz w:val="16"/>
          <w:szCs w:val="16"/>
          <w:color w:val="0956FF"/>
        </w:rPr>
      </w:pPr>
    </w:p>
    <w:p>
      <w:pPr>
        <w:ind w:left="200" w:right="180" w:hanging="192"/>
        <w:spacing w:after="0" w:line="255" w:lineRule="auto"/>
        <w:tabs>
          <w:tab w:leader="none" w:pos="200" w:val="left"/>
        </w:tabs>
        <w:numPr>
          <w:ilvl w:val="0"/>
          <w:numId w:val="6"/>
        </w:numPr>
        <w:rPr>
          <w:rFonts w:ascii="Arial" w:cs="Arial" w:eastAsia="Arial" w:hAnsi="Arial"/>
          <w:sz w:val="16"/>
          <w:szCs w:val="16"/>
          <w:color w:val="0956FF"/>
        </w:rPr>
      </w:pPr>
      <w:r>
        <w:rPr>
          <w:rFonts w:ascii="Arial" w:cs="Arial" w:eastAsia="Arial" w:hAnsi="Arial"/>
          <w:sz w:val="16"/>
          <w:szCs w:val="16"/>
          <w:color w:val="auto"/>
        </w:rPr>
        <w:t>Approve Amendment No. 2 to the Company ’s 2020 Long-Term Incentive Plan to increase the number of shares available for issuance thereunder;</w:t>
      </w:r>
    </w:p>
    <w:p>
      <w:pPr>
        <w:ind w:left="200" w:hanging="192"/>
        <w:spacing w:after="0"/>
        <w:tabs>
          <w:tab w:leader="none" w:pos="200" w:val="left"/>
        </w:tabs>
        <w:numPr>
          <w:ilvl w:val="0"/>
          <w:numId w:val="6"/>
        </w:numPr>
        <w:rPr>
          <w:rFonts w:ascii="Arial" w:cs="Arial" w:eastAsia="Arial" w:hAnsi="Arial"/>
          <w:sz w:val="16"/>
          <w:szCs w:val="16"/>
          <w:color w:val="0956FF"/>
        </w:rPr>
      </w:pPr>
      <w:r>
        <w:rPr>
          <w:rFonts w:ascii="Arial" w:cs="Arial" w:eastAsia="Arial" w:hAnsi="Arial"/>
          <w:sz w:val="16"/>
          <w:szCs w:val="16"/>
          <w:color w:val="auto"/>
        </w:rPr>
        <w:t>Vote on Rule 14a-8 shareholder proposals, if properly presented at the meeting; and</w:t>
      </w:r>
    </w:p>
    <w:p>
      <w:pPr>
        <w:spacing w:after="0" w:line="32" w:lineRule="exact"/>
        <w:rPr>
          <w:rFonts w:ascii="Arial" w:cs="Arial" w:eastAsia="Arial" w:hAnsi="Arial"/>
          <w:sz w:val="16"/>
          <w:szCs w:val="16"/>
          <w:color w:val="0956FF"/>
        </w:rPr>
      </w:pPr>
    </w:p>
    <w:p>
      <w:pPr>
        <w:ind w:left="200" w:hanging="192"/>
        <w:spacing w:after="0"/>
        <w:tabs>
          <w:tab w:leader="none" w:pos="200" w:val="left"/>
        </w:tabs>
        <w:numPr>
          <w:ilvl w:val="0"/>
          <w:numId w:val="6"/>
        </w:numPr>
        <w:rPr>
          <w:rFonts w:ascii="Arial" w:cs="Arial" w:eastAsia="Arial" w:hAnsi="Arial"/>
          <w:sz w:val="16"/>
          <w:szCs w:val="16"/>
          <w:color w:val="0956FF"/>
        </w:rPr>
      </w:pPr>
      <w:r>
        <w:rPr>
          <w:rFonts w:ascii="Arial" w:cs="Arial" w:eastAsia="Arial" w:hAnsi="Arial"/>
          <w:sz w:val="16"/>
          <w:szCs w:val="16"/>
          <w:color w:val="auto"/>
        </w:rPr>
        <w:t>Transact any other business that is properly presented at the meeting.</w:t>
      </w:r>
    </w:p>
    <w:p>
      <w:pPr>
        <w:spacing w:after="0" w:line="100" w:lineRule="exact"/>
        <w:rPr>
          <w:sz w:val="20"/>
          <w:szCs w:val="20"/>
          <w:color w:val="auto"/>
        </w:rPr>
      </w:pPr>
    </w:p>
    <w:p>
      <w:pPr>
        <w:jc w:val="both"/>
        <w:ind w:right="560"/>
        <w:spacing w:after="0" w:line="257" w:lineRule="auto"/>
        <w:rPr>
          <w:sz w:val="20"/>
          <w:szCs w:val="20"/>
          <w:color w:val="auto"/>
        </w:rPr>
      </w:pPr>
      <w:r>
        <w:rPr>
          <w:rFonts w:ascii="Arial" w:cs="Arial" w:eastAsia="Arial" w:hAnsi="Arial"/>
          <w:sz w:val="16"/>
          <w:szCs w:val="16"/>
          <w:color w:val="auto"/>
        </w:rPr>
        <w:t xml:space="preserve">A list of the Company’s registered shareholders will be available for examination for any purpose that is germane to the meeting for ten business days before the Annual Meeting. Shareholders may request to review the list by emailing the Company at </w:t>
      </w:r>
      <w:r>
        <w:rPr>
          <w:rFonts w:ascii="Arial" w:cs="Arial" w:eastAsia="Arial" w:hAnsi="Arial"/>
          <w:sz w:val="16"/>
          <w:szCs w:val="16"/>
          <w:u w:val="single" w:color="auto"/>
          <w:color w:val="0956FF"/>
        </w:rPr>
        <w:t>shareholder.relations@gm.com</w:t>
      </w:r>
      <w:r>
        <w:rPr>
          <w:rFonts w:ascii="Arial" w:cs="Arial" w:eastAsia="Arial" w:hAnsi="Arial"/>
          <w:sz w:val="16"/>
          <w:szCs w:val="16"/>
          <w:color w:val="auto"/>
        </w:rPr>
        <w:t xml:space="preserve"> .</w:t>
      </w:r>
    </w:p>
    <w:p>
      <w:pPr>
        <w:spacing w:after="0" w:line="57" w:lineRule="exact"/>
        <w:rPr>
          <w:sz w:val="20"/>
          <w:szCs w:val="20"/>
          <w:color w:val="auto"/>
        </w:rPr>
      </w:pPr>
    </w:p>
    <w:p>
      <w:pPr>
        <w:ind w:right="600"/>
        <w:spacing w:after="0" w:line="248" w:lineRule="auto"/>
        <w:rPr>
          <w:sz w:val="20"/>
          <w:szCs w:val="20"/>
          <w:color w:val="auto"/>
        </w:rPr>
      </w:pPr>
      <w:r>
        <w:rPr>
          <w:rFonts w:ascii="Arial" w:cs="Arial" w:eastAsia="Arial" w:hAnsi="Arial"/>
          <w:sz w:val="16"/>
          <w:szCs w:val="16"/>
          <w:color w:val="auto"/>
        </w:rPr>
        <w:t>This Proxy Statement is provided in conjunction with GM’s solicitation of proxies to be used at the Annual Meeting. For additional information about how to attend our Annual Meeting, see “General Information About the Annual Meeting” starting on page 99 of this Proxy Statement.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investment in General Motors Company.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0956FF"/>
        </w:rPr>
        <w:t>Grant Dixton</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Executive Vice President,</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Chief Legal &amp; Public Policy Officer, and Corporate Secretary</w:t>
      </w:r>
    </w:p>
    <w:p>
      <w:pPr>
        <w:sectPr>
          <w:pgSz w:w="11900" w:h="16838" w:orient="portrait"/>
          <w:cols w:equalWidth="0" w:num="1">
            <w:col w:w="9080"/>
          </w:cols>
          <w:pgMar w:left="1400" w:top="1339" w:right="14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0956FF"/>
        </w:rPr>
        <w:t>Your Vote Is Important</w:t>
      </w:r>
    </w:p>
    <w:p>
      <w:pPr>
        <w:spacing w:after="0" w:line="68" w:lineRule="exact"/>
        <w:rPr>
          <w:sz w:val="20"/>
          <w:szCs w:val="20"/>
          <w:color w:val="auto"/>
        </w:rPr>
      </w:pPr>
    </w:p>
    <w:p>
      <w:pPr>
        <w:ind w:left="280" w:right="40"/>
        <w:spacing w:after="0"/>
        <w:rPr>
          <w:sz w:val="20"/>
          <w:szCs w:val="20"/>
          <w:color w:val="auto"/>
        </w:rPr>
      </w:pPr>
      <w:r>
        <w:rPr>
          <w:rFonts w:ascii="Arial" w:cs="Arial" w:eastAsia="Arial" w:hAnsi="Arial"/>
          <w:sz w:val="16"/>
          <w:szCs w:val="16"/>
          <w:color w:val="auto"/>
        </w:rPr>
        <w:t>Please promptly submit your vote by internet or telephone, or by signing, dating, and returning the enclosed proxy card or voting instruction form in the postage-paid envelope provided, so that your shares will be represented and voted at the meeting.</w:t>
      </w:r>
    </w:p>
    <w:p>
      <w:pPr>
        <w:spacing w:after="0" w:line="98" w:lineRule="exact"/>
        <w:rPr>
          <w:sz w:val="20"/>
          <w:szCs w:val="20"/>
          <w:color w:val="auto"/>
        </w:rPr>
      </w:pPr>
    </w:p>
    <w:p>
      <w:pPr>
        <w:jc w:val="both"/>
        <w:ind w:left="280" w:right="100"/>
        <w:spacing w:after="0" w:line="286" w:lineRule="auto"/>
        <w:rPr>
          <w:sz w:val="20"/>
          <w:szCs w:val="20"/>
          <w:color w:val="auto"/>
        </w:rPr>
      </w:pPr>
      <w:r>
        <w:rPr>
          <w:rFonts w:ascii="Arial" w:cs="Arial" w:eastAsia="Arial" w:hAnsi="Arial"/>
          <w:sz w:val="16"/>
          <w:szCs w:val="16"/>
          <w:color w:val="auto"/>
        </w:rPr>
        <w:t>We are first mailing these proxy materials to our shareholders on or about April 20,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0956FF"/>
        </w:rPr>
        <w:t>How to Access the Proxy Materials Online</w:t>
      </w:r>
    </w:p>
    <w:p>
      <w:pPr>
        <w:spacing w:after="0" w:line="68" w:lineRule="exact"/>
        <w:rPr>
          <w:sz w:val="20"/>
          <w:szCs w:val="20"/>
          <w:color w:val="auto"/>
        </w:rPr>
      </w:pPr>
    </w:p>
    <w:p>
      <w:pPr>
        <w:ind w:right="420"/>
        <w:spacing w:after="0" w:line="262" w:lineRule="auto"/>
        <w:rPr>
          <w:sz w:val="20"/>
          <w:szCs w:val="20"/>
          <w:color w:val="auto"/>
        </w:rPr>
      </w:pPr>
      <w:r>
        <w:rPr>
          <w:rFonts w:ascii="Arial" w:cs="Arial" w:eastAsia="Arial" w:hAnsi="Arial"/>
          <w:sz w:val="16"/>
          <w:szCs w:val="16"/>
          <w:b w:val="1"/>
          <w:bCs w:val="1"/>
          <w:color w:val="auto"/>
        </w:rPr>
        <w:t>Important Notice Regarding the Availability of Proxy Materials for the 2026 Annual Meeting of Shareholders to be held on June 2, 2026: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Proxy Statement and 2025 Annual</w:t>
      </w:r>
    </w:p>
    <w:p>
      <w:pPr>
        <w:spacing w:after="0" w:line="8" w:lineRule="exact"/>
        <w:rPr>
          <w:sz w:val="20"/>
          <w:szCs w:val="20"/>
          <w:color w:val="auto"/>
        </w:rPr>
      </w:pPr>
    </w:p>
    <w:p>
      <w:pPr>
        <w:ind w:right="1500"/>
        <w:spacing w:after="0" w:line="237" w:lineRule="auto"/>
        <w:rPr>
          <w:sz w:val="20"/>
          <w:szCs w:val="20"/>
          <w:color w:val="auto"/>
        </w:rPr>
      </w:pPr>
      <w:r>
        <w:rPr>
          <w:rFonts w:ascii="Arial" w:cs="Arial" w:eastAsia="Arial" w:hAnsi="Arial"/>
          <w:sz w:val="16"/>
          <w:szCs w:val="16"/>
          <w:color w:val="auto"/>
        </w:rPr>
        <w:t xml:space="preserve">Report are available at </w:t>
      </w:r>
      <w:r>
        <w:rPr>
          <w:rFonts w:ascii="Arial" w:cs="Arial" w:eastAsia="Arial" w:hAnsi="Arial"/>
          <w:sz w:val="15"/>
          <w:szCs w:val="15"/>
          <w:u w:val="single" w:color="auto"/>
          <w:color w:val="0956FF"/>
        </w:rPr>
        <w:t>investor.gm.com/</w:t>
      </w:r>
      <w:r>
        <w:rPr>
          <w:rFonts w:ascii="Arial" w:cs="Arial" w:eastAsia="Arial" w:hAnsi="Arial"/>
          <w:sz w:val="16"/>
          <w:szCs w:val="16"/>
          <w:color w:val="auto"/>
        </w:rPr>
        <w:t xml:space="preserve"> </w:t>
      </w:r>
      <w:r>
        <w:rPr>
          <w:rFonts w:ascii="Arial" w:cs="Arial" w:eastAsia="Arial" w:hAnsi="Arial"/>
          <w:sz w:val="15"/>
          <w:szCs w:val="15"/>
          <w:u w:val="single" w:color="auto"/>
          <w:color w:val="0956FF"/>
        </w:rPr>
        <w:t>shareholder</w:t>
      </w:r>
      <w:r>
        <w:rPr>
          <w:rFonts w:ascii="Arial" w:cs="Arial" w:eastAsia="Arial" w:hAnsi="Arial"/>
          <w:sz w:val="15"/>
          <w:szCs w:val="15"/>
          <w:color w:val="0956FF"/>
        </w:rPr>
        <w:t xml:space="preserve"> </w:t>
      </w:r>
      <w:r>
        <w:rPr>
          <w:rFonts w:ascii="Arial" w:cs="Arial" w:eastAsia="Arial" w:hAnsi="Arial"/>
          <w:sz w:val="15"/>
          <w:szCs w:val="15"/>
          <w:color w:val="000000"/>
        </w:rPr>
        <w:t>.</w:t>
      </w:r>
      <w:r>
        <w:rPr>
          <w:rFonts w:ascii="Arial" w:cs="Arial" w:eastAsia="Arial" w:hAnsi="Arial"/>
          <w:sz w:val="15"/>
          <w:szCs w:val="15"/>
          <w:color w:val="0956FF"/>
        </w:rPr>
        <w:t xml:space="preserve"> </w:t>
      </w:r>
      <w:r>
        <w:rPr>
          <w:rFonts w:ascii="Arial" w:cs="Arial" w:eastAsia="Arial" w:hAnsi="Arial"/>
          <w:sz w:val="16"/>
          <w:szCs w:val="16"/>
          <w:color w:val="000000"/>
        </w:rPr>
        <w:t>You may also scan the QR code</w:t>
      </w:r>
      <w:r>
        <w:rPr>
          <w:rFonts w:ascii="Arial" w:cs="Arial" w:eastAsia="Arial" w:hAnsi="Arial"/>
          <w:sz w:val="15"/>
          <w:szCs w:val="15"/>
          <w:color w:val="0956FF"/>
        </w:rPr>
        <w:t xml:space="preserve"> </w:t>
      </w:r>
      <w:r>
        <w:rPr>
          <w:rFonts w:ascii="Arial" w:cs="Arial" w:eastAsia="Arial" w:hAnsi="Arial"/>
          <w:sz w:val="16"/>
          <w:szCs w:val="16"/>
          <w:color w:val="000000"/>
        </w:rPr>
        <w:t>with your smartphone or other mobile device to view our Proxy Statement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Annual Report.</w:t>
      </w:r>
    </w:p>
    <w:p>
      <w:pPr>
        <w:spacing w:after="0" w:line="200" w:lineRule="exact"/>
        <w:rPr>
          <w:sz w:val="20"/>
          <w:szCs w:val="20"/>
          <w:color w:val="auto"/>
        </w:rPr>
      </w:pPr>
    </w:p>
    <w:p>
      <w:pPr>
        <w:sectPr>
          <w:pgSz w:w="11900" w:h="16838" w:orient="portrait"/>
          <w:cols w:equalWidth="0" w:num="2">
            <w:col w:w="3540" w:space="720"/>
            <w:col w:w="4820"/>
          </w:cols>
          <w:pgMar w:left="1400" w:top="1339" w:right="141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7020"/>
        <w:spacing w:after="0"/>
        <w:tabs>
          <w:tab w:leader="none" w:pos="890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iii</w:t>
      </w:r>
    </w:p>
    <w:p>
      <w:pPr>
        <w:sectPr>
          <w:pgSz w:w="11900" w:h="16838" w:orient="portrait"/>
          <w:cols w:equalWidth="0" w:num="1">
            <w:col w:w="9080"/>
          </w:cols>
          <w:pgMar w:left="1400" w:top="1339" w:right="14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49"/>
          <w:szCs w:val="49"/>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Proxy Summary</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75"/>
        </w:trPr>
        <w:tc>
          <w:tcPr>
            <w:tcW w:w="3980" w:type="dxa"/>
            <w:vAlign w:val="bottom"/>
            <w:tcBorders>
              <w:bottom w:val="single" w:sz="8" w:color="0956FF"/>
            </w:tcBorders>
            <w:gridSpan w:val="2"/>
          </w:tcPr>
          <w:p>
            <w:pPr>
              <w:spacing w:after="0"/>
              <w:rPr>
                <w:sz w:val="6"/>
                <w:szCs w:val="6"/>
                <w:color w:val="auto"/>
              </w:rPr>
            </w:pPr>
          </w:p>
        </w:tc>
        <w:tc>
          <w:tcPr>
            <w:tcW w:w="400" w:type="dxa"/>
            <w:vAlign w:val="bottom"/>
            <w:tcBorders>
              <w:bottom w:val="single" w:sz="8" w:color="0956FF"/>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ind w:left="60"/>
              <w:spacing w:after="0"/>
              <w:rPr>
                <w:sz w:val="20"/>
                <w:szCs w:val="20"/>
                <w:color w:val="auto"/>
              </w:rPr>
            </w:pPr>
            <w:r>
              <w:rPr>
                <w:rFonts w:ascii="Arial" w:cs="Arial" w:eastAsia="Arial" w:hAnsi="Arial"/>
                <w:sz w:val="16"/>
                <w:szCs w:val="16"/>
                <w:b w:val="1"/>
                <w:bCs w:val="1"/>
                <w:color w:val="auto"/>
              </w:rPr>
              <w:t>Board and Governance Matters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75"/>
        </w:trPr>
        <w:tc>
          <w:tcPr>
            <w:tcW w:w="380" w:type="dxa"/>
            <w:vAlign w:val="bottom"/>
            <w:tcBorders>
              <w:bottom w:val="single" w:sz="8" w:color="0956FF"/>
            </w:tcBorders>
          </w:tcPr>
          <w:p>
            <w:pPr>
              <w:spacing w:after="0"/>
              <w:rPr>
                <w:sz w:val="6"/>
                <w:szCs w:val="6"/>
                <w:color w:val="auto"/>
              </w:rPr>
            </w:pPr>
          </w:p>
        </w:tc>
        <w:tc>
          <w:tcPr>
            <w:tcW w:w="3600" w:type="dxa"/>
            <w:vAlign w:val="bottom"/>
            <w:tcBorders>
              <w:bottom w:val="single" w:sz="8" w:color="0956FF"/>
            </w:tcBorders>
          </w:tcPr>
          <w:p>
            <w:pPr>
              <w:spacing w:after="0"/>
              <w:rPr>
                <w:sz w:val="6"/>
                <w:szCs w:val="6"/>
                <w:color w:val="auto"/>
              </w:rPr>
            </w:pPr>
          </w:p>
        </w:tc>
        <w:tc>
          <w:tcPr>
            <w:tcW w:w="400" w:type="dxa"/>
            <w:vAlign w:val="bottom"/>
            <w:tcBorders>
              <w:bottom w:val="single" w:sz="8" w:color="0956FF"/>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80" w:type="dxa"/>
            <w:vAlign w:val="bottom"/>
            <w:shd w:val="clear" w:color="auto" w:fill="0956FF"/>
          </w:tcPr>
          <w:p>
            <w:pPr>
              <w:spacing w:after="0"/>
              <w:rPr>
                <w:sz w:val="20"/>
                <w:szCs w:val="20"/>
                <w:color w:val="auto"/>
              </w:rPr>
            </w:pPr>
          </w:p>
        </w:tc>
        <w:tc>
          <w:tcPr>
            <w:tcW w:w="3600" w:type="dxa"/>
            <w:vAlign w:val="bottom"/>
          </w:tcPr>
          <w:p>
            <w:pPr>
              <w:ind w:left="80"/>
              <w:spacing w:after="0"/>
              <w:rPr>
                <w:sz w:val="20"/>
                <w:szCs w:val="20"/>
                <w:color w:val="auto"/>
              </w:rPr>
            </w:pPr>
            <w:r>
              <w:rPr>
                <w:rFonts w:ascii="Arial" w:cs="Arial" w:eastAsia="Arial" w:hAnsi="Arial"/>
                <w:sz w:val="13"/>
                <w:szCs w:val="13"/>
                <w:b w:val="1"/>
                <w:bCs w:val="1"/>
                <w:color w:val="0956FF"/>
              </w:rPr>
              <w:t>ITEM: 1</w:t>
            </w: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03"/>
        </w:trPr>
        <w:tc>
          <w:tcPr>
            <w:tcW w:w="380" w:type="dxa"/>
            <w:vAlign w:val="bottom"/>
            <w:shd w:val="clear" w:color="auto" w:fill="0956FF"/>
          </w:tcPr>
          <w:p>
            <w:pPr>
              <w:spacing w:after="0"/>
              <w:rPr>
                <w:sz w:val="17"/>
                <w:szCs w:val="17"/>
                <w:color w:val="auto"/>
              </w:rPr>
            </w:pPr>
          </w:p>
        </w:tc>
        <w:tc>
          <w:tcPr>
            <w:tcW w:w="3600" w:type="dxa"/>
            <w:vAlign w:val="bottom"/>
          </w:tcPr>
          <w:p>
            <w:pPr>
              <w:ind w:left="80"/>
              <w:spacing w:after="0"/>
              <w:rPr>
                <w:sz w:val="20"/>
                <w:szCs w:val="20"/>
                <w:color w:val="auto"/>
              </w:rPr>
            </w:pPr>
            <w:r>
              <w:rPr>
                <w:rFonts w:ascii="Arial" w:cs="Arial" w:eastAsia="Arial" w:hAnsi="Arial"/>
                <w:sz w:val="16"/>
                <w:szCs w:val="16"/>
                <w:b w:val="1"/>
                <w:bCs w:val="1"/>
                <w:color w:val="auto"/>
              </w:rPr>
              <w:t>Annual Election of Directors</w:t>
            </w:r>
          </w:p>
        </w:tc>
        <w:tc>
          <w:tcPr>
            <w:tcW w:w="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80" w:type="dxa"/>
            <w:vAlign w:val="bottom"/>
          </w:tcPr>
          <w:p>
            <w:pPr>
              <w:spacing w:after="0"/>
              <w:rPr>
                <w:sz w:val="23"/>
                <w:szCs w:val="23"/>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Board Membership Criteria, Refreshment, and</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Succession Planning</w:t>
            </w: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 Nominee Biographies</w:t>
            </w:r>
          </w:p>
        </w:tc>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Director Nomination Process</w:t>
            </w:r>
          </w:p>
        </w:tc>
        <w:tc>
          <w:tcPr>
            <w:tcW w:w="4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03"/>
        </w:trPr>
        <w:tc>
          <w:tcPr>
            <w:tcW w:w="3980" w:type="dxa"/>
            <w:vAlign w:val="bottom"/>
            <w:tcBorders>
              <w:bottom w:val="single" w:sz="8" w:color="0956FF"/>
            </w:tcBorders>
            <w:gridSpan w:val="2"/>
          </w:tcPr>
          <w:p>
            <w:pPr>
              <w:spacing w:after="0"/>
              <w:rPr>
                <w:sz w:val="8"/>
                <w:szCs w:val="8"/>
                <w:color w:val="auto"/>
              </w:rPr>
            </w:pPr>
          </w:p>
        </w:tc>
        <w:tc>
          <w:tcPr>
            <w:tcW w:w="400" w:type="dxa"/>
            <w:vAlign w:val="bottom"/>
            <w:tcBorders>
              <w:bottom w:val="single" w:sz="8" w:color="0956FF"/>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 Governance</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The Board of Directors</w:t>
            </w: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Board Leadership Structure and Composition</w:t>
            </w:r>
          </w:p>
        </w:tc>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Board Committees</w:t>
            </w:r>
          </w:p>
        </w:tc>
        <w:tc>
          <w:tcPr>
            <w:tcW w:w="4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The Board’s Role and Responsibilities</w:t>
            </w:r>
          </w:p>
        </w:tc>
        <w:tc>
          <w:tcPr>
            <w:tcW w:w="40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Board Processes and Insights</w:t>
            </w:r>
          </w:p>
        </w:tc>
        <w:tc>
          <w:tcPr>
            <w:tcW w:w="4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Shareholder Protections and Governance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Best Practices</w:t>
            </w:r>
          </w:p>
        </w:tc>
        <w:tc>
          <w:tcPr>
            <w:tcW w:w="40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Related Party Transactions and Potential</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Conflicts of Interest</w:t>
            </w:r>
          </w:p>
        </w:tc>
        <w:tc>
          <w:tcPr>
            <w:tcW w:w="4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9"/>
        </w:trPr>
        <w:tc>
          <w:tcPr>
            <w:tcW w:w="3980" w:type="dxa"/>
            <w:vAlign w:val="bottom"/>
            <w:tcBorders>
              <w:bottom w:val="single" w:sz="8" w:color="0956FF"/>
            </w:tcBorders>
            <w:gridSpan w:val="2"/>
          </w:tcPr>
          <w:p>
            <w:pPr>
              <w:spacing w:after="0"/>
              <w:rPr>
                <w:sz w:val="7"/>
                <w:szCs w:val="7"/>
                <w:color w:val="auto"/>
              </w:rPr>
            </w:pPr>
          </w:p>
        </w:tc>
        <w:tc>
          <w:tcPr>
            <w:tcW w:w="400" w:type="dxa"/>
            <w:vAlign w:val="bottom"/>
            <w:tcBorders>
              <w:bottom w:val="single" w:sz="8" w:color="0956FF"/>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ind w:left="60"/>
              <w:spacing w:after="0"/>
              <w:rPr>
                <w:sz w:val="20"/>
                <w:szCs w:val="20"/>
                <w:color w:val="auto"/>
              </w:rPr>
            </w:pPr>
            <w:r>
              <w:rPr>
                <w:rFonts w:ascii="Arial" w:cs="Arial" w:eastAsia="Arial" w:hAnsi="Arial"/>
                <w:sz w:val="16"/>
                <w:szCs w:val="16"/>
                <w:b w:val="1"/>
                <w:bCs w:val="1"/>
                <w:color w:val="auto"/>
              </w:rPr>
              <w:t>Non-Employee Director Compensation</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Guiding Principles</w:t>
            </w:r>
          </w:p>
        </w:tc>
        <w:tc>
          <w:tcPr>
            <w:tcW w:w="4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Other Compensation</w:t>
            </w:r>
          </w:p>
        </w:tc>
        <w:tc>
          <w:tcPr>
            <w:tcW w:w="4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3600" w:type="dxa"/>
            <w:vAlign w:val="bottom"/>
          </w:tcPr>
          <w:p>
            <w:pPr>
              <w:ind w:left="120"/>
              <w:spacing w:after="0"/>
              <w:rPr>
                <w:sz w:val="20"/>
                <w:szCs w:val="20"/>
                <w:color w:val="auto"/>
              </w:rPr>
            </w:pPr>
            <w:r>
              <w:rPr>
                <w:rFonts w:ascii="Arial" w:cs="Arial" w:eastAsia="Arial" w:hAnsi="Arial"/>
                <w:sz w:val="14"/>
                <w:szCs w:val="14"/>
                <w:color w:val="auto"/>
              </w:rPr>
              <w:t>2025 Non-Employee Director Compensation Table</w:t>
            </w:r>
          </w:p>
        </w:tc>
        <w:tc>
          <w:tcPr>
            <w:tcW w:w="40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03"/>
        </w:trPr>
        <w:tc>
          <w:tcPr>
            <w:tcW w:w="3980" w:type="dxa"/>
            <w:vAlign w:val="bottom"/>
            <w:tcBorders>
              <w:bottom w:val="single" w:sz="8" w:color="0956FF"/>
            </w:tcBorders>
            <w:gridSpan w:val="2"/>
          </w:tcPr>
          <w:p>
            <w:pPr>
              <w:spacing w:after="0"/>
              <w:rPr>
                <w:sz w:val="8"/>
                <w:szCs w:val="8"/>
                <w:color w:val="auto"/>
              </w:rPr>
            </w:pPr>
          </w:p>
        </w:tc>
        <w:tc>
          <w:tcPr>
            <w:tcW w:w="400" w:type="dxa"/>
            <w:vAlign w:val="bottom"/>
            <w:tcBorders>
              <w:bottom w:val="single" w:sz="8" w:color="0956FF"/>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ind w:left="60"/>
              <w:spacing w:after="0"/>
              <w:rPr>
                <w:sz w:val="20"/>
                <w:szCs w:val="20"/>
                <w:color w:val="auto"/>
              </w:rPr>
            </w:pPr>
            <w:r>
              <w:rPr>
                <w:rFonts w:ascii="Arial" w:cs="Arial" w:eastAsia="Arial" w:hAnsi="Arial"/>
                <w:sz w:val="16"/>
                <w:szCs w:val="16"/>
                <w:b w:val="1"/>
                <w:bCs w:val="1"/>
                <w:color w:val="auto"/>
              </w:rPr>
              <w:t>Audit Matters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75"/>
        </w:trPr>
        <w:tc>
          <w:tcPr>
            <w:tcW w:w="380" w:type="dxa"/>
            <w:vAlign w:val="bottom"/>
            <w:tcBorders>
              <w:bottom w:val="single" w:sz="8" w:color="0956FF"/>
            </w:tcBorders>
          </w:tcPr>
          <w:p>
            <w:pPr>
              <w:spacing w:after="0"/>
              <w:rPr>
                <w:sz w:val="6"/>
                <w:szCs w:val="6"/>
                <w:color w:val="auto"/>
              </w:rPr>
            </w:pPr>
          </w:p>
        </w:tc>
        <w:tc>
          <w:tcPr>
            <w:tcW w:w="3600" w:type="dxa"/>
            <w:vAlign w:val="bottom"/>
            <w:tcBorders>
              <w:bottom w:val="single" w:sz="8" w:color="0956FF"/>
            </w:tcBorders>
          </w:tcPr>
          <w:p>
            <w:pPr>
              <w:spacing w:after="0"/>
              <w:rPr>
                <w:sz w:val="6"/>
                <w:szCs w:val="6"/>
                <w:color w:val="auto"/>
              </w:rPr>
            </w:pPr>
          </w:p>
        </w:tc>
        <w:tc>
          <w:tcPr>
            <w:tcW w:w="400" w:type="dxa"/>
            <w:vAlign w:val="bottom"/>
            <w:tcBorders>
              <w:bottom w:val="single" w:sz="8" w:color="0956FF"/>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80" w:type="dxa"/>
            <w:vAlign w:val="bottom"/>
            <w:shd w:val="clear" w:color="auto" w:fill="0956FF"/>
          </w:tcPr>
          <w:p>
            <w:pPr>
              <w:spacing w:after="0"/>
              <w:rPr>
                <w:sz w:val="19"/>
                <w:szCs w:val="19"/>
                <w:color w:val="auto"/>
              </w:rPr>
            </w:pPr>
          </w:p>
        </w:tc>
        <w:tc>
          <w:tcPr>
            <w:tcW w:w="3600" w:type="dxa"/>
            <w:vAlign w:val="bottom"/>
          </w:tcPr>
          <w:p>
            <w:pPr>
              <w:ind w:left="80"/>
              <w:spacing w:after="0"/>
              <w:rPr>
                <w:sz w:val="20"/>
                <w:szCs w:val="20"/>
                <w:color w:val="auto"/>
              </w:rPr>
            </w:pPr>
            <w:r>
              <w:rPr>
                <w:rFonts w:ascii="Arial" w:cs="Arial" w:eastAsia="Arial" w:hAnsi="Arial"/>
                <w:sz w:val="13"/>
                <w:szCs w:val="13"/>
                <w:b w:val="1"/>
                <w:bCs w:val="1"/>
                <w:color w:val="0956FF"/>
              </w:rPr>
              <w:t>ITEM: 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80" w:type="dxa"/>
            <w:vAlign w:val="bottom"/>
            <w:tcBorders>
              <w:bottom w:val="single" w:sz="8" w:color="0956FF"/>
            </w:tcBorders>
            <w:shd w:val="clear" w:color="auto" w:fill="0956FF"/>
          </w:tcPr>
          <w:p>
            <w:pPr>
              <w:spacing w:after="0"/>
              <w:rPr>
                <w:sz w:val="17"/>
                <w:szCs w:val="17"/>
                <w:color w:val="auto"/>
              </w:rPr>
            </w:pPr>
          </w:p>
        </w:tc>
        <w:tc>
          <w:tcPr>
            <w:tcW w:w="3600" w:type="dxa"/>
            <w:vAlign w:val="bottom"/>
          </w:tcPr>
          <w:p>
            <w:pPr>
              <w:ind w:left="80"/>
              <w:spacing w:after="0"/>
              <w:rPr>
                <w:sz w:val="20"/>
                <w:szCs w:val="20"/>
                <w:color w:val="auto"/>
              </w:rPr>
            </w:pPr>
            <w:r>
              <w:rPr>
                <w:rFonts w:ascii="Arial" w:cs="Arial" w:eastAsia="Arial" w:hAnsi="Arial"/>
                <w:sz w:val="16"/>
                <w:szCs w:val="16"/>
                <w:b w:val="1"/>
                <w:bCs w:val="1"/>
                <w:color w:val="auto"/>
              </w:rPr>
              <w:t>Proposal to Ratify the Selection of Ernst &amp;</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3600" w:type="dxa"/>
            <w:vAlign w:val="bottom"/>
          </w:tcPr>
          <w:p>
            <w:pPr>
              <w:ind w:left="80"/>
              <w:spacing w:after="0" w:line="161" w:lineRule="exact"/>
              <w:rPr>
                <w:sz w:val="20"/>
                <w:szCs w:val="20"/>
                <w:color w:val="auto"/>
              </w:rPr>
            </w:pPr>
            <w:r>
              <w:rPr>
                <w:rFonts w:ascii="Arial" w:cs="Arial" w:eastAsia="Arial" w:hAnsi="Arial"/>
                <w:sz w:val="16"/>
                <w:szCs w:val="16"/>
                <w:b w:val="1"/>
                <w:bCs w:val="1"/>
                <w:color w:val="auto"/>
              </w:rPr>
              <w:t>Young LLP as the Company’s Independent</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600" w:type="dxa"/>
            <w:vAlign w:val="bottom"/>
          </w:tcPr>
          <w:p>
            <w:pPr>
              <w:ind w:left="80"/>
              <w:spacing w:after="0"/>
              <w:rPr>
                <w:sz w:val="20"/>
                <w:szCs w:val="20"/>
                <w:color w:val="auto"/>
              </w:rPr>
            </w:pPr>
            <w:r>
              <w:rPr>
                <w:rFonts w:ascii="Arial" w:cs="Arial" w:eastAsia="Arial" w:hAnsi="Arial"/>
                <w:sz w:val="16"/>
                <w:szCs w:val="16"/>
                <w:b w:val="1"/>
                <w:bCs w:val="1"/>
                <w:color w:val="auto"/>
              </w:rPr>
              <w:t>Registered Public Accounting Firm</w:t>
            </w: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600" w:type="dxa"/>
            <w:vAlign w:val="bottom"/>
          </w:tcPr>
          <w:p>
            <w:pPr>
              <w:ind w:left="80"/>
              <w:spacing w:after="0"/>
              <w:rPr>
                <w:sz w:val="20"/>
                <w:szCs w:val="20"/>
                <w:color w:val="auto"/>
              </w:rPr>
            </w:pPr>
            <w:r>
              <w:rPr>
                <w:rFonts w:ascii="Arial" w:cs="Arial" w:eastAsia="Arial" w:hAnsi="Arial"/>
                <w:sz w:val="16"/>
                <w:szCs w:val="16"/>
                <w:b w:val="1"/>
                <w:bCs w:val="1"/>
                <w:color w:val="auto"/>
              </w:rPr>
              <w:t>for 2026</w:t>
            </w:r>
          </w:p>
        </w:tc>
        <w:tc>
          <w:tcPr>
            <w:tcW w:w="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Audit Committee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Fees Paid to Independent Registered Public</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Accounting Firm</w:t>
            </w:r>
          </w:p>
        </w:tc>
        <w:tc>
          <w:tcPr>
            <w:tcW w:w="4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1"/>
        </w:trPr>
        <w:tc>
          <w:tcPr>
            <w:tcW w:w="380" w:type="dxa"/>
            <w:vAlign w:val="bottom"/>
          </w:tcPr>
          <w:p>
            <w:pPr>
              <w:spacing w:after="0"/>
              <w:rPr>
                <w:sz w:val="17"/>
                <w:szCs w:val="17"/>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Policy for Approval of Audit and Permitted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Non-Audit Services</w:t>
            </w: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89"/>
        </w:trPr>
        <w:tc>
          <w:tcPr>
            <w:tcW w:w="3980" w:type="dxa"/>
            <w:vAlign w:val="bottom"/>
            <w:tcBorders>
              <w:bottom w:val="single" w:sz="8" w:color="0956FF"/>
            </w:tcBorders>
            <w:gridSpan w:val="2"/>
          </w:tcPr>
          <w:p>
            <w:pPr>
              <w:spacing w:after="0"/>
              <w:rPr>
                <w:sz w:val="7"/>
                <w:szCs w:val="7"/>
                <w:color w:val="auto"/>
              </w:rPr>
            </w:pPr>
          </w:p>
        </w:tc>
        <w:tc>
          <w:tcPr>
            <w:tcW w:w="400" w:type="dxa"/>
            <w:vAlign w:val="bottom"/>
            <w:tcBorders>
              <w:bottom w:val="single" w:sz="8" w:color="0956FF"/>
            </w:tcBorders>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3980" w:type="dxa"/>
            <w:vAlign w:val="bottom"/>
            <w:gridSpan w:val="2"/>
          </w:tcPr>
          <w:p>
            <w:pPr>
              <w:ind w:left="60"/>
              <w:spacing w:after="0"/>
              <w:rPr>
                <w:sz w:val="20"/>
                <w:szCs w:val="20"/>
                <w:color w:val="auto"/>
              </w:rPr>
            </w:pPr>
            <w:r>
              <w:rPr>
                <w:rFonts w:ascii="Arial" w:cs="Arial" w:eastAsia="Arial" w:hAnsi="Arial"/>
                <w:sz w:val="16"/>
                <w:szCs w:val="16"/>
                <w:b w:val="1"/>
                <w:bCs w:val="1"/>
                <w:color w:val="auto"/>
              </w:rPr>
              <w:t>Executive Compensation</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75"/>
        </w:trPr>
        <w:tc>
          <w:tcPr>
            <w:tcW w:w="380" w:type="dxa"/>
            <w:vAlign w:val="bottom"/>
            <w:tcBorders>
              <w:bottom w:val="single" w:sz="8" w:color="0956FF"/>
            </w:tcBorders>
          </w:tcPr>
          <w:p>
            <w:pPr>
              <w:spacing w:after="0"/>
              <w:rPr>
                <w:sz w:val="6"/>
                <w:szCs w:val="6"/>
                <w:color w:val="auto"/>
              </w:rPr>
            </w:pPr>
          </w:p>
        </w:tc>
        <w:tc>
          <w:tcPr>
            <w:tcW w:w="3600" w:type="dxa"/>
            <w:vAlign w:val="bottom"/>
            <w:tcBorders>
              <w:bottom w:val="single" w:sz="8" w:color="0956FF"/>
            </w:tcBorders>
          </w:tcPr>
          <w:p>
            <w:pPr>
              <w:spacing w:after="0"/>
              <w:rPr>
                <w:sz w:val="6"/>
                <w:szCs w:val="6"/>
                <w:color w:val="auto"/>
              </w:rPr>
            </w:pPr>
          </w:p>
        </w:tc>
        <w:tc>
          <w:tcPr>
            <w:tcW w:w="400" w:type="dxa"/>
            <w:vAlign w:val="bottom"/>
            <w:tcBorders>
              <w:bottom w:val="single" w:sz="8" w:color="0956FF"/>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80" w:type="dxa"/>
            <w:vAlign w:val="bottom"/>
            <w:shd w:val="clear" w:color="auto" w:fill="0956FF"/>
          </w:tcPr>
          <w:p>
            <w:pPr>
              <w:spacing w:after="0"/>
              <w:rPr>
                <w:sz w:val="19"/>
                <w:szCs w:val="19"/>
                <w:color w:val="auto"/>
              </w:rPr>
            </w:pPr>
          </w:p>
        </w:tc>
        <w:tc>
          <w:tcPr>
            <w:tcW w:w="3600" w:type="dxa"/>
            <w:vAlign w:val="bottom"/>
          </w:tcPr>
          <w:p>
            <w:pPr>
              <w:ind w:left="80"/>
              <w:spacing w:after="0"/>
              <w:rPr>
                <w:sz w:val="20"/>
                <w:szCs w:val="20"/>
                <w:color w:val="auto"/>
              </w:rPr>
            </w:pPr>
            <w:r>
              <w:rPr>
                <w:rFonts w:ascii="Arial" w:cs="Arial" w:eastAsia="Arial" w:hAnsi="Arial"/>
                <w:sz w:val="13"/>
                <w:szCs w:val="13"/>
                <w:b w:val="1"/>
                <w:bCs w:val="1"/>
                <w:color w:val="0956FF"/>
              </w:rPr>
              <w:t>ITEM: 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80" w:type="dxa"/>
            <w:vAlign w:val="bottom"/>
            <w:tcBorders>
              <w:bottom w:val="single" w:sz="8" w:color="0956FF"/>
            </w:tcBorders>
            <w:shd w:val="clear" w:color="auto" w:fill="0956FF"/>
          </w:tcPr>
          <w:p>
            <w:pPr>
              <w:spacing w:after="0"/>
              <w:rPr>
                <w:sz w:val="17"/>
                <w:szCs w:val="17"/>
                <w:color w:val="auto"/>
              </w:rPr>
            </w:pPr>
          </w:p>
        </w:tc>
        <w:tc>
          <w:tcPr>
            <w:tcW w:w="3600" w:type="dxa"/>
            <w:vAlign w:val="bottom"/>
          </w:tcPr>
          <w:p>
            <w:pPr>
              <w:ind w:left="80"/>
              <w:spacing w:after="0"/>
              <w:rPr>
                <w:sz w:val="20"/>
                <w:szCs w:val="20"/>
                <w:color w:val="auto"/>
              </w:rPr>
            </w:pPr>
            <w:r>
              <w:rPr>
                <w:rFonts w:ascii="Arial" w:cs="Arial" w:eastAsia="Arial" w:hAnsi="Arial"/>
                <w:sz w:val="16"/>
                <w:szCs w:val="16"/>
                <w:b w:val="1"/>
                <w:bCs w:val="1"/>
                <w:color w:val="auto"/>
              </w:rPr>
              <w:t>Proposal to Approve, on an Advisory Basis,</w:t>
            </w:r>
          </w:p>
        </w:tc>
        <w:tc>
          <w:tcPr>
            <w:tcW w:w="4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360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 Compensation</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80" w:type="dxa"/>
            <w:vAlign w:val="bottom"/>
          </w:tcPr>
          <w:p>
            <w:pPr>
              <w:spacing w:after="0"/>
              <w:rPr>
                <w:sz w:val="23"/>
                <w:szCs w:val="23"/>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Letter From the Compensation Committee Chair</w:t>
            </w:r>
          </w:p>
        </w:tc>
        <w:tc>
          <w:tcPr>
            <w:tcW w:w="400" w:type="dxa"/>
            <w:vAlign w:val="bottom"/>
          </w:tcPr>
          <w:p>
            <w:pPr>
              <w:jc w:val="right"/>
              <w:ind w:right="5"/>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Compensation Discussion and Analysis</w:t>
            </w:r>
          </w:p>
        </w:tc>
        <w:tc>
          <w:tcPr>
            <w:tcW w:w="4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600" w:type="dxa"/>
            <w:vAlign w:val="bottom"/>
          </w:tcPr>
          <w:p>
            <w:pPr>
              <w:ind w:left="100"/>
              <w:spacing w:after="0"/>
              <w:rPr>
                <w:sz w:val="20"/>
                <w:szCs w:val="20"/>
                <w:color w:val="auto"/>
              </w:rPr>
            </w:pPr>
            <w:r>
              <w:rPr>
                <w:rFonts w:ascii="Arial" w:cs="Arial" w:eastAsia="Arial" w:hAnsi="Arial"/>
                <w:sz w:val="14"/>
                <w:szCs w:val="14"/>
                <w:color w:val="auto"/>
              </w:rPr>
              <w:t>Compensation Committee Report</w:t>
            </w:r>
          </w:p>
        </w:tc>
        <w:tc>
          <w:tcPr>
            <w:tcW w:w="4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4"/>
                <w:szCs w:val="14"/>
                <w:color w:val="auto"/>
              </w:rPr>
              <w:t>Executive Compensation Tables</w:t>
            </w:r>
          </w:p>
        </w:tc>
        <w:tc>
          <w:tcPr>
            <w:tcW w:w="4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580" w:type="dxa"/>
            <w:vAlign w:val="bottom"/>
          </w:tcPr>
          <w:p>
            <w:pPr>
              <w:ind w:left="80"/>
              <w:spacing w:after="0"/>
              <w:rPr>
                <w:sz w:val="20"/>
                <w:szCs w:val="20"/>
                <w:color w:val="auto"/>
              </w:rPr>
            </w:pPr>
            <w:r>
              <w:rPr>
                <w:rFonts w:ascii="Arial" w:cs="Arial" w:eastAsia="Arial" w:hAnsi="Arial"/>
                <w:sz w:val="14"/>
                <w:szCs w:val="14"/>
                <w:color w:val="auto"/>
              </w:rPr>
              <w:t>CEO Pay Ratio</w:t>
            </w:r>
          </w:p>
        </w:tc>
        <w:tc>
          <w:tcPr>
            <w:tcW w:w="42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3580" w:type="dxa"/>
            <w:vAlign w:val="bottom"/>
          </w:tcPr>
          <w:p>
            <w:pPr>
              <w:ind w:left="80"/>
              <w:spacing w:after="0"/>
              <w:rPr>
                <w:sz w:val="20"/>
                <w:szCs w:val="20"/>
                <w:color w:val="auto"/>
              </w:rPr>
            </w:pPr>
            <w:r>
              <w:rPr>
                <w:rFonts w:ascii="Arial" w:cs="Arial" w:eastAsia="Arial" w:hAnsi="Arial"/>
                <w:sz w:val="14"/>
                <w:szCs w:val="14"/>
                <w:color w:val="auto"/>
              </w:rPr>
              <w:t>Pay Versus Performance</w:t>
            </w:r>
          </w:p>
        </w:tc>
        <w:tc>
          <w:tcPr>
            <w:tcW w:w="42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3580" w:type="dxa"/>
            <w:vAlign w:val="bottom"/>
          </w:tcPr>
          <w:p>
            <w:pPr>
              <w:ind w:left="120"/>
              <w:spacing w:after="0"/>
              <w:rPr>
                <w:sz w:val="20"/>
                <w:szCs w:val="20"/>
                <w:color w:val="auto"/>
              </w:rPr>
            </w:pPr>
            <w:r>
              <w:rPr>
                <w:rFonts w:ascii="Arial" w:cs="Arial" w:eastAsia="Arial" w:hAnsi="Arial"/>
                <w:sz w:val="14"/>
                <w:szCs w:val="14"/>
                <w:color w:val="auto"/>
              </w:rPr>
              <w:t>Equity Compensation Plan Information</w:t>
            </w:r>
          </w:p>
        </w:tc>
        <w:tc>
          <w:tcPr>
            <w:tcW w:w="42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03"/>
        </w:trPr>
        <w:tc>
          <w:tcPr>
            <w:tcW w:w="380" w:type="dxa"/>
            <w:vAlign w:val="bottom"/>
            <w:tcBorders>
              <w:bottom w:val="single" w:sz="8" w:color="0956FF"/>
            </w:tcBorders>
          </w:tcPr>
          <w:p>
            <w:pPr>
              <w:spacing w:after="0"/>
              <w:rPr>
                <w:sz w:val="8"/>
                <w:szCs w:val="8"/>
                <w:color w:val="auto"/>
              </w:rPr>
            </w:pPr>
          </w:p>
        </w:tc>
        <w:tc>
          <w:tcPr>
            <w:tcW w:w="3580" w:type="dxa"/>
            <w:vAlign w:val="bottom"/>
            <w:tcBorders>
              <w:bottom w:val="single" w:sz="8" w:color="0956FF"/>
            </w:tcBorders>
          </w:tcPr>
          <w:p>
            <w:pPr>
              <w:spacing w:after="0"/>
              <w:rPr>
                <w:sz w:val="8"/>
                <w:szCs w:val="8"/>
                <w:color w:val="auto"/>
              </w:rPr>
            </w:pPr>
          </w:p>
        </w:tc>
        <w:tc>
          <w:tcPr>
            <w:tcW w:w="420" w:type="dxa"/>
            <w:vAlign w:val="bottom"/>
            <w:tcBorders>
              <w:bottom w:val="single" w:sz="8" w:color="0956FF"/>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80" w:type="dxa"/>
            <w:vAlign w:val="bottom"/>
            <w:shd w:val="clear" w:color="auto" w:fill="0956FF"/>
          </w:tcPr>
          <w:p>
            <w:pPr>
              <w:spacing w:after="0"/>
              <w:rPr>
                <w:sz w:val="18"/>
                <w:szCs w:val="18"/>
                <w:color w:val="auto"/>
              </w:rPr>
            </w:pPr>
          </w:p>
        </w:tc>
        <w:tc>
          <w:tcPr>
            <w:tcW w:w="3580" w:type="dxa"/>
            <w:vAlign w:val="bottom"/>
          </w:tcPr>
          <w:p>
            <w:pPr>
              <w:ind w:left="80"/>
              <w:spacing w:after="0"/>
              <w:rPr>
                <w:sz w:val="20"/>
                <w:szCs w:val="20"/>
                <w:color w:val="auto"/>
              </w:rPr>
            </w:pPr>
            <w:r>
              <w:rPr>
                <w:rFonts w:ascii="Arial" w:cs="Arial" w:eastAsia="Arial" w:hAnsi="Arial"/>
                <w:sz w:val="13"/>
                <w:szCs w:val="13"/>
                <w:b w:val="1"/>
                <w:bCs w:val="1"/>
                <w:color w:val="0956FF"/>
              </w:rPr>
              <w:t>ITEM: 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Borders>
              <w:bottom w:val="single" w:sz="8" w:color="0956FF"/>
            </w:tcBorders>
            <w:shd w:val="clear" w:color="auto" w:fill="0956FF"/>
          </w:tcPr>
          <w:p>
            <w:pPr>
              <w:spacing w:after="0"/>
              <w:rPr>
                <w:sz w:val="18"/>
                <w:szCs w:val="18"/>
                <w:color w:val="auto"/>
              </w:rPr>
            </w:pPr>
          </w:p>
        </w:tc>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Proposal to Approve, on an Advisory Basis,</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3580" w:type="dxa"/>
            <w:vAlign w:val="bottom"/>
          </w:tcPr>
          <w:p>
            <w:pPr>
              <w:ind w:left="80"/>
              <w:spacing w:after="0" w:line="161" w:lineRule="exact"/>
              <w:rPr>
                <w:sz w:val="20"/>
                <w:szCs w:val="20"/>
                <w:color w:val="auto"/>
              </w:rPr>
            </w:pPr>
            <w:r>
              <w:rPr>
                <w:rFonts w:ascii="Arial" w:cs="Arial" w:eastAsia="Arial" w:hAnsi="Arial"/>
                <w:sz w:val="16"/>
                <w:szCs w:val="16"/>
                <w:b w:val="1"/>
                <w:bCs w:val="1"/>
                <w:color w:val="auto"/>
              </w:rPr>
              <w:t>the Frequency of Future Advisory Votes on</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Named Executive Officer Compensation</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88"/>
        </w:trPr>
        <w:tc>
          <w:tcPr>
            <w:tcW w:w="380" w:type="dxa"/>
            <w:vAlign w:val="bottom"/>
            <w:tcBorders>
              <w:bottom w:val="single" w:sz="8" w:color="0956FF"/>
            </w:tcBorders>
          </w:tcPr>
          <w:p>
            <w:pPr>
              <w:spacing w:after="0"/>
              <w:rPr>
                <w:sz w:val="7"/>
                <w:szCs w:val="7"/>
                <w:color w:val="auto"/>
              </w:rPr>
            </w:pPr>
          </w:p>
        </w:tc>
        <w:tc>
          <w:tcPr>
            <w:tcW w:w="3580" w:type="dxa"/>
            <w:vAlign w:val="bottom"/>
            <w:tcBorders>
              <w:bottom w:val="single" w:sz="8" w:color="0956FF"/>
            </w:tcBorders>
          </w:tcPr>
          <w:p>
            <w:pPr>
              <w:spacing w:after="0"/>
              <w:rPr>
                <w:sz w:val="7"/>
                <w:szCs w:val="7"/>
                <w:color w:val="auto"/>
              </w:rPr>
            </w:pPr>
          </w:p>
        </w:tc>
        <w:tc>
          <w:tcPr>
            <w:tcW w:w="420" w:type="dxa"/>
            <w:vAlign w:val="bottom"/>
            <w:tcBorders>
              <w:bottom w:val="single" w:sz="8" w:color="0956FF"/>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80" w:type="dxa"/>
            <w:vAlign w:val="bottom"/>
            <w:shd w:val="clear" w:color="auto" w:fill="0956FF"/>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3"/>
                <w:szCs w:val="13"/>
                <w:b w:val="1"/>
                <w:bCs w:val="1"/>
                <w:color w:val="0956FF"/>
              </w:rPr>
              <w:t>ITEM: 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80" w:type="dxa"/>
            <w:vAlign w:val="bottom"/>
            <w:tcBorders>
              <w:bottom w:val="single" w:sz="8" w:color="0956FF"/>
            </w:tcBorders>
            <w:shd w:val="clear" w:color="auto" w:fill="0956FF"/>
          </w:tcPr>
          <w:p>
            <w:pPr>
              <w:spacing w:after="0"/>
              <w:rPr>
                <w:sz w:val="17"/>
                <w:szCs w:val="17"/>
                <w:color w:val="auto"/>
              </w:rPr>
            </w:pPr>
          </w:p>
        </w:tc>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Proposal to Approve Amendment No. 2 to</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358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the Company’s 2020 Long-Term Incentive</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Plan to Increase the Number of Shares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Available for Issuance Thereunder</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0" w:type="dxa"/>
            <w:vAlign w:val="bottom"/>
          </w:tcPr>
          <w:p>
            <w:pPr>
              <w:spacing w:after="0"/>
              <w:rPr>
                <w:sz w:val="1"/>
                <w:szCs w:val="1"/>
                <w:color w:val="auto"/>
              </w:rPr>
            </w:pPr>
          </w:p>
        </w:tc>
      </w:tr>
      <w:tr>
        <w:trPr>
          <w:trHeight w:val="88"/>
        </w:trPr>
        <w:tc>
          <w:tcPr>
            <w:tcW w:w="3960" w:type="dxa"/>
            <w:vAlign w:val="bottom"/>
            <w:tcBorders>
              <w:bottom w:val="single" w:sz="8" w:color="0956FF"/>
            </w:tcBorders>
            <w:gridSpan w:val="2"/>
          </w:tcPr>
          <w:p>
            <w:pPr>
              <w:spacing w:after="0"/>
              <w:rPr>
                <w:sz w:val="7"/>
                <w:szCs w:val="7"/>
                <w:color w:val="auto"/>
              </w:rPr>
            </w:pPr>
          </w:p>
        </w:tc>
        <w:tc>
          <w:tcPr>
            <w:tcW w:w="420" w:type="dxa"/>
            <w:vAlign w:val="bottom"/>
            <w:tcBorders>
              <w:bottom w:val="single" w:sz="8" w:color="0956FF"/>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auto"/>
              </w:rPr>
              <w:t>Stewardship Engagement Process and Oversight</w:t>
            </w:r>
          </w:p>
        </w:tc>
        <w:tc>
          <w:tcPr>
            <w:tcW w:w="420" w:type="dxa"/>
            <w:vAlign w:val="bottom"/>
          </w:tcPr>
          <w:p>
            <w:pPr>
              <w:jc w:val="right"/>
              <w:ind w:right="3"/>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256"/>
        </w:trPr>
        <w:tc>
          <w:tcPr>
            <w:tcW w:w="380" w:type="dxa"/>
            <w:vAlign w:val="bottom"/>
          </w:tcPr>
          <w:p>
            <w:pPr>
              <w:spacing w:after="0"/>
              <w:rPr>
                <w:sz w:val="22"/>
                <w:szCs w:val="22"/>
                <w:color w:val="auto"/>
              </w:rPr>
            </w:pPr>
          </w:p>
        </w:tc>
        <w:tc>
          <w:tcPr>
            <w:tcW w:w="3580" w:type="dxa"/>
            <w:vAlign w:val="bottom"/>
          </w:tcPr>
          <w:p>
            <w:pPr>
              <w:ind w:left="80"/>
              <w:spacing w:after="0"/>
              <w:rPr>
                <w:sz w:val="20"/>
                <w:szCs w:val="20"/>
                <w:color w:val="auto"/>
              </w:rPr>
            </w:pPr>
            <w:r>
              <w:rPr>
                <w:rFonts w:ascii="Arial" w:cs="Arial" w:eastAsia="Arial" w:hAnsi="Arial"/>
                <w:sz w:val="14"/>
                <w:szCs w:val="14"/>
                <w:color w:val="auto"/>
              </w:rPr>
              <w:t>Oversight of Other Stewardship Topics</w:t>
            </w:r>
          </w:p>
        </w:tc>
        <w:tc>
          <w:tcPr>
            <w:tcW w:w="42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89"/>
        </w:trPr>
        <w:tc>
          <w:tcPr>
            <w:tcW w:w="3960" w:type="dxa"/>
            <w:vAlign w:val="bottom"/>
            <w:tcBorders>
              <w:bottom w:val="single" w:sz="8" w:color="0956FF"/>
            </w:tcBorders>
            <w:gridSpan w:val="2"/>
          </w:tcPr>
          <w:p>
            <w:pPr>
              <w:spacing w:after="0"/>
              <w:rPr>
                <w:sz w:val="7"/>
                <w:szCs w:val="7"/>
                <w:color w:val="auto"/>
              </w:rPr>
            </w:pPr>
          </w:p>
        </w:tc>
        <w:tc>
          <w:tcPr>
            <w:tcW w:w="420" w:type="dxa"/>
            <w:vAlign w:val="bottom"/>
            <w:tcBorders>
              <w:bottom w:val="single" w:sz="8" w:color="0956FF"/>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Shareholder Proposals</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0" w:type="dxa"/>
            <w:vAlign w:val="bottom"/>
          </w:tcPr>
          <w:p>
            <w:pPr>
              <w:spacing w:after="0"/>
              <w:rPr>
                <w:sz w:val="1"/>
                <w:szCs w:val="1"/>
                <w:color w:val="auto"/>
              </w:rPr>
            </w:pPr>
          </w:p>
        </w:tc>
      </w:tr>
      <w:tr>
        <w:trPr>
          <w:trHeight w:val="89"/>
        </w:trPr>
        <w:tc>
          <w:tcPr>
            <w:tcW w:w="38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80" w:type="dxa"/>
            <w:vAlign w:val="bottom"/>
            <w:shd w:val="clear" w:color="auto" w:fill="D9D9D6"/>
          </w:tcPr>
          <w:p>
            <w:pPr>
              <w:spacing w:after="0"/>
              <w:rPr>
                <w:sz w:val="20"/>
                <w:szCs w:val="20"/>
                <w:color w:val="auto"/>
              </w:rPr>
            </w:pPr>
          </w:p>
        </w:tc>
        <w:tc>
          <w:tcPr>
            <w:tcW w:w="3580" w:type="dxa"/>
            <w:vAlign w:val="bottom"/>
          </w:tcPr>
          <w:p>
            <w:pPr>
              <w:ind w:left="80"/>
              <w:spacing w:after="0"/>
              <w:rPr>
                <w:sz w:val="20"/>
                <w:szCs w:val="20"/>
                <w:color w:val="auto"/>
              </w:rPr>
            </w:pPr>
            <w:r>
              <w:rPr>
                <w:rFonts w:ascii="Arial" w:cs="Arial" w:eastAsia="Arial" w:hAnsi="Arial"/>
                <w:sz w:val="13"/>
                <w:szCs w:val="13"/>
                <w:b w:val="1"/>
                <w:bCs w:val="1"/>
                <w:color w:val="auto"/>
              </w:rPr>
              <w:t>ITEM: 6</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D9D9D6"/>
          </w:tcPr>
          <w:p>
            <w:pPr>
              <w:spacing w:after="0"/>
              <w:rPr>
                <w:sz w:val="17"/>
                <w:szCs w:val="17"/>
                <w:color w:val="auto"/>
              </w:rPr>
            </w:pPr>
          </w:p>
        </w:tc>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Shareholder Proposal Regarding</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Separation of Chair and CEO Roles</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0" w:type="dxa"/>
            <w:vAlign w:val="bottom"/>
          </w:tcPr>
          <w:p>
            <w:pPr>
              <w:spacing w:after="0"/>
              <w:rPr>
                <w:sz w:val="1"/>
                <w:szCs w:val="1"/>
                <w:color w:val="auto"/>
              </w:rPr>
            </w:pPr>
          </w:p>
        </w:tc>
      </w:tr>
      <w:tr>
        <w:trPr>
          <w:trHeight w:val="296"/>
        </w:trPr>
        <w:tc>
          <w:tcPr>
            <w:tcW w:w="380" w:type="dxa"/>
            <w:vAlign w:val="bottom"/>
          </w:tcPr>
          <w:p>
            <w:pPr>
              <w:spacing w:after="0"/>
              <w:rPr>
                <w:sz w:val="24"/>
                <w:szCs w:val="24"/>
                <w:color w:val="auto"/>
              </w:rPr>
            </w:pPr>
          </w:p>
        </w:tc>
        <w:tc>
          <w:tcPr>
            <w:tcW w:w="3580" w:type="dxa"/>
            <w:vAlign w:val="bottom"/>
          </w:tcPr>
          <w:p>
            <w:pPr>
              <w:ind w:left="80"/>
              <w:spacing w:after="0"/>
              <w:rPr>
                <w:sz w:val="20"/>
                <w:szCs w:val="20"/>
                <w:color w:val="auto"/>
              </w:rPr>
            </w:pPr>
            <w:r>
              <w:rPr>
                <w:rFonts w:ascii="Arial" w:cs="Arial" w:eastAsia="Arial" w:hAnsi="Arial"/>
                <w:sz w:val="14"/>
                <w:szCs w:val="14"/>
                <w:color w:val="auto"/>
              </w:rPr>
              <w:t>Board Response</w:t>
            </w:r>
          </w:p>
        </w:tc>
        <w:tc>
          <w:tcPr>
            <w:tcW w:w="42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89"/>
        </w:trPr>
        <w:tc>
          <w:tcPr>
            <w:tcW w:w="38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80" w:type="dxa"/>
            <w:vAlign w:val="bottom"/>
            <w:shd w:val="clear" w:color="auto" w:fill="D9D9D6"/>
          </w:tcPr>
          <w:p>
            <w:pPr>
              <w:spacing w:after="0"/>
              <w:rPr>
                <w:sz w:val="20"/>
                <w:szCs w:val="20"/>
                <w:color w:val="auto"/>
              </w:rPr>
            </w:pPr>
          </w:p>
        </w:tc>
        <w:tc>
          <w:tcPr>
            <w:tcW w:w="3580" w:type="dxa"/>
            <w:vAlign w:val="bottom"/>
          </w:tcPr>
          <w:p>
            <w:pPr>
              <w:ind w:left="80"/>
              <w:spacing w:after="0"/>
              <w:rPr>
                <w:sz w:val="20"/>
                <w:szCs w:val="20"/>
                <w:color w:val="auto"/>
              </w:rPr>
            </w:pPr>
            <w:r>
              <w:rPr>
                <w:rFonts w:ascii="Arial" w:cs="Arial" w:eastAsia="Arial" w:hAnsi="Arial"/>
                <w:sz w:val="13"/>
                <w:szCs w:val="13"/>
                <w:b w:val="1"/>
                <w:bCs w:val="1"/>
                <w:color w:val="auto"/>
              </w:rPr>
              <w:t>ITEM: 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D9D9D6"/>
          </w:tcPr>
          <w:p>
            <w:pPr>
              <w:spacing w:after="0"/>
              <w:rPr>
                <w:sz w:val="17"/>
                <w:szCs w:val="17"/>
                <w:color w:val="auto"/>
              </w:rPr>
            </w:pPr>
          </w:p>
        </w:tc>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Shareholder Proposal Requesting a Report</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358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on Human Rights Standards for Indigenous</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95</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Peoples</w:t>
            </w: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3580" w:type="dxa"/>
            <w:vAlign w:val="bottom"/>
          </w:tcPr>
          <w:p>
            <w:pPr>
              <w:ind w:left="80"/>
              <w:spacing w:after="0"/>
              <w:rPr>
                <w:sz w:val="20"/>
                <w:szCs w:val="20"/>
                <w:color w:val="auto"/>
              </w:rPr>
            </w:pPr>
            <w:r>
              <w:rPr>
                <w:rFonts w:ascii="Arial" w:cs="Arial" w:eastAsia="Arial" w:hAnsi="Arial"/>
                <w:sz w:val="14"/>
                <w:szCs w:val="14"/>
                <w:color w:val="auto"/>
              </w:rPr>
              <w:t>Board Response</w:t>
            </w:r>
          </w:p>
        </w:tc>
        <w:tc>
          <w:tcPr>
            <w:tcW w:w="42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03"/>
        </w:trPr>
        <w:tc>
          <w:tcPr>
            <w:tcW w:w="3960" w:type="dxa"/>
            <w:vAlign w:val="bottom"/>
            <w:tcBorders>
              <w:bottom w:val="single" w:sz="8" w:color="0956FF"/>
            </w:tcBorders>
            <w:gridSpan w:val="2"/>
          </w:tcPr>
          <w:p>
            <w:pPr>
              <w:spacing w:after="0"/>
              <w:rPr>
                <w:sz w:val="8"/>
                <w:szCs w:val="8"/>
                <w:color w:val="auto"/>
              </w:rPr>
            </w:pPr>
          </w:p>
        </w:tc>
        <w:tc>
          <w:tcPr>
            <w:tcW w:w="420" w:type="dxa"/>
            <w:vAlign w:val="bottom"/>
            <w:tcBorders>
              <w:bottom w:val="single" w:sz="8" w:color="0956FF"/>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auto"/>
              </w:rPr>
              <w:t>Security Ownership Information</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4"/>
                <w:szCs w:val="14"/>
                <w:color w:val="auto"/>
              </w:rPr>
              <w:t>Security Ownership of Directors, Named Executive</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3580" w:type="dxa"/>
            <w:vAlign w:val="bottom"/>
          </w:tcPr>
          <w:p>
            <w:pPr>
              <w:ind w:left="120"/>
              <w:spacing w:after="0"/>
              <w:rPr>
                <w:sz w:val="20"/>
                <w:szCs w:val="20"/>
                <w:color w:val="auto"/>
              </w:rPr>
            </w:pPr>
            <w:r>
              <w:rPr>
                <w:rFonts w:ascii="Arial" w:cs="Arial" w:eastAsia="Arial" w:hAnsi="Arial"/>
                <w:sz w:val="14"/>
                <w:szCs w:val="14"/>
                <w:color w:val="auto"/>
              </w:rPr>
              <w:t>Officers, and Certain Other Beneficial Owners</w:t>
            </w:r>
          </w:p>
        </w:tc>
        <w:tc>
          <w:tcPr>
            <w:tcW w:w="42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580" w:type="dxa"/>
            <w:vAlign w:val="bottom"/>
          </w:tcPr>
          <w:p>
            <w:pPr>
              <w:ind w:left="120"/>
              <w:spacing w:after="0"/>
              <w:rPr>
                <w:sz w:val="20"/>
                <w:szCs w:val="20"/>
                <w:color w:val="auto"/>
              </w:rPr>
            </w:pPr>
            <w:r>
              <w:rPr>
                <w:rFonts w:ascii="Arial" w:cs="Arial" w:eastAsia="Arial" w:hAnsi="Arial"/>
                <w:sz w:val="14"/>
                <w:szCs w:val="14"/>
                <w:color w:val="auto"/>
              </w:rPr>
              <w:t>Delinquent Section 16(a) Reporting</w:t>
            </w:r>
          </w:p>
        </w:tc>
        <w:tc>
          <w:tcPr>
            <w:tcW w:w="4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89"/>
        </w:trPr>
        <w:tc>
          <w:tcPr>
            <w:tcW w:w="3960" w:type="dxa"/>
            <w:vAlign w:val="bottom"/>
            <w:tcBorders>
              <w:bottom w:val="single" w:sz="8" w:color="0956FF"/>
            </w:tcBorders>
            <w:gridSpan w:val="2"/>
          </w:tcPr>
          <w:p>
            <w:pPr>
              <w:spacing w:after="0"/>
              <w:rPr>
                <w:sz w:val="7"/>
                <w:szCs w:val="7"/>
                <w:color w:val="auto"/>
              </w:rPr>
            </w:pPr>
          </w:p>
        </w:tc>
        <w:tc>
          <w:tcPr>
            <w:tcW w:w="420" w:type="dxa"/>
            <w:vAlign w:val="bottom"/>
            <w:tcBorders>
              <w:bottom w:val="single" w:sz="8" w:color="0956FF"/>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auto"/>
              </w:rPr>
              <w:t>General Information About the Annual Meeting</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0" w:type="dxa"/>
            <w:vAlign w:val="bottom"/>
          </w:tcPr>
          <w:p>
            <w:pPr>
              <w:spacing w:after="0"/>
              <w:rPr>
                <w:sz w:val="1"/>
                <w:szCs w:val="1"/>
                <w:color w:val="auto"/>
              </w:rPr>
            </w:pPr>
          </w:p>
        </w:tc>
      </w:tr>
      <w:tr>
        <w:trPr>
          <w:trHeight w:val="88"/>
        </w:trPr>
        <w:tc>
          <w:tcPr>
            <w:tcW w:w="3960" w:type="dxa"/>
            <w:vAlign w:val="bottom"/>
            <w:tcBorders>
              <w:bottom w:val="single" w:sz="8" w:color="0956FF"/>
            </w:tcBorders>
            <w:gridSpan w:val="2"/>
          </w:tcPr>
          <w:p>
            <w:pPr>
              <w:spacing w:after="0"/>
              <w:rPr>
                <w:sz w:val="7"/>
                <w:szCs w:val="7"/>
                <w:color w:val="auto"/>
              </w:rPr>
            </w:pPr>
          </w:p>
        </w:tc>
        <w:tc>
          <w:tcPr>
            <w:tcW w:w="420" w:type="dxa"/>
            <w:vAlign w:val="bottom"/>
            <w:tcBorders>
              <w:bottom w:val="single" w:sz="8" w:color="0956FF"/>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auto"/>
              </w:rPr>
              <w:t>Defined Terms, Commonly Used Acronyms, and</w:t>
            </w:r>
          </w:p>
        </w:tc>
        <w:tc>
          <w:tcPr>
            <w:tcW w:w="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104</w:t>
            </w:r>
          </w:p>
        </w:tc>
        <w:tc>
          <w:tcPr>
            <w:tcW w:w="0" w:type="dxa"/>
            <w:vAlign w:val="bottom"/>
          </w:tcPr>
          <w:p>
            <w:pPr>
              <w:spacing w:after="0"/>
              <w:rPr>
                <w:sz w:val="1"/>
                <w:szCs w:val="1"/>
                <w:color w:val="auto"/>
              </w:rPr>
            </w:pPr>
          </w:p>
        </w:tc>
      </w:tr>
      <w:tr>
        <w:trPr>
          <w:trHeight w:val="223"/>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auto"/>
              </w:rPr>
              <w:t>Cautionary Statements</w:t>
            </w:r>
          </w:p>
        </w:tc>
        <w:tc>
          <w:tcPr>
            <w:tcW w:w="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3960" w:type="dxa"/>
            <w:vAlign w:val="bottom"/>
            <w:tcBorders>
              <w:bottom w:val="single" w:sz="8" w:color="0956FF"/>
            </w:tcBorders>
            <w:gridSpan w:val="2"/>
          </w:tcPr>
          <w:p>
            <w:pPr>
              <w:spacing w:after="0"/>
              <w:rPr>
                <w:sz w:val="6"/>
                <w:szCs w:val="6"/>
                <w:color w:val="auto"/>
              </w:rPr>
            </w:pPr>
          </w:p>
        </w:tc>
        <w:tc>
          <w:tcPr>
            <w:tcW w:w="420" w:type="dxa"/>
            <w:vAlign w:val="bottom"/>
            <w:tcBorders>
              <w:bottom w:val="single" w:sz="8" w:color="0956FF"/>
            </w:tcBorders>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auto"/>
              </w:rPr>
              <w:t>Appendix A: Non-GAAP Financial Measures</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A-1</w:t>
            </w:r>
          </w:p>
        </w:tc>
        <w:tc>
          <w:tcPr>
            <w:tcW w:w="0" w:type="dxa"/>
            <w:vAlign w:val="bottom"/>
          </w:tcPr>
          <w:p>
            <w:pPr>
              <w:spacing w:after="0"/>
              <w:rPr>
                <w:sz w:val="1"/>
                <w:szCs w:val="1"/>
                <w:color w:val="auto"/>
              </w:rPr>
            </w:pPr>
          </w:p>
        </w:tc>
      </w:tr>
      <w:tr>
        <w:trPr>
          <w:trHeight w:val="263"/>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auto"/>
              </w:rPr>
              <w:t>Appendix B: Amendment No. 2 to the General</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ind w:left="60"/>
              <w:spacing w:after="0"/>
              <w:rPr>
                <w:sz w:val="20"/>
                <w:szCs w:val="20"/>
                <w:color w:val="auto"/>
              </w:rPr>
            </w:pPr>
            <w:r>
              <w:rPr>
                <w:rFonts w:ascii="Arial" w:cs="Arial" w:eastAsia="Arial" w:hAnsi="Arial"/>
                <w:sz w:val="16"/>
                <w:szCs w:val="16"/>
                <w:b w:val="1"/>
                <w:bCs w:val="1"/>
                <w:color w:val="auto"/>
              </w:rPr>
              <w:t>Motors Company 2020 Long-Term Incentive Plan</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B-1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-7077710</wp:posOffset>
            </wp:positionV>
            <wp:extent cx="6810375" cy="8867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820" w:lineRule="exact"/>
        <w:rPr>
          <w:sz w:val="20"/>
          <w:szCs w:val="20"/>
          <w:color w:val="auto"/>
        </w:rPr>
      </w:pPr>
    </w:p>
    <w:p>
      <w:pPr>
        <w:sectPr>
          <w:pgSz w:w="11900" w:h="16838" w:orient="portrait"/>
          <w:cols w:equalWidth="0" w:num="2">
            <w:col w:w="4380" w:space="320"/>
            <w:col w:w="4380"/>
          </w:cols>
          <w:pgMar w:left="1400" w:top="133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iv</w:t>
      </w:r>
    </w:p>
    <w:p>
      <w:pPr>
        <w:sectPr>
          <w:pgSz w:w="11900" w:h="16838" w:orient="portrait"/>
          <w:cols w:equalWidth="0" w:num="1">
            <w:col w:w="9080"/>
          </w:cols>
          <w:pgMar w:left="1400" w:top="1339" w:right="14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201"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Financial Highlights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728"/>
        </w:trPr>
        <w:tc>
          <w:tcPr>
            <w:tcW w:w="180" w:type="dxa"/>
            <w:vAlign w:val="bottom"/>
            <w:shd w:val="clear" w:color="auto" w:fill="ECEBEB"/>
          </w:tcPr>
          <w:p>
            <w:pPr>
              <w:spacing w:after="0"/>
              <w:rPr>
                <w:sz w:val="24"/>
                <w:szCs w:val="24"/>
                <w:color w:val="auto"/>
              </w:rPr>
            </w:pPr>
          </w:p>
        </w:tc>
        <w:tc>
          <w:tcPr>
            <w:tcW w:w="264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w w:val="99"/>
              </w:rPr>
              <w:t>$2.7B</w:t>
            </w:r>
          </w:p>
        </w:tc>
        <w:tc>
          <w:tcPr>
            <w:tcW w:w="180" w:type="dxa"/>
            <w:vAlign w:val="bottom"/>
            <w:shd w:val="clear" w:color="auto" w:fill="ECEBEB"/>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shd w:val="clear" w:color="auto" w:fill="ECEBEB"/>
          </w:tcPr>
          <w:p>
            <w:pPr>
              <w:spacing w:after="0"/>
              <w:rPr>
                <w:sz w:val="24"/>
                <w:szCs w:val="24"/>
                <w:color w:val="auto"/>
              </w:rPr>
            </w:pPr>
          </w:p>
        </w:tc>
        <w:tc>
          <w:tcPr>
            <w:tcW w:w="2640" w:type="dxa"/>
            <w:vAlign w:val="bottom"/>
            <w:shd w:val="clear" w:color="auto" w:fill="ECEBEB"/>
          </w:tcPr>
          <w:p>
            <w:pPr>
              <w:ind w:left="860"/>
              <w:spacing w:after="0"/>
              <w:rPr>
                <w:sz w:val="20"/>
                <w:szCs w:val="20"/>
                <w:color w:val="auto"/>
              </w:rPr>
            </w:pPr>
            <w:r>
              <w:rPr>
                <w:rFonts w:ascii="Arial" w:cs="Arial" w:eastAsia="Arial" w:hAnsi="Arial"/>
                <w:sz w:val="43"/>
                <w:szCs w:val="43"/>
                <w:b w:val="1"/>
                <w:bCs w:val="1"/>
                <w:color w:val="0956FF"/>
              </w:rPr>
              <w:t>1.5%</w:t>
            </w:r>
          </w:p>
        </w:tc>
        <w:tc>
          <w:tcPr>
            <w:tcW w:w="160" w:type="dxa"/>
            <w:vAlign w:val="bottom"/>
            <w:shd w:val="clear" w:color="auto" w:fill="ECEBEB"/>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shd w:val="clear" w:color="auto" w:fill="ECEBEB"/>
          </w:tcPr>
          <w:p>
            <w:pPr>
              <w:spacing w:after="0"/>
              <w:rPr>
                <w:sz w:val="24"/>
                <w:szCs w:val="24"/>
                <w:color w:val="auto"/>
              </w:rPr>
            </w:pPr>
          </w:p>
        </w:tc>
        <w:tc>
          <w:tcPr>
            <w:tcW w:w="2640" w:type="dxa"/>
            <w:vAlign w:val="bottom"/>
            <w:shd w:val="clear" w:color="auto" w:fill="ECEBEB"/>
          </w:tcPr>
          <w:p>
            <w:pPr>
              <w:jc w:val="right"/>
              <w:ind w:right="661"/>
              <w:spacing w:after="0"/>
              <w:rPr>
                <w:sz w:val="20"/>
                <w:szCs w:val="20"/>
                <w:color w:val="auto"/>
              </w:rPr>
            </w:pPr>
            <w:r>
              <w:rPr>
                <w:rFonts w:ascii="Arial" w:cs="Arial" w:eastAsia="Arial" w:hAnsi="Arial"/>
                <w:sz w:val="43"/>
                <w:szCs w:val="43"/>
                <w:b w:val="1"/>
                <w:bCs w:val="1"/>
                <w:color w:val="0956FF"/>
              </w:rPr>
              <w:t>$3.27</w:t>
            </w:r>
          </w:p>
        </w:tc>
        <w:tc>
          <w:tcPr>
            <w:tcW w:w="180" w:type="dxa"/>
            <w:vAlign w:val="bottom"/>
            <w:shd w:val="clear" w:color="auto" w:fill="ECEB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ECEBEB"/>
          </w:tcPr>
          <w:p>
            <w:pPr>
              <w:spacing w:after="0"/>
              <w:rPr>
                <w:sz w:val="17"/>
                <w:szCs w:val="17"/>
                <w:color w:val="auto"/>
              </w:rPr>
            </w:pPr>
          </w:p>
        </w:tc>
        <w:tc>
          <w:tcPr>
            <w:tcW w:w="2640" w:type="dxa"/>
            <w:vAlign w:val="bottom"/>
            <w:shd w:val="clear" w:color="auto" w:fill="ECEBEB"/>
          </w:tcPr>
          <w:p>
            <w:pPr>
              <w:jc w:val="center"/>
              <w:spacing w:after="0"/>
              <w:rPr>
                <w:sz w:val="20"/>
                <w:szCs w:val="20"/>
                <w:color w:val="auto"/>
              </w:rPr>
            </w:pPr>
            <w:r>
              <w:rPr>
                <w:rFonts w:ascii="Arial" w:cs="Arial" w:eastAsia="Arial" w:hAnsi="Arial"/>
                <w:sz w:val="16"/>
                <w:szCs w:val="16"/>
                <w:color w:val="auto"/>
              </w:rPr>
              <w:t>Net Income Attributable</w:t>
            </w:r>
          </w:p>
        </w:tc>
        <w:tc>
          <w:tcPr>
            <w:tcW w:w="180" w:type="dxa"/>
            <w:vAlign w:val="bottom"/>
            <w:shd w:val="clear" w:color="auto" w:fill="ECEBEB"/>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shd w:val="clear" w:color="auto" w:fill="ECEBEB"/>
          </w:tcPr>
          <w:p>
            <w:pPr>
              <w:spacing w:after="0"/>
              <w:rPr>
                <w:sz w:val="17"/>
                <w:szCs w:val="17"/>
                <w:color w:val="auto"/>
              </w:rPr>
            </w:pPr>
          </w:p>
        </w:tc>
        <w:tc>
          <w:tcPr>
            <w:tcW w:w="2640" w:type="dxa"/>
            <w:vAlign w:val="bottom"/>
            <w:vMerge w:val="restart"/>
            <w:shd w:val="clear" w:color="auto" w:fill="ECEBEB"/>
          </w:tcPr>
          <w:p>
            <w:pPr>
              <w:jc w:val="center"/>
              <w:spacing w:after="0"/>
              <w:rPr>
                <w:sz w:val="20"/>
                <w:szCs w:val="20"/>
                <w:color w:val="auto"/>
              </w:rPr>
            </w:pPr>
            <w:r>
              <w:rPr>
                <w:rFonts w:ascii="Arial" w:cs="Arial" w:eastAsia="Arial" w:hAnsi="Arial"/>
                <w:sz w:val="16"/>
                <w:szCs w:val="16"/>
                <w:color w:val="auto"/>
              </w:rPr>
              <w:t>Net Income Margin</w:t>
            </w:r>
          </w:p>
        </w:tc>
        <w:tc>
          <w:tcPr>
            <w:tcW w:w="160" w:type="dxa"/>
            <w:vAlign w:val="bottom"/>
            <w:shd w:val="clear" w:color="auto" w:fill="ECEBEB"/>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shd w:val="clear" w:color="auto" w:fill="ECEBEB"/>
          </w:tcPr>
          <w:p>
            <w:pPr>
              <w:spacing w:after="0"/>
              <w:rPr>
                <w:sz w:val="17"/>
                <w:szCs w:val="17"/>
                <w:color w:val="auto"/>
              </w:rPr>
            </w:pPr>
          </w:p>
        </w:tc>
        <w:tc>
          <w:tcPr>
            <w:tcW w:w="2640" w:type="dxa"/>
            <w:vAlign w:val="bottom"/>
            <w:vMerge w:val="restart"/>
            <w:shd w:val="clear" w:color="auto" w:fill="ECEBEB"/>
          </w:tcPr>
          <w:p>
            <w:pPr>
              <w:jc w:val="center"/>
              <w:spacing w:after="0"/>
              <w:rPr>
                <w:sz w:val="20"/>
                <w:szCs w:val="20"/>
                <w:color w:val="auto"/>
              </w:rPr>
            </w:pPr>
            <w:r>
              <w:rPr>
                <w:rFonts w:ascii="Arial" w:cs="Arial" w:eastAsia="Arial" w:hAnsi="Arial"/>
                <w:sz w:val="16"/>
                <w:szCs w:val="16"/>
                <w:color w:val="auto"/>
              </w:rPr>
              <w:t>EPS-diluted</w:t>
            </w:r>
          </w:p>
        </w:tc>
        <w:tc>
          <w:tcPr>
            <w:tcW w:w="180" w:type="dxa"/>
            <w:vAlign w:val="bottom"/>
            <w:shd w:val="clear" w:color="auto" w:fill="ECEBEB"/>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80" w:type="dxa"/>
            <w:vAlign w:val="bottom"/>
            <w:shd w:val="clear" w:color="auto" w:fill="ECEBEB"/>
          </w:tcPr>
          <w:p>
            <w:pPr>
              <w:spacing w:after="0"/>
              <w:rPr>
                <w:sz w:val="10"/>
                <w:szCs w:val="10"/>
                <w:color w:val="auto"/>
              </w:rPr>
            </w:pPr>
          </w:p>
        </w:tc>
        <w:tc>
          <w:tcPr>
            <w:tcW w:w="2640" w:type="dxa"/>
            <w:vAlign w:val="bottom"/>
            <w:vMerge w:val="restart"/>
            <w:shd w:val="clear" w:color="auto" w:fill="ECEBEB"/>
          </w:tcPr>
          <w:p>
            <w:pPr>
              <w:jc w:val="center"/>
              <w:spacing w:after="0"/>
              <w:rPr>
                <w:sz w:val="20"/>
                <w:szCs w:val="20"/>
                <w:color w:val="auto"/>
              </w:rPr>
            </w:pPr>
            <w:r>
              <w:rPr>
                <w:rFonts w:ascii="Arial" w:cs="Arial" w:eastAsia="Arial" w:hAnsi="Arial"/>
                <w:sz w:val="16"/>
                <w:szCs w:val="16"/>
                <w:color w:val="auto"/>
              </w:rPr>
              <w:t>to Shareholders</w:t>
            </w:r>
          </w:p>
        </w:tc>
        <w:tc>
          <w:tcPr>
            <w:tcW w:w="180" w:type="dxa"/>
            <w:vAlign w:val="bottom"/>
            <w:shd w:val="clear" w:color="auto" w:fill="ECEBEB"/>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shd w:val="clear" w:color="auto" w:fill="ECEBEB"/>
          </w:tcPr>
          <w:p>
            <w:pPr>
              <w:spacing w:after="0"/>
              <w:rPr>
                <w:sz w:val="10"/>
                <w:szCs w:val="10"/>
                <w:color w:val="auto"/>
              </w:rPr>
            </w:pPr>
          </w:p>
        </w:tc>
        <w:tc>
          <w:tcPr>
            <w:tcW w:w="2640" w:type="dxa"/>
            <w:vAlign w:val="bottom"/>
            <w:vMerge w:val="continue"/>
            <w:shd w:val="clear" w:color="auto" w:fill="ECEBEB"/>
          </w:tcPr>
          <w:p>
            <w:pPr>
              <w:spacing w:after="0"/>
              <w:rPr>
                <w:sz w:val="10"/>
                <w:szCs w:val="10"/>
                <w:color w:val="auto"/>
              </w:rPr>
            </w:pPr>
          </w:p>
        </w:tc>
        <w:tc>
          <w:tcPr>
            <w:tcW w:w="160" w:type="dxa"/>
            <w:vAlign w:val="bottom"/>
            <w:shd w:val="clear" w:color="auto" w:fill="ECEBEB"/>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shd w:val="clear" w:color="auto" w:fill="ECEBEB"/>
          </w:tcPr>
          <w:p>
            <w:pPr>
              <w:spacing w:after="0"/>
              <w:rPr>
                <w:sz w:val="10"/>
                <w:szCs w:val="10"/>
                <w:color w:val="auto"/>
              </w:rPr>
            </w:pPr>
          </w:p>
        </w:tc>
        <w:tc>
          <w:tcPr>
            <w:tcW w:w="2640" w:type="dxa"/>
            <w:vAlign w:val="bottom"/>
            <w:vMerge w:val="continue"/>
            <w:shd w:val="clear" w:color="auto" w:fill="ECEBEB"/>
          </w:tcPr>
          <w:p>
            <w:pPr>
              <w:spacing w:after="0"/>
              <w:rPr>
                <w:sz w:val="10"/>
                <w:szCs w:val="10"/>
                <w:color w:val="auto"/>
              </w:rPr>
            </w:pPr>
          </w:p>
        </w:tc>
        <w:tc>
          <w:tcPr>
            <w:tcW w:w="180" w:type="dxa"/>
            <w:vAlign w:val="bottom"/>
            <w:shd w:val="clear" w:color="auto" w:fill="ECEBEB"/>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80" w:type="dxa"/>
            <w:vAlign w:val="bottom"/>
            <w:shd w:val="clear" w:color="auto" w:fill="ECEBEB"/>
          </w:tcPr>
          <w:p>
            <w:pPr>
              <w:spacing w:after="0"/>
              <w:rPr>
                <w:sz w:val="7"/>
                <w:szCs w:val="7"/>
                <w:color w:val="auto"/>
              </w:rPr>
            </w:pPr>
          </w:p>
        </w:tc>
        <w:tc>
          <w:tcPr>
            <w:tcW w:w="2640" w:type="dxa"/>
            <w:vAlign w:val="bottom"/>
            <w:vMerge w:val="continue"/>
            <w:shd w:val="clear" w:color="auto" w:fill="ECEBEB"/>
          </w:tcPr>
          <w:p>
            <w:pPr>
              <w:spacing w:after="0"/>
              <w:rPr>
                <w:sz w:val="7"/>
                <w:szCs w:val="7"/>
                <w:color w:val="auto"/>
              </w:rPr>
            </w:pPr>
          </w:p>
        </w:tc>
        <w:tc>
          <w:tcPr>
            <w:tcW w:w="180" w:type="dxa"/>
            <w:vAlign w:val="bottom"/>
            <w:shd w:val="clear" w:color="auto" w:fill="ECEBEB"/>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shd w:val="clear" w:color="auto" w:fill="ECEBEB"/>
          </w:tcPr>
          <w:p>
            <w:pPr>
              <w:spacing w:after="0"/>
              <w:rPr>
                <w:sz w:val="7"/>
                <w:szCs w:val="7"/>
                <w:color w:val="auto"/>
              </w:rPr>
            </w:pPr>
          </w:p>
        </w:tc>
        <w:tc>
          <w:tcPr>
            <w:tcW w:w="2640" w:type="dxa"/>
            <w:vAlign w:val="bottom"/>
            <w:shd w:val="clear" w:color="auto" w:fill="ECEBEB"/>
          </w:tcPr>
          <w:p>
            <w:pPr>
              <w:spacing w:after="0"/>
              <w:rPr>
                <w:sz w:val="7"/>
                <w:szCs w:val="7"/>
                <w:color w:val="auto"/>
              </w:rPr>
            </w:pPr>
          </w:p>
        </w:tc>
        <w:tc>
          <w:tcPr>
            <w:tcW w:w="160" w:type="dxa"/>
            <w:vAlign w:val="bottom"/>
            <w:shd w:val="clear" w:color="auto" w:fill="ECEBEB"/>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shd w:val="clear" w:color="auto" w:fill="ECEBEB"/>
          </w:tcPr>
          <w:p>
            <w:pPr>
              <w:spacing w:after="0"/>
              <w:rPr>
                <w:sz w:val="7"/>
                <w:szCs w:val="7"/>
                <w:color w:val="auto"/>
              </w:rPr>
            </w:pPr>
          </w:p>
        </w:tc>
        <w:tc>
          <w:tcPr>
            <w:tcW w:w="2640" w:type="dxa"/>
            <w:vAlign w:val="bottom"/>
            <w:shd w:val="clear" w:color="auto" w:fill="ECEBEB"/>
          </w:tcPr>
          <w:p>
            <w:pPr>
              <w:spacing w:after="0"/>
              <w:rPr>
                <w:sz w:val="7"/>
                <w:szCs w:val="7"/>
                <w:color w:val="auto"/>
              </w:rPr>
            </w:pPr>
          </w:p>
        </w:tc>
        <w:tc>
          <w:tcPr>
            <w:tcW w:w="180" w:type="dxa"/>
            <w:vAlign w:val="bottom"/>
            <w:shd w:val="clear" w:color="auto" w:fill="ECEBEB"/>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80" w:type="dxa"/>
            <w:vAlign w:val="bottom"/>
            <w:shd w:val="clear" w:color="auto" w:fill="ECEBEB"/>
          </w:tcPr>
          <w:p>
            <w:pPr>
              <w:spacing w:after="0"/>
              <w:rPr>
                <w:sz w:val="15"/>
                <w:szCs w:val="15"/>
                <w:color w:val="auto"/>
              </w:rPr>
            </w:pPr>
          </w:p>
        </w:tc>
        <w:tc>
          <w:tcPr>
            <w:tcW w:w="2640" w:type="dxa"/>
            <w:vAlign w:val="bottom"/>
            <w:shd w:val="clear" w:color="auto" w:fill="ECEBEB"/>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2640" w:type="dxa"/>
            <w:vAlign w:val="bottom"/>
            <w:shd w:val="clear" w:color="auto" w:fill="ECEBEB"/>
          </w:tcPr>
          <w:p>
            <w:pPr>
              <w:spacing w:after="0"/>
              <w:rPr>
                <w:sz w:val="15"/>
                <w:szCs w:val="15"/>
                <w:color w:val="auto"/>
              </w:rPr>
            </w:pPr>
          </w:p>
        </w:tc>
        <w:tc>
          <w:tcPr>
            <w:tcW w:w="160" w:type="dxa"/>
            <w:vAlign w:val="bottom"/>
            <w:shd w:val="clear" w:color="auto" w:fill="ECEBEB"/>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2640" w:type="dxa"/>
            <w:vAlign w:val="bottom"/>
            <w:shd w:val="clear" w:color="auto" w:fill="ECEBEB"/>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820" w:type="dxa"/>
            <w:vAlign w:val="bottom"/>
            <w:gridSpan w:val="2"/>
          </w:tcPr>
          <w:p>
            <w:pPr>
              <w:spacing w:after="0"/>
              <w:rPr>
                <w:sz w:val="4"/>
                <w:szCs w:val="4"/>
                <w:color w:val="auto"/>
              </w:rPr>
            </w:pPr>
          </w:p>
        </w:tc>
        <w:tc>
          <w:tcPr>
            <w:tcW w:w="2860" w:type="dxa"/>
            <w:vAlign w:val="bottom"/>
            <w:gridSpan w:val="3"/>
          </w:tcPr>
          <w:p>
            <w:pPr>
              <w:spacing w:after="0"/>
              <w:rPr>
                <w:sz w:val="4"/>
                <w:szCs w:val="4"/>
                <w:color w:val="auto"/>
              </w:rPr>
            </w:pPr>
          </w:p>
        </w:tc>
        <w:tc>
          <w:tcPr>
            <w:tcW w:w="160" w:type="dxa"/>
            <w:vAlign w:val="bottom"/>
          </w:tcPr>
          <w:p>
            <w:pPr>
              <w:spacing w:after="0"/>
              <w:rPr>
                <w:sz w:val="4"/>
                <w:szCs w:val="4"/>
                <w:color w:val="auto"/>
              </w:rPr>
            </w:pPr>
          </w:p>
        </w:tc>
        <w:tc>
          <w:tcPr>
            <w:tcW w:w="2880" w:type="dxa"/>
            <w:vAlign w:val="bottom"/>
            <w:gridSpan w:val="3"/>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8"/>
        </w:trPr>
        <w:tc>
          <w:tcPr>
            <w:tcW w:w="180" w:type="dxa"/>
            <w:vAlign w:val="bottom"/>
            <w:shd w:val="clear" w:color="auto" w:fill="ECEBEB"/>
          </w:tcPr>
          <w:p>
            <w:pPr>
              <w:spacing w:after="0"/>
              <w:rPr>
                <w:sz w:val="24"/>
                <w:szCs w:val="24"/>
                <w:color w:val="auto"/>
              </w:rPr>
            </w:pPr>
          </w:p>
        </w:tc>
        <w:tc>
          <w:tcPr>
            <w:tcW w:w="2640" w:type="dxa"/>
            <w:vAlign w:val="bottom"/>
            <w:shd w:val="clear" w:color="auto" w:fill="ECEBEB"/>
          </w:tcPr>
          <w:p>
            <w:pPr>
              <w:ind w:left="640"/>
              <w:spacing w:after="0"/>
              <w:rPr>
                <w:sz w:val="20"/>
                <w:szCs w:val="20"/>
                <w:color w:val="auto"/>
              </w:rPr>
            </w:pPr>
            <w:r>
              <w:rPr>
                <w:rFonts w:ascii="Arial" w:cs="Arial" w:eastAsia="Arial" w:hAnsi="Arial"/>
                <w:sz w:val="43"/>
                <w:szCs w:val="43"/>
                <w:b w:val="1"/>
                <w:bCs w:val="1"/>
                <w:color w:val="0956FF"/>
              </w:rPr>
              <w:t>$12.7B</w:t>
            </w:r>
          </w:p>
        </w:tc>
        <w:tc>
          <w:tcPr>
            <w:tcW w:w="180" w:type="dxa"/>
            <w:vAlign w:val="bottom"/>
            <w:shd w:val="clear" w:color="auto" w:fill="ECEBEB"/>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shd w:val="clear" w:color="auto" w:fill="ECEBEB"/>
          </w:tcPr>
          <w:p>
            <w:pPr>
              <w:spacing w:after="0"/>
              <w:rPr>
                <w:sz w:val="24"/>
                <w:szCs w:val="24"/>
                <w:color w:val="auto"/>
              </w:rPr>
            </w:pPr>
          </w:p>
        </w:tc>
        <w:tc>
          <w:tcPr>
            <w:tcW w:w="264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w w:val="99"/>
              </w:rPr>
              <w:t>6.9%</w:t>
            </w:r>
          </w:p>
        </w:tc>
        <w:tc>
          <w:tcPr>
            <w:tcW w:w="160" w:type="dxa"/>
            <w:vAlign w:val="bottom"/>
            <w:shd w:val="clear" w:color="auto" w:fill="ECEBEB"/>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shd w:val="clear" w:color="auto" w:fill="ECEBEB"/>
          </w:tcPr>
          <w:p>
            <w:pPr>
              <w:spacing w:after="0"/>
              <w:rPr>
                <w:sz w:val="24"/>
                <w:szCs w:val="24"/>
                <w:color w:val="auto"/>
              </w:rPr>
            </w:pPr>
          </w:p>
        </w:tc>
        <w:tc>
          <w:tcPr>
            <w:tcW w:w="264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rPr>
              <w:t>$10.60</w:t>
            </w:r>
          </w:p>
        </w:tc>
        <w:tc>
          <w:tcPr>
            <w:tcW w:w="180" w:type="dxa"/>
            <w:vAlign w:val="bottom"/>
            <w:shd w:val="clear" w:color="auto" w:fill="ECEBEB"/>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0" w:type="dxa"/>
            <w:vAlign w:val="bottom"/>
            <w:shd w:val="clear" w:color="auto" w:fill="ECEBEB"/>
          </w:tcPr>
          <w:p>
            <w:pPr>
              <w:spacing w:after="0"/>
              <w:rPr>
                <w:sz w:val="18"/>
                <w:szCs w:val="18"/>
                <w:color w:val="auto"/>
              </w:rPr>
            </w:pPr>
          </w:p>
        </w:tc>
        <w:tc>
          <w:tcPr>
            <w:tcW w:w="2640" w:type="dxa"/>
            <w:vAlign w:val="bottom"/>
            <w:shd w:val="clear" w:color="auto" w:fill="ECEBEB"/>
          </w:tcPr>
          <w:p>
            <w:pPr>
              <w:jc w:val="center"/>
              <w:spacing w:after="0" w:line="213" w:lineRule="exact"/>
              <w:rPr>
                <w:sz w:val="20"/>
                <w:szCs w:val="20"/>
                <w:color w:val="auto"/>
              </w:rPr>
            </w:pPr>
            <w:r>
              <w:rPr>
                <w:rFonts w:ascii="Arial" w:cs="Arial" w:eastAsia="Arial" w:hAnsi="Arial"/>
                <w:sz w:val="16"/>
                <w:szCs w:val="16"/>
                <w:color w:val="auto"/>
                <w:w w:val="95"/>
              </w:rPr>
              <w:t xml:space="preserve">EBIT-adjusted </w:t>
            </w:r>
            <w:r>
              <w:rPr>
                <w:rFonts w:ascii="Arial" w:cs="Arial" w:eastAsia="Arial" w:hAnsi="Arial"/>
                <w:sz w:val="21"/>
                <w:szCs w:val="21"/>
                <w:color w:val="auto"/>
                <w:w w:val="95"/>
                <w:vertAlign w:val="superscript"/>
              </w:rPr>
              <w:t>(1)</w:t>
            </w:r>
          </w:p>
        </w:tc>
        <w:tc>
          <w:tcPr>
            <w:tcW w:w="180" w:type="dxa"/>
            <w:vAlign w:val="bottom"/>
            <w:shd w:val="clear" w:color="auto" w:fill="ECEBEB"/>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shd w:val="clear" w:color="auto" w:fill="ECEBEB"/>
          </w:tcPr>
          <w:p>
            <w:pPr>
              <w:spacing w:after="0"/>
              <w:rPr>
                <w:sz w:val="18"/>
                <w:szCs w:val="18"/>
                <w:color w:val="auto"/>
              </w:rPr>
            </w:pPr>
          </w:p>
        </w:tc>
        <w:tc>
          <w:tcPr>
            <w:tcW w:w="2640" w:type="dxa"/>
            <w:vAlign w:val="bottom"/>
            <w:shd w:val="clear" w:color="auto" w:fill="ECEBEB"/>
          </w:tcPr>
          <w:p>
            <w:pPr>
              <w:jc w:val="center"/>
              <w:spacing w:after="0" w:line="213" w:lineRule="exact"/>
              <w:rPr>
                <w:sz w:val="20"/>
                <w:szCs w:val="20"/>
                <w:color w:val="auto"/>
              </w:rPr>
            </w:pPr>
            <w:r>
              <w:rPr>
                <w:rFonts w:ascii="Arial" w:cs="Arial" w:eastAsia="Arial" w:hAnsi="Arial"/>
                <w:sz w:val="16"/>
                <w:szCs w:val="16"/>
                <w:color w:val="auto"/>
                <w:w w:val="96"/>
              </w:rPr>
              <w:t xml:space="preserve">EBIT-adjusted </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margin</w:t>
            </w:r>
          </w:p>
        </w:tc>
        <w:tc>
          <w:tcPr>
            <w:tcW w:w="160" w:type="dxa"/>
            <w:vAlign w:val="bottom"/>
            <w:shd w:val="clear" w:color="auto" w:fill="ECEBEB"/>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shd w:val="clear" w:color="auto" w:fill="ECEBEB"/>
          </w:tcPr>
          <w:p>
            <w:pPr>
              <w:spacing w:after="0"/>
              <w:rPr>
                <w:sz w:val="18"/>
                <w:szCs w:val="18"/>
                <w:color w:val="auto"/>
              </w:rPr>
            </w:pPr>
          </w:p>
        </w:tc>
        <w:tc>
          <w:tcPr>
            <w:tcW w:w="2640" w:type="dxa"/>
            <w:vAlign w:val="bottom"/>
            <w:shd w:val="clear" w:color="auto" w:fill="ECEBEB"/>
          </w:tcPr>
          <w:p>
            <w:pPr>
              <w:jc w:val="center"/>
              <w:spacing w:after="0" w:line="213" w:lineRule="exact"/>
              <w:rPr>
                <w:sz w:val="20"/>
                <w:szCs w:val="20"/>
                <w:color w:val="auto"/>
              </w:rPr>
            </w:pPr>
            <w:r>
              <w:rPr>
                <w:rFonts w:ascii="Arial" w:cs="Arial" w:eastAsia="Arial" w:hAnsi="Arial"/>
                <w:sz w:val="16"/>
                <w:szCs w:val="16"/>
                <w:color w:val="auto"/>
                <w:w w:val="98"/>
              </w:rPr>
              <w:t xml:space="preserve">EPS-diluted-adjusted </w:t>
            </w:r>
            <w:r>
              <w:rPr>
                <w:rFonts w:ascii="Arial" w:cs="Arial" w:eastAsia="Arial" w:hAnsi="Arial"/>
                <w:sz w:val="21"/>
                <w:szCs w:val="21"/>
                <w:color w:val="auto"/>
                <w:w w:val="98"/>
                <w:vertAlign w:val="superscript"/>
              </w:rPr>
              <w:t>(1)</w:t>
            </w:r>
          </w:p>
        </w:tc>
        <w:tc>
          <w:tcPr>
            <w:tcW w:w="180" w:type="dxa"/>
            <w:vAlign w:val="bottom"/>
            <w:shd w:val="clear" w:color="auto" w:fill="ECEBEB"/>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0" w:type="dxa"/>
            <w:vAlign w:val="bottom"/>
            <w:shd w:val="clear" w:color="auto" w:fill="ECEBEB"/>
          </w:tcPr>
          <w:p>
            <w:pPr>
              <w:spacing w:after="0"/>
              <w:rPr>
                <w:sz w:val="15"/>
                <w:szCs w:val="15"/>
                <w:color w:val="auto"/>
              </w:rPr>
            </w:pPr>
          </w:p>
        </w:tc>
        <w:tc>
          <w:tcPr>
            <w:tcW w:w="2640" w:type="dxa"/>
            <w:vAlign w:val="bottom"/>
            <w:shd w:val="clear" w:color="auto" w:fill="ECEBEB"/>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2640" w:type="dxa"/>
            <w:vAlign w:val="bottom"/>
            <w:shd w:val="clear" w:color="auto" w:fill="ECEBEB"/>
          </w:tcPr>
          <w:p>
            <w:pPr>
              <w:spacing w:after="0"/>
              <w:rPr>
                <w:sz w:val="15"/>
                <w:szCs w:val="15"/>
                <w:color w:val="auto"/>
              </w:rPr>
            </w:pPr>
          </w:p>
        </w:tc>
        <w:tc>
          <w:tcPr>
            <w:tcW w:w="160" w:type="dxa"/>
            <w:vAlign w:val="bottom"/>
            <w:shd w:val="clear" w:color="auto" w:fill="ECEBEB"/>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2640" w:type="dxa"/>
            <w:vAlign w:val="bottom"/>
            <w:shd w:val="clear" w:color="auto" w:fill="ECEBEB"/>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820" w:type="dxa"/>
            <w:vAlign w:val="bottom"/>
            <w:gridSpan w:val="2"/>
          </w:tcPr>
          <w:p>
            <w:pPr>
              <w:spacing w:after="0"/>
              <w:rPr>
                <w:sz w:val="4"/>
                <w:szCs w:val="4"/>
                <w:color w:val="auto"/>
              </w:rPr>
            </w:pPr>
          </w:p>
        </w:tc>
        <w:tc>
          <w:tcPr>
            <w:tcW w:w="2860" w:type="dxa"/>
            <w:vAlign w:val="bottom"/>
            <w:gridSpan w:val="3"/>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728"/>
        </w:trPr>
        <w:tc>
          <w:tcPr>
            <w:tcW w:w="180" w:type="dxa"/>
            <w:vAlign w:val="bottom"/>
            <w:shd w:val="clear" w:color="auto" w:fill="ECEBEB"/>
          </w:tcPr>
          <w:p>
            <w:pPr>
              <w:spacing w:after="0"/>
              <w:rPr>
                <w:sz w:val="24"/>
                <w:szCs w:val="24"/>
                <w:color w:val="auto"/>
              </w:rPr>
            </w:pPr>
          </w:p>
        </w:tc>
        <w:tc>
          <w:tcPr>
            <w:tcW w:w="264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rPr>
              <w:t>$185.0B</w:t>
            </w:r>
          </w:p>
        </w:tc>
        <w:tc>
          <w:tcPr>
            <w:tcW w:w="180" w:type="dxa"/>
            <w:vAlign w:val="bottom"/>
            <w:shd w:val="clear" w:color="auto" w:fill="ECEBEB"/>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shd w:val="clear" w:color="auto" w:fill="ECEBEB"/>
          </w:tcPr>
          <w:p>
            <w:pPr>
              <w:spacing w:after="0"/>
              <w:rPr>
                <w:sz w:val="24"/>
                <w:szCs w:val="24"/>
                <w:color w:val="auto"/>
              </w:rPr>
            </w:pPr>
          </w:p>
        </w:tc>
        <w:tc>
          <w:tcPr>
            <w:tcW w:w="2640" w:type="dxa"/>
            <w:vAlign w:val="bottom"/>
            <w:shd w:val="clear" w:color="auto" w:fill="ECEBEB"/>
          </w:tcPr>
          <w:p>
            <w:pPr>
              <w:ind w:left="860"/>
              <w:spacing w:after="0"/>
              <w:rPr>
                <w:sz w:val="20"/>
                <w:szCs w:val="20"/>
                <w:color w:val="auto"/>
              </w:rPr>
            </w:pPr>
            <w:r>
              <w:rPr>
                <w:rFonts w:ascii="Arial" w:cs="Arial" w:eastAsia="Arial" w:hAnsi="Arial"/>
                <w:sz w:val="43"/>
                <w:szCs w:val="43"/>
                <w:b w:val="1"/>
                <w:bCs w:val="1"/>
                <w:color w:val="0956FF"/>
              </w:rPr>
              <w:t>54%</w:t>
            </w:r>
          </w:p>
        </w:tc>
        <w:tc>
          <w:tcPr>
            <w:tcW w:w="160" w:type="dxa"/>
            <w:vAlign w:val="bottom"/>
            <w:shd w:val="clear" w:color="auto" w:fill="ECEBEB"/>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shd w:val="clear" w:color="auto" w:fill="ECEBEB"/>
          </w:tcPr>
          <w:p>
            <w:pPr>
              <w:spacing w:after="0"/>
              <w:rPr>
                <w:sz w:val="24"/>
                <w:szCs w:val="24"/>
                <w:color w:val="auto"/>
              </w:rPr>
            </w:pPr>
          </w:p>
        </w:tc>
        <w:tc>
          <w:tcPr>
            <w:tcW w:w="264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rPr>
              <w:t>$6.5B</w:t>
            </w:r>
          </w:p>
        </w:tc>
        <w:tc>
          <w:tcPr>
            <w:tcW w:w="180" w:type="dxa"/>
            <w:vAlign w:val="bottom"/>
            <w:shd w:val="clear" w:color="auto" w:fill="ECEB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ECEBEB"/>
          </w:tcPr>
          <w:p>
            <w:pPr>
              <w:spacing w:after="0"/>
              <w:rPr>
                <w:sz w:val="17"/>
                <w:szCs w:val="17"/>
                <w:color w:val="auto"/>
              </w:rPr>
            </w:pPr>
          </w:p>
        </w:tc>
        <w:tc>
          <w:tcPr>
            <w:tcW w:w="2640" w:type="dxa"/>
            <w:vAlign w:val="bottom"/>
            <w:vMerge w:val="restart"/>
            <w:shd w:val="clear" w:color="auto" w:fill="ECEBEB"/>
          </w:tcPr>
          <w:p>
            <w:pPr>
              <w:jc w:val="center"/>
              <w:spacing w:after="0"/>
              <w:rPr>
                <w:sz w:val="20"/>
                <w:szCs w:val="20"/>
                <w:color w:val="auto"/>
              </w:rPr>
            </w:pPr>
            <w:r>
              <w:rPr>
                <w:rFonts w:ascii="Arial" w:cs="Arial" w:eastAsia="Arial" w:hAnsi="Arial"/>
                <w:sz w:val="16"/>
                <w:szCs w:val="16"/>
                <w:color w:val="auto"/>
                <w:w w:val="99"/>
              </w:rPr>
              <w:t>Revenue</w:t>
            </w:r>
          </w:p>
        </w:tc>
        <w:tc>
          <w:tcPr>
            <w:tcW w:w="180" w:type="dxa"/>
            <w:vAlign w:val="bottom"/>
            <w:shd w:val="clear" w:color="auto" w:fill="ECEBEB"/>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shd w:val="clear" w:color="auto" w:fill="ECEBEB"/>
          </w:tcPr>
          <w:p>
            <w:pPr>
              <w:spacing w:after="0"/>
              <w:rPr>
                <w:sz w:val="17"/>
                <w:szCs w:val="17"/>
                <w:color w:val="auto"/>
              </w:rPr>
            </w:pPr>
          </w:p>
        </w:tc>
        <w:tc>
          <w:tcPr>
            <w:tcW w:w="2640" w:type="dxa"/>
            <w:vAlign w:val="bottom"/>
            <w:vMerge w:val="restart"/>
            <w:shd w:val="clear" w:color="auto" w:fill="ECEBEB"/>
          </w:tcPr>
          <w:p>
            <w:pPr>
              <w:jc w:val="center"/>
              <w:spacing w:after="0"/>
              <w:rPr>
                <w:sz w:val="20"/>
                <w:szCs w:val="20"/>
                <w:color w:val="auto"/>
              </w:rPr>
            </w:pPr>
            <w:r>
              <w:rPr>
                <w:rFonts w:ascii="Arial" w:cs="Arial" w:eastAsia="Arial" w:hAnsi="Arial"/>
                <w:sz w:val="16"/>
                <w:szCs w:val="16"/>
                <w:color w:val="auto"/>
                <w:w w:val="99"/>
              </w:rPr>
              <w:t>TSR</w:t>
            </w:r>
          </w:p>
        </w:tc>
        <w:tc>
          <w:tcPr>
            <w:tcW w:w="160" w:type="dxa"/>
            <w:vAlign w:val="bottom"/>
            <w:shd w:val="clear" w:color="auto" w:fill="ECEBEB"/>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shd w:val="clear" w:color="auto" w:fill="ECEBEB"/>
          </w:tcPr>
          <w:p>
            <w:pPr>
              <w:spacing w:after="0"/>
              <w:rPr>
                <w:sz w:val="17"/>
                <w:szCs w:val="17"/>
                <w:color w:val="auto"/>
              </w:rPr>
            </w:pPr>
          </w:p>
        </w:tc>
        <w:tc>
          <w:tcPr>
            <w:tcW w:w="2640" w:type="dxa"/>
            <w:vAlign w:val="bottom"/>
            <w:shd w:val="clear" w:color="auto" w:fill="ECEBEB"/>
          </w:tcPr>
          <w:p>
            <w:pPr>
              <w:jc w:val="center"/>
              <w:spacing w:after="0"/>
              <w:rPr>
                <w:sz w:val="20"/>
                <w:szCs w:val="20"/>
                <w:color w:val="auto"/>
              </w:rPr>
            </w:pPr>
            <w:r>
              <w:rPr>
                <w:rFonts w:ascii="Arial" w:cs="Arial" w:eastAsia="Arial" w:hAnsi="Arial"/>
                <w:sz w:val="16"/>
                <w:szCs w:val="16"/>
                <w:color w:val="auto"/>
              </w:rPr>
              <w:t>Returned to Shareholders via</w:t>
            </w:r>
          </w:p>
        </w:tc>
        <w:tc>
          <w:tcPr>
            <w:tcW w:w="180" w:type="dxa"/>
            <w:vAlign w:val="bottom"/>
            <w:shd w:val="clear" w:color="auto" w:fill="ECEBEB"/>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80" w:type="dxa"/>
            <w:vAlign w:val="bottom"/>
            <w:shd w:val="clear" w:color="auto" w:fill="ECEBEB"/>
          </w:tcPr>
          <w:p>
            <w:pPr>
              <w:spacing w:after="0"/>
              <w:rPr>
                <w:sz w:val="10"/>
                <w:szCs w:val="10"/>
                <w:color w:val="auto"/>
              </w:rPr>
            </w:pPr>
          </w:p>
        </w:tc>
        <w:tc>
          <w:tcPr>
            <w:tcW w:w="2640" w:type="dxa"/>
            <w:vAlign w:val="bottom"/>
            <w:vMerge w:val="continue"/>
            <w:shd w:val="clear" w:color="auto" w:fill="ECEBEB"/>
          </w:tcPr>
          <w:p>
            <w:pPr>
              <w:spacing w:after="0"/>
              <w:rPr>
                <w:sz w:val="10"/>
                <w:szCs w:val="10"/>
                <w:color w:val="auto"/>
              </w:rPr>
            </w:pPr>
          </w:p>
        </w:tc>
        <w:tc>
          <w:tcPr>
            <w:tcW w:w="180" w:type="dxa"/>
            <w:vAlign w:val="bottom"/>
            <w:shd w:val="clear" w:color="auto" w:fill="ECEBEB"/>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shd w:val="clear" w:color="auto" w:fill="ECEBEB"/>
          </w:tcPr>
          <w:p>
            <w:pPr>
              <w:spacing w:after="0"/>
              <w:rPr>
                <w:sz w:val="10"/>
                <w:szCs w:val="10"/>
                <w:color w:val="auto"/>
              </w:rPr>
            </w:pPr>
          </w:p>
        </w:tc>
        <w:tc>
          <w:tcPr>
            <w:tcW w:w="2640" w:type="dxa"/>
            <w:vAlign w:val="bottom"/>
            <w:vMerge w:val="continue"/>
            <w:shd w:val="clear" w:color="auto" w:fill="ECEBEB"/>
          </w:tcPr>
          <w:p>
            <w:pPr>
              <w:spacing w:after="0"/>
              <w:rPr>
                <w:sz w:val="10"/>
                <w:szCs w:val="10"/>
                <w:color w:val="auto"/>
              </w:rPr>
            </w:pPr>
          </w:p>
        </w:tc>
        <w:tc>
          <w:tcPr>
            <w:tcW w:w="160" w:type="dxa"/>
            <w:vAlign w:val="bottom"/>
            <w:shd w:val="clear" w:color="auto" w:fill="ECEBEB"/>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shd w:val="clear" w:color="auto" w:fill="ECEBEB"/>
          </w:tcPr>
          <w:p>
            <w:pPr>
              <w:spacing w:after="0"/>
              <w:rPr>
                <w:sz w:val="10"/>
                <w:szCs w:val="10"/>
                <w:color w:val="auto"/>
              </w:rPr>
            </w:pPr>
          </w:p>
        </w:tc>
        <w:tc>
          <w:tcPr>
            <w:tcW w:w="2640" w:type="dxa"/>
            <w:vAlign w:val="bottom"/>
            <w:vMerge w:val="restart"/>
            <w:shd w:val="clear" w:color="auto" w:fill="ECEBEB"/>
          </w:tcPr>
          <w:p>
            <w:pPr>
              <w:jc w:val="center"/>
              <w:spacing w:after="0"/>
              <w:rPr>
                <w:sz w:val="20"/>
                <w:szCs w:val="20"/>
                <w:color w:val="auto"/>
              </w:rPr>
            </w:pPr>
            <w:r>
              <w:rPr>
                <w:rFonts w:ascii="Arial" w:cs="Arial" w:eastAsia="Arial" w:hAnsi="Arial"/>
                <w:sz w:val="16"/>
                <w:szCs w:val="16"/>
                <w:color w:val="auto"/>
              </w:rPr>
              <w:t>Dividends and Share Repurchases</w:t>
            </w:r>
          </w:p>
        </w:tc>
        <w:tc>
          <w:tcPr>
            <w:tcW w:w="180" w:type="dxa"/>
            <w:vAlign w:val="bottom"/>
            <w:shd w:val="clear" w:color="auto" w:fill="ECEBEB"/>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80" w:type="dxa"/>
            <w:vAlign w:val="bottom"/>
            <w:shd w:val="clear" w:color="auto" w:fill="ECEBEB"/>
          </w:tcPr>
          <w:p>
            <w:pPr>
              <w:spacing w:after="0"/>
              <w:rPr>
                <w:sz w:val="7"/>
                <w:szCs w:val="7"/>
                <w:color w:val="auto"/>
              </w:rPr>
            </w:pPr>
          </w:p>
        </w:tc>
        <w:tc>
          <w:tcPr>
            <w:tcW w:w="2640" w:type="dxa"/>
            <w:vAlign w:val="bottom"/>
            <w:shd w:val="clear" w:color="auto" w:fill="ECEBEB"/>
          </w:tcPr>
          <w:p>
            <w:pPr>
              <w:spacing w:after="0"/>
              <w:rPr>
                <w:sz w:val="7"/>
                <w:szCs w:val="7"/>
                <w:color w:val="auto"/>
              </w:rPr>
            </w:pPr>
          </w:p>
        </w:tc>
        <w:tc>
          <w:tcPr>
            <w:tcW w:w="180" w:type="dxa"/>
            <w:vAlign w:val="bottom"/>
            <w:shd w:val="clear" w:color="auto" w:fill="ECEBEB"/>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shd w:val="clear" w:color="auto" w:fill="ECEBEB"/>
          </w:tcPr>
          <w:p>
            <w:pPr>
              <w:spacing w:after="0"/>
              <w:rPr>
                <w:sz w:val="7"/>
                <w:szCs w:val="7"/>
                <w:color w:val="auto"/>
              </w:rPr>
            </w:pPr>
          </w:p>
        </w:tc>
        <w:tc>
          <w:tcPr>
            <w:tcW w:w="2640" w:type="dxa"/>
            <w:vAlign w:val="bottom"/>
            <w:shd w:val="clear" w:color="auto" w:fill="ECEBEB"/>
          </w:tcPr>
          <w:p>
            <w:pPr>
              <w:spacing w:after="0"/>
              <w:rPr>
                <w:sz w:val="7"/>
                <w:szCs w:val="7"/>
                <w:color w:val="auto"/>
              </w:rPr>
            </w:pPr>
          </w:p>
        </w:tc>
        <w:tc>
          <w:tcPr>
            <w:tcW w:w="160" w:type="dxa"/>
            <w:vAlign w:val="bottom"/>
            <w:shd w:val="clear" w:color="auto" w:fill="ECEBEB"/>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shd w:val="clear" w:color="auto" w:fill="ECEBEB"/>
          </w:tcPr>
          <w:p>
            <w:pPr>
              <w:spacing w:after="0"/>
              <w:rPr>
                <w:sz w:val="7"/>
                <w:szCs w:val="7"/>
                <w:color w:val="auto"/>
              </w:rPr>
            </w:pPr>
          </w:p>
        </w:tc>
        <w:tc>
          <w:tcPr>
            <w:tcW w:w="2640" w:type="dxa"/>
            <w:vAlign w:val="bottom"/>
            <w:vMerge w:val="continue"/>
            <w:shd w:val="clear" w:color="auto" w:fill="ECEBEB"/>
          </w:tcPr>
          <w:p>
            <w:pPr>
              <w:spacing w:after="0"/>
              <w:rPr>
                <w:sz w:val="7"/>
                <w:szCs w:val="7"/>
                <w:color w:val="auto"/>
              </w:rPr>
            </w:pPr>
          </w:p>
        </w:tc>
        <w:tc>
          <w:tcPr>
            <w:tcW w:w="180" w:type="dxa"/>
            <w:vAlign w:val="bottom"/>
            <w:shd w:val="clear" w:color="auto" w:fill="ECEBEB"/>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80" w:type="dxa"/>
            <w:vAlign w:val="bottom"/>
            <w:shd w:val="clear" w:color="auto" w:fill="ECEBEB"/>
          </w:tcPr>
          <w:p>
            <w:pPr>
              <w:spacing w:after="0"/>
              <w:rPr>
                <w:sz w:val="15"/>
                <w:szCs w:val="15"/>
                <w:color w:val="auto"/>
              </w:rPr>
            </w:pPr>
          </w:p>
        </w:tc>
        <w:tc>
          <w:tcPr>
            <w:tcW w:w="2640" w:type="dxa"/>
            <w:vAlign w:val="bottom"/>
            <w:shd w:val="clear" w:color="auto" w:fill="ECEBEB"/>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2640" w:type="dxa"/>
            <w:vAlign w:val="bottom"/>
            <w:shd w:val="clear" w:color="auto" w:fill="ECEBEB"/>
          </w:tcPr>
          <w:p>
            <w:pPr>
              <w:spacing w:after="0"/>
              <w:rPr>
                <w:sz w:val="15"/>
                <w:szCs w:val="15"/>
                <w:color w:val="auto"/>
              </w:rPr>
            </w:pPr>
          </w:p>
        </w:tc>
        <w:tc>
          <w:tcPr>
            <w:tcW w:w="160" w:type="dxa"/>
            <w:vAlign w:val="bottom"/>
            <w:shd w:val="clear" w:color="auto" w:fill="ECEBEB"/>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2640" w:type="dxa"/>
            <w:vAlign w:val="bottom"/>
            <w:shd w:val="clear" w:color="auto" w:fill="ECEBEB"/>
          </w:tcPr>
          <w:p>
            <w:pPr>
              <w:spacing w:after="0"/>
              <w:rPr>
                <w:sz w:val="15"/>
                <w:szCs w:val="15"/>
                <w:color w:val="auto"/>
              </w:rPr>
            </w:pPr>
          </w:p>
        </w:tc>
        <w:tc>
          <w:tcPr>
            <w:tcW w:w="180" w:type="dxa"/>
            <w:vAlign w:val="bottom"/>
            <w:shd w:val="clear" w:color="auto" w:fill="ECEBEB"/>
          </w:tcPr>
          <w:p>
            <w:pPr>
              <w:spacing w:after="0"/>
              <w:rPr>
                <w:sz w:val="15"/>
                <w:szCs w:val="15"/>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00" w:right="540" w:hanging="192"/>
        <w:spacing w:after="0" w:line="239" w:lineRule="auto"/>
        <w:tabs>
          <w:tab w:leader="none" w:pos="20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 Refer to Appendix A for a reconciliation of non-GAAP financial measures to their closest comparable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Performance Highlights</w:t>
      </w:r>
    </w:p>
    <w:p>
      <w:pPr>
        <w:sectPr>
          <w:pgSz w:w="11900" w:h="16838" w:orient="portrait"/>
          <w:cols w:equalWidth="0" w:num="1">
            <w:col w:w="9080"/>
          </w:cols>
          <w:pgMar w:left="1400" w:top="133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25"/>
          <w:szCs w:val="25"/>
          <w:b w:val="1"/>
          <w:bCs w:val="1"/>
          <w:color w:val="0956FF"/>
        </w:rPr>
        <w:t>U.S. Market Leader</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 xml:space="preserve">#1 </w:t>
      </w:r>
      <w:r>
        <w:rPr>
          <w:rFonts w:ascii="Arial" w:cs="Arial" w:eastAsia="Arial" w:hAnsi="Arial"/>
          <w:sz w:val="21"/>
          <w:szCs w:val="21"/>
          <w:color w:val="auto"/>
        </w:rPr>
        <w:t>in total sales with 2.9M deliveries</w:t>
      </w:r>
    </w:p>
    <w:p>
      <w:pPr>
        <w:spacing w:after="0" w:line="231" w:lineRule="exact"/>
        <w:rPr>
          <w:sz w:val="20"/>
          <w:szCs w:val="20"/>
          <w:color w:val="auto"/>
        </w:rPr>
      </w:pPr>
    </w:p>
    <w:p>
      <w:pPr>
        <w:ind w:left="320" w:right="723"/>
        <w:spacing w:after="0" w:line="274" w:lineRule="auto"/>
        <w:rPr>
          <w:sz w:val="20"/>
          <w:szCs w:val="20"/>
          <w:color w:val="auto"/>
        </w:rPr>
      </w:pPr>
      <w:r>
        <w:rPr>
          <w:rFonts w:ascii="Arial" w:cs="Arial" w:eastAsia="Arial" w:hAnsi="Arial"/>
          <w:sz w:val="22"/>
          <w:szCs w:val="22"/>
          <w:b w:val="1"/>
          <w:bCs w:val="1"/>
          <w:color w:val="auto"/>
        </w:rPr>
        <w:t xml:space="preserve">#1 </w:t>
      </w:r>
      <w:r>
        <w:rPr>
          <w:rFonts w:ascii="Arial" w:cs="Arial" w:eastAsia="Arial" w:hAnsi="Arial"/>
          <w:sz w:val="22"/>
          <w:szCs w:val="22"/>
          <w:color w:val="auto"/>
        </w:rPr>
        <w:t>in full-size pickup trucks for</w:t>
      </w:r>
      <w:r>
        <w:rPr>
          <w:rFonts w:ascii="Arial" w:cs="Arial" w:eastAsia="Arial" w:hAnsi="Arial"/>
          <w:sz w:val="22"/>
          <w:szCs w:val="22"/>
          <w:b w:val="1"/>
          <w:bCs w:val="1"/>
          <w:color w:val="auto"/>
        </w:rPr>
        <w:t xml:space="preserve"> </w:t>
      </w:r>
      <w:r>
        <w:rPr>
          <w:rFonts w:ascii="Arial" w:cs="Arial" w:eastAsia="Arial" w:hAnsi="Arial"/>
          <w:sz w:val="22"/>
          <w:szCs w:val="22"/>
          <w:color w:val="auto"/>
        </w:rPr>
        <w:t>6th straight year</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 xml:space="preserve">#1 </w:t>
      </w:r>
      <w:r>
        <w:rPr>
          <w:rFonts w:ascii="Arial" w:cs="Arial" w:eastAsia="Arial" w:hAnsi="Arial"/>
          <w:sz w:val="22"/>
          <w:szCs w:val="22"/>
          <w:color w:val="auto"/>
        </w:rPr>
        <w:t>in full-size SUVs for 51st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both"/>
        <w:ind w:left="197" w:right="340" w:hanging="197"/>
        <w:spacing w:after="0" w:line="323" w:lineRule="auto"/>
        <w:tabs>
          <w:tab w:leader="none" w:pos="197" w:val="left"/>
        </w:tabs>
        <w:numPr>
          <w:ilvl w:val="0"/>
          <w:numId w:val="8"/>
        </w:numPr>
        <w:rPr>
          <w:rFonts w:ascii="Arial" w:cs="Arial" w:eastAsia="Arial" w:hAnsi="Arial"/>
          <w:sz w:val="14"/>
          <w:szCs w:val="14"/>
          <w:color w:val="0956FF"/>
        </w:rPr>
      </w:pPr>
      <w:r>
        <w:rPr>
          <w:rFonts w:ascii="Arial" w:cs="Arial" w:eastAsia="Arial" w:hAnsi="Arial"/>
          <w:sz w:val="20"/>
          <w:szCs w:val="20"/>
          <w:color w:val="auto"/>
        </w:rPr>
        <w:t>Deferred revenue from OnStar services, including Super Cruise, was $5.4B at the end of 2025; up 65% year-over-year</w:t>
      </w:r>
    </w:p>
    <w:p>
      <w:pPr>
        <w:spacing w:after="0" w:line="70" w:lineRule="exact"/>
        <w:rPr>
          <w:rFonts w:ascii="Arial" w:cs="Arial" w:eastAsia="Arial" w:hAnsi="Arial"/>
          <w:sz w:val="14"/>
          <w:szCs w:val="14"/>
          <w:color w:val="0956FF"/>
        </w:rPr>
      </w:pPr>
    </w:p>
    <w:p>
      <w:pPr>
        <w:ind w:left="197" w:right="480" w:hanging="197"/>
        <w:spacing w:after="0" w:line="365" w:lineRule="auto"/>
        <w:tabs>
          <w:tab w:leader="none" w:pos="197" w:val="left"/>
        </w:tabs>
        <w:numPr>
          <w:ilvl w:val="0"/>
          <w:numId w:val="8"/>
        </w:numPr>
        <w:rPr>
          <w:rFonts w:ascii="Arial" w:cs="Arial" w:eastAsia="Arial" w:hAnsi="Arial"/>
          <w:sz w:val="14"/>
          <w:szCs w:val="14"/>
          <w:color w:val="0956FF"/>
        </w:rPr>
      </w:pPr>
      <w:r>
        <w:rPr>
          <w:rFonts w:ascii="Arial" w:cs="Arial" w:eastAsia="Arial" w:hAnsi="Arial"/>
          <w:sz w:val="20"/>
          <w:szCs w:val="20"/>
          <w:color w:val="auto"/>
        </w:rPr>
        <w:t>Full-year EV sales rose 48% year-over-year and GM remained #2 in the U.S.</w:t>
      </w:r>
    </w:p>
    <w:p>
      <w:pPr>
        <w:spacing w:after="0" w:line="29" w:lineRule="exact"/>
        <w:rPr>
          <w:rFonts w:ascii="Arial" w:cs="Arial" w:eastAsia="Arial" w:hAnsi="Arial"/>
          <w:sz w:val="14"/>
          <w:szCs w:val="14"/>
          <w:color w:val="0956FF"/>
        </w:rPr>
      </w:pPr>
    </w:p>
    <w:p>
      <w:pPr>
        <w:ind w:left="197" w:right="380" w:hanging="197"/>
        <w:spacing w:after="0" w:line="323" w:lineRule="auto"/>
        <w:tabs>
          <w:tab w:leader="none" w:pos="197" w:val="left"/>
        </w:tabs>
        <w:numPr>
          <w:ilvl w:val="0"/>
          <w:numId w:val="8"/>
        </w:numPr>
        <w:rPr>
          <w:rFonts w:ascii="Arial" w:cs="Arial" w:eastAsia="Arial" w:hAnsi="Arial"/>
          <w:sz w:val="14"/>
          <w:szCs w:val="14"/>
          <w:color w:val="0956FF"/>
        </w:rPr>
      </w:pPr>
      <w:r>
        <w:rPr>
          <w:rFonts w:ascii="Arial" w:cs="Arial" w:eastAsia="Arial" w:hAnsi="Arial"/>
          <w:sz w:val="20"/>
          <w:szCs w:val="20"/>
          <w:color w:val="auto"/>
        </w:rPr>
        <w:t>Mitigated more than 40% of $3.1B gross tariffs through go-to-market strategy, footprint changes and cost efficiencies</w:t>
      </w:r>
    </w:p>
    <w:p>
      <w:pPr>
        <w:spacing w:after="0" w:line="200" w:lineRule="exact"/>
        <w:rPr>
          <w:sz w:val="20"/>
          <w:szCs w:val="20"/>
          <w:color w:val="auto"/>
        </w:rPr>
      </w:pPr>
    </w:p>
    <w:p>
      <w:pPr>
        <w:sectPr>
          <w:pgSz w:w="11900" w:h="16838" w:orient="portrait"/>
          <w:cols w:equalWidth="0" w:num="2">
            <w:col w:w="3923" w:space="720"/>
            <w:col w:w="4437"/>
          </w:cols>
          <w:pgMar w:left="1400" w:top="1339"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020"/>
        <w:spacing w:after="0"/>
        <w:tabs>
          <w:tab w:leader="none" w:pos="89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1</w:t>
      </w:r>
    </w:p>
    <w:p>
      <w:pPr>
        <w:sectPr>
          <w:pgSz w:w="11900" w:h="16838" w:orient="portrait"/>
          <w:cols w:equalWidth="0" w:num="1">
            <w:col w:w="9080"/>
          </w:cols>
          <w:pgMar w:left="1400" w:top="1339" w:right="14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Snapshot of 2026 Board Nominees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b w:val="1"/>
                <w:bCs w:val="1"/>
                <w:color w:val="0956FF"/>
              </w:rPr>
              <w:t>Mary T. Barra</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8"/>
                <w:szCs w:val="18"/>
                <w:b w:val="1"/>
                <w:bCs w:val="1"/>
                <w:color w:val="0956FF"/>
              </w:rPr>
              <w:t>Wesley G. Bush</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ind w:left="320"/>
              <w:spacing w:after="0"/>
              <w:rPr>
                <w:sz w:val="20"/>
                <w:szCs w:val="20"/>
                <w:color w:val="auto"/>
              </w:rPr>
            </w:pPr>
            <w:r>
              <w:rPr>
                <w:rFonts w:ascii="Arial" w:cs="Arial" w:eastAsia="Arial" w:hAnsi="Arial"/>
                <w:sz w:val="18"/>
                <w:szCs w:val="18"/>
                <w:b w:val="1"/>
                <w:bCs w:val="1"/>
                <w:color w:val="0956FF"/>
              </w:rPr>
              <w:t>Joanne 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ind w:left="320"/>
              <w:spacing w:after="0"/>
              <w:rPr>
                <w:sz w:val="20"/>
                <w:szCs w:val="20"/>
                <w:color w:val="auto"/>
              </w:rPr>
            </w:pPr>
            <w:r>
              <w:rPr>
                <w:rFonts w:ascii="Arial" w:cs="Arial" w:eastAsia="Arial" w:hAnsi="Arial"/>
                <w:sz w:val="18"/>
                <w:szCs w:val="18"/>
                <w:b w:val="1"/>
                <w:bCs w:val="1"/>
                <w:color w:val="0956FF"/>
              </w:rPr>
              <w:t>Crevoiserat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2014</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tcPr>
          <w:p>
            <w:pPr>
              <w:ind w:left="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ind w:left="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ind w:left="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40" w:type="dxa"/>
            <w:vAlign w:val="bottom"/>
            <w:gridSpan w:val="5"/>
          </w:tcPr>
          <w:p>
            <w:pPr>
              <w:ind w:left="60"/>
              <w:spacing w:after="0"/>
              <w:rPr>
                <w:sz w:val="20"/>
                <w:szCs w:val="20"/>
                <w:color w:val="auto"/>
              </w:rPr>
            </w:pPr>
            <w:r>
              <w:rPr>
                <w:rFonts w:ascii="Arial" w:cs="Arial" w:eastAsia="Arial" w:hAnsi="Arial"/>
                <w:sz w:val="14"/>
                <w:szCs w:val="14"/>
                <w:color w:val="auto"/>
              </w:rPr>
              <w:t>Chair and Chief Executive Officer,</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7"/>
          </w:tcPr>
          <w:p>
            <w:pPr>
              <w:ind w:left="40"/>
              <w:spacing w:after="0"/>
              <w:rPr>
                <w:sz w:val="20"/>
                <w:szCs w:val="20"/>
                <w:color w:val="auto"/>
              </w:rPr>
            </w:pPr>
            <w:r>
              <w:rPr>
                <w:rFonts w:ascii="Arial" w:cs="Arial" w:eastAsia="Arial" w:hAnsi="Arial"/>
                <w:sz w:val="14"/>
                <w:szCs w:val="14"/>
                <w:color w:val="auto"/>
              </w:rPr>
              <w:t>Retired Chairman and Chief Executive</w:t>
            </w:r>
          </w:p>
        </w:tc>
        <w:tc>
          <w:tcPr>
            <w:tcW w:w="340" w:type="dxa"/>
            <w:vAlign w:val="bottom"/>
          </w:tcPr>
          <w:p>
            <w:pPr>
              <w:spacing w:after="0"/>
              <w:rPr>
                <w:sz w:val="20"/>
                <w:szCs w:val="20"/>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color w:val="auto"/>
              </w:rPr>
              <w:t>Chief Executive Officer, Tapestry,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240" w:type="dxa"/>
            <w:vAlign w:val="bottom"/>
            <w:gridSpan w:val="5"/>
          </w:tcPr>
          <w:p>
            <w:pPr>
              <w:ind w:left="60"/>
              <w:spacing w:after="0"/>
              <w:rPr>
                <w:sz w:val="20"/>
                <w:szCs w:val="20"/>
                <w:color w:val="auto"/>
              </w:rPr>
            </w:pPr>
            <w:r>
              <w:rPr>
                <w:rFonts w:ascii="Arial" w:cs="Arial" w:eastAsia="Arial" w:hAnsi="Arial"/>
                <w:sz w:val="14"/>
                <w:szCs w:val="14"/>
                <w:color w:val="auto"/>
              </w:rPr>
              <w:t>General Motors Company</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7"/>
          </w:tcPr>
          <w:p>
            <w:pPr>
              <w:ind w:left="40"/>
              <w:spacing w:after="0"/>
              <w:rPr>
                <w:sz w:val="20"/>
                <w:szCs w:val="20"/>
                <w:color w:val="auto"/>
              </w:rPr>
            </w:pPr>
            <w:r>
              <w:rPr>
                <w:rFonts w:ascii="Arial" w:cs="Arial" w:eastAsia="Arial" w:hAnsi="Arial"/>
                <w:sz w:val="14"/>
                <w:szCs w:val="14"/>
                <w:color w:val="auto"/>
              </w:rPr>
              <w:t>Officer, Northrop Grumman Corporation</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240" w:type="dxa"/>
            <w:vAlign w:val="bottom"/>
            <w:gridSpan w:val="5"/>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0" w:type="dxa"/>
            <w:vAlign w:val="bottom"/>
            <w:gridSpan w:val="7"/>
          </w:tcPr>
          <w:p>
            <w:pPr>
              <w:spacing w:after="0"/>
              <w:rPr>
                <w:sz w:val="4"/>
                <w:szCs w:val="4"/>
                <w:color w:val="auto"/>
              </w:rPr>
            </w:pPr>
          </w:p>
        </w:tc>
        <w:tc>
          <w:tcPr>
            <w:tcW w:w="340" w:type="dxa"/>
            <w:vAlign w:val="bottom"/>
          </w:tcPr>
          <w:p>
            <w:pPr>
              <w:spacing w:after="0"/>
              <w:rPr>
                <w:sz w:val="4"/>
                <w:szCs w:val="4"/>
                <w:color w:val="auto"/>
              </w:rPr>
            </w:pPr>
          </w:p>
        </w:tc>
        <w:tc>
          <w:tcPr>
            <w:tcW w:w="2800" w:type="dxa"/>
            <w:vAlign w:val="bottom"/>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240" w:type="dxa"/>
            <w:vAlign w:val="bottom"/>
            <w:tcBorders>
              <w:left w:val="single" w:sz="8" w:color="ECEBEB"/>
            </w:tcBorders>
            <w:gridSpan w:val="5"/>
            <w:shd w:val="clear" w:color="auto" w:fill="ECEBEB"/>
          </w:tcPr>
          <w:p>
            <w:pPr>
              <w:ind w:left="100"/>
              <w:spacing w:after="0"/>
              <w:rPr>
                <w:sz w:val="20"/>
                <w:szCs w:val="20"/>
                <w:color w:val="auto"/>
              </w:rPr>
            </w:pPr>
            <w:r>
              <w:rPr>
                <w:rFonts w:ascii="Arial" w:cs="Arial" w:eastAsia="Arial" w:hAnsi="Arial"/>
                <w:sz w:val="14"/>
                <w:szCs w:val="14"/>
                <w:b w:val="1"/>
                <w:bCs w:val="1"/>
                <w:color w:val="auto"/>
              </w:rPr>
              <w:t>Committee memberships:</w:t>
            </w:r>
          </w:p>
        </w:tc>
        <w:tc>
          <w:tcPr>
            <w:tcW w:w="560" w:type="dxa"/>
            <w:vAlign w:val="bottom"/>
            <w:shd w:val="clear" w:color="auto" w:fill="ECEBEB"/>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7"/>
            <w:shd w:val="clear" w:color="auto" w:fill="ECEBEB"/>
          </w:tcPr>
          <w:p>
            <w:pPr>
              <w:ind w:left="80"/>
              <w:spacing w:after="0"/>
              <w:rPr>
                <w:sz w:val="20"/>
                <w:szCs w:val="20"/>
                <w:color w:val="auto"/>
              </w:rPr>
            </w:pPr>
            <w:r>
              <w:rPr>
                <w:rFonts w:ascii="Arial" w:cs="Arial" w:eastAsia="Arial" w:hAnsi="Arial"/>
                <w:sz w:val="14"/>
                <w:szCs w:val="14"/>
                <w:b w:val="1"/>
                <w:bCs w:val="1"/>
                <w:color w:val="auto"/>
              </w:rPr>
              <w:t>Committee memberships:</w:t>
            </w:r>
          </w:p>
        </w:tc>
        <w:tc>
          <w:tcPr>
            <w:tcW w:w="340" w:type="dxa"/>
            <w:vAlign w:val="bottom"/>
          </w:tcPr>
          <w:p>
            <w:pPr>
              <w:spacing w:after="0"/>
              <w:rPr>
                <w:sz w:val="24"/>
                <w:szCs w:val="24"/>
                <w:color w:val="auto"/>
              </w:rPr>
            </w:pPr>
          </w:p>
        </w:tc>
        <w:tc>
          <w:tcPr>
            <w:tcW w:w="2800" w:type="dxa"/>
            <w:vAlign w:val="bottom"/>
            <w:gridSpan w:val="5"/>
            <w:shd w:val="clear" w:color="auto" w:fill="ECEBEB"/>
          </w:tcPr>
          <w:p>
            <w:pPr>
              <w:ind w:left="100"/>
              <w:spacing w:after="0"/>
              <w:rPr>
                <w:sz w:val="20"/>
                <w:szCs w:val="20"/>
                <w:color w:val="auto"/>
              </w:rPr>
            </w:pPr>
            <w:r>
              <w:rPr>
                <w:rFonts w:ascii="Arial" w:cs="Arial" w:eastAsia="Arial" w:hAnsi="Arial"/>
                <w:sz w:val="14"/>
                <w:szCs w:val="14"/>
                <w:b w:val="1"/>
                <w:bCs w:val="1"/>
                <w:color w:val="auto"/>
              </w:rPr>
              <w:t>Committee memberships: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400" w:type="dxa"/>
            <w:vAlign w:val="bottom"/>
            <w:tcBorders>
              <w:left w:val="single" w:sz="8" w:color="ECEBEB"/>
            </w:tcBorders>
            <w:shd w:val="clear" w:color="auto" w:fill="ECEBEB"/>
          </w:tcPr>
          <w:p>
            <w:pPr>
              <w:ind w:left="100"/>
              <w:spacing w:after="0" w:line="53" w:lineRule="exact"/>
              <w:rPr>
                <w:sz w:val="20"/>
                <w:szCs w:val="20"/>
                <w:color w:val="auto"/>
              </w:rPr>
            </w:pPr>
            <w:r>
              <w:rPr>
                <w:rFonts w:ascii="Arial" w:cs="Arial" w:eastAsia="Arial" w:hAnsi="Arial"/>
                <w:sz w:val="6"/>
                <w:szCs w:val="6"/>
                <w:b w:val="1"/>
                <w:bCs w:val="1"/>
                <w:color w:val="0956FF"/>
              </w:rPr>
              <w:t>EC</w:t>
            </w:r>
          </w:p>
        </w:tc>
        <w:tc>
          <w:tcPr>
            <w:tcW w:w="20" w:type="dxa"/>
            <w:vAlign w:val="bottom"/>
            <w:shd w:val="clear" w:color="auto" w:fill="ECEBEB"/>
          </w:tcPr>
          <w:p>
            <w:pPr>
              <w:spacing w:after="0"/>
              <w:rPr>
                <w:sz w:val="4"/>
                <w:szCs w:val="4"/>
                <w:color w:val="auto"/>
              </w:rPr>
            </w:pPr>
          </w:p>
        </w:tc>
        <w:tc>
          <w:tcPr>
            <w:tcW w:w="280" w:type="dxa"/>
            <w:vAlign w:val="bottom"/>
            <w:shd w:val="clear" w:color="auto" w:fill="ECEBEB"/>
          </w:tcPr>
          <w:p>
            <w:pPr>
              <w:spacing w:after="0"/>
              <w:rPr>
                <w:sz w:val="4"/>
                <w:szCs w:val="4"/>
                <w:color w:val="auto"/>
              </w:rPr>
            </w:pPr>
          </w:p>
        </w:tc>
        <w:tc>
          <w:tcPr>
            <w:tcW w:w="320" w:type="dxa"/>
            <w:vAlign w:val="bottom"/>
            <w:shd w:val="clear" w:color="auto" w:fill="ECEBEB"/>
          </w:tcPr>
          <w:p>
            <w:pPr>
              <w:spacing w:after="0"/>
              <w:rPr>
                <w:sz w:val="4"/>
                <w:szCs w:val="4"/>
                <w:color w:val="auto"/>
              </w:rPr>
            </w:pPr>
          </w:p>
        </w:tc>
        <w:tc>
          <w:tcPr>
            <w:tcW w:w="1220" w:type="dxa"/>
            <w:vAlign w:val="bottom"/>
            <w:shd w:val="clear" w:color="auto" w:fill="ECEBEB"/>
          </w:tcPr>
          <w:p>
            <w:pPr>
              <w:spacing w:after="0"/>
              <w:rPr>
                <w:sz w:val="4"/>
                <w:szCs w:val="4"/>
                <w:color w:val="auto"/>
              </w:rPr>
            </w:pPr>
          </w:p>
        </w:tc>
        <w:tc>
          <w:tcPr>
            <w:tcW w:w="560" w:type="dxa"/>
            <w:vAlign w:val="bottom"/>
            <w:shd w:val="clear" w:color="auto" w:fill="ECEBEB"/>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gridSpan w:val="3"/>
            <w:shd w:val="clear" w:color="auto" w:fill="ECEBEB"/>
          </w:tcPr>
          <w:p>
            <w:pPr>
              <w:ind w:left="80"/>
              <w:spacing w:after="0" w:line="53" w:lineRule="exact"/>
              <w:rPr>
                <w:sz w:val="20"/>
                <w:szCs w:val="20"/>
                <w:color w:val="auto"/>
              </w:rPr>
            </w:pPr>
            <w:r>
              <w:rPr>
                <w:rFonts w:ascii="Arial" w:cs="Arial" w:eastAsia="Arial" w:hAnsi="Arial"/>
                <w:sz w:val="6"/>
                <w:szCs w:val="6"/>
                <w:b w:val="1"/>
                <w:bCs w:val="1"/>
                <w:color w:val="0956FF"/>
              </w:rPr>
              <w:t xml:space="preserve">AC </w:t>
            </w:r>
            <w:r>
              <w:rPr>
                <w:rFonts w:ascii="Arial" w:cs="Arial" w:eastAsia="Arial" w:hAnsi="Arial"/>
                <w:sz w:val="6"/>
                <w:szCs w:val="6"/>
                <w:color w:val="000000"/>
              </w:rPr>
              <w:t>| EC |</w:t>
            </w:r>
          </w:p>
        </w:tc>
        <w:tc>
          <w:tcPr>
            <w:tcW w:w="320" w:type="dxa"/>
            <w:vAlign w:val="bottom"/>
            <w:gridSpan w:val="3"/>
            <w:shd w:val="clear" w:color="auto" w:fill="ECEBEB"/>
          </w:tcPr>
          <w:p>
            <w:pPr>
              <w:jc w:val="right"/>
              <w:ind w:right="22"/>
              <w:spacing w:after="0" w:line="53" w:lineRule="exact"/>
              <w:rPr>
                <w:sz w:val="20"/>
                <w:szCs w:val="20"/>
                <w:color w:val="auto"/>
              </w:rPr>
            </w:pPr>
            <w:r>
              <w:rPr>
                <w:rFonts w:ascii="Arial" w:cs="Arial" w:eastAsia="Arial" w:hAnsi="Arial"/>
                <w:sz w:val="6"/>
                <w:szCs w:val="6"/>
                <w:color w:val="auto"/>
              </w:rPr>
              <w:t>CC |</w:t>
            </w:r>
          </w:p>
        </w:tc>
        <w:tc>
          <w:tcPr>
            <w:tcW w:w="1780" w:type="dxa"/>
            <w:vAlign w:val="bottom"/>
            <w:shd w:val="clear" w:color="auto" w:fill="ECEBEB"/>
          </w:tcPr>
          <w:p>
            <w:pPr>
              <w:jc w:val="right"/>
              <w:ind w:right="1505"/>
              <w:spacing w:after="0" w:line="53" w:lineRule="exact"/>
              <w:rPr>
                <w:sz w:val="20"/>
                <w:szCs w:val="20"/>
                <w:color w:val="auto"/>
              </w:rPr>
            </w:pPr>
            <w:r>
              <w:rPr>
                <w:rFonts w:ascii="Arial" w:cs="Arial" w:eastAsia="Arial" w:hAnsi="Arial"/>
                <w:sz w:val="6"/>
                <w:szCs w:val="6"/>
                <w:color w:val="auto"/>
              </w:rPr>
              <w:t>FC</w:t>
            </w:r>
          </w:p>
        </w:tc>
        <w:tc>
          <w:tcPr>
            <w:tcW w:w="340" w:type="dxa"/>
            <w:vAlign w:val="bottom"/>
          </w:tcPr>
          <w:p>
            <w:pPr>
              <w:spacing w:after="0"/>
              <w:rPr>
                <w:sz w:val="4"/>
                <w:szCs w:val="4"/>
                <w:color w:val="auto"/>
              </w:rPr>
            </w:pPr>
          </w:p>
        </w:tc>
        <w:tc>
          <w:tcPr>
            <w:tcW w:w="700" w:type="dxa"/>
            <w:vAlign w:val="bottom"/>
            <w:gridSpan w:val="3"/>
            <w:shd w:val="clear" w:color="auto" w:fill="ECEBEB"/>
          </w:tcPr>
          <w:p>
            <w:pPr>
              <w:ind w:left="100"/>
              <w:spacing w:after="0" w:line="53" w:lineRule="exact"/>
              <w:rPr>
                <w:sz w:val="20"/>
                <w:szCs w:val="20"/>
                <w:color w:val="auto"/>
              </w:rPr>
            </w:pPr>
            <w:r>
              <w:rPr>
                <w:rFonts w:ascii="Arial" w:cs="Arial" w:eastAsia="Arial" w:hAnsi="Arial"/>
                <w:sz w:val="6"/>
                <w:szCs w:val="6"/>
                <w:color w:val="auto"/>
              </w:rPr>
              <w:t>AC | FC |</w:t>
            </w:r>
          </w:p>
        </w:tc>
        <w:tc>
          <w:tcPr>
            <w:tcW w:w="300" w:type="dxa"/>
            <w:vAlign w:val="bottom"/>
            <w:shd w:val="clear" w:color="auto" w:fill="ECEBEB"/>
          </w:tcPr>
          <w:p>
            <w:pPr>
              <w:ind w:left="20"/>
              <w:spacing w:after="0" w:line="53" w:lineRule="exact"/>
              <w:rPr>
                <w:sz w:val="20"/>
                <w:szCs w:val="20"/>
                <w:color w:val="auto"/>
              </w:rPr>
            </w:pPr>
            <w:r>
              <w:rPr>
                <w:rFonts w:ascii="Arial" w:cs="Arial" w:eastAsia="Arial" w:hAnsi="Arial"/>
                <w:sz w:val="6"/>
                <w:szCs w:val="6"/>
                <w:color w:val="auto"/>
              </w:rPr>
              <w:t>GC</w:t>
            </w:r>
          </w:p>
        </w:tc>
        <w:tc>
          <w:tcPr>
            <w:tcW w:w="1800" w:type="dxa"/>
            <w:vAlign w:val="bottom"/>
            <w:shd w:val="clear" w:color="auto" w:fill="ECEBEB"/>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0" w:type="dxa"/>
            <w:vAlign w:val="bottom"/>
            <w:tcBorders>
              <w:left w:val="single" w:sz="8" w:color="ECEBEB"/>
            </w:tcBorders>
            <w:shd w:val="clear" w:color="auto" w:fill="ECEBEB"/>
          </w:tcPr>
          <w:p>
            <w:pPr>
              <w:spacing w:after="0"/>
              <w:rPr>
                <w:sz w:val="8"/>
                <w:szCs w:val="8"/>
                <w:color w:val="auto"/>
              </w:rPr>
            </w:pPr>
          </w:p>
        </w:tc>
        <w:tc>
          <w:tcPr>
            <w:tcW w:w="20" w:type="dxa"/>
            <w:vAlign w:val="bottom"/>
            <w:shd w:val="clear" w:color="auto" w:fill="ECEBEB"/>
          </w:tcPr>
          <w:p>
            <w:pPr>
              <w:spacing w:after="0"/>
              <w:rPr>
                <w:sz w:val="8"/>
                <w:szCs w:val="8"/>
                <w:color w:val="auto"/>
              </w:rPr>
            </w:pPr>
          </w:p>
        </w:tc>
        <w:tc>
          <w:tcPr>
            <w:tcW w:w="280" w:type="dxa"/>
            <w:vAlign w:val="bottom"/>
            <w:shd w:val="clear" w:color="auto" w:fill="ECEBEB"/>
          </w:tcPr>
          <w:p>
            <w:pPr>
              <w:spacing w:after="0"/>
              <w:rPr>
                <w:sz w:val="8"/>
                <w:szCs w:val="8"/>
                <w:color w:val="auto"/>
              </w:rPr>
            </w:pPr>
          </w:p>
        </w:tc>
        <w:tc>
          <w:tcPr>
            <w:tcW w:w="320" w:type="dxa"/>
            <w:vAlign w:val="bottom"/>
            <w:shd w:val="clear" w:color="auto" w:fill="ECEBEB"/>
          </w:tcPr>
          <w:p>
            <w:pPr>
              <w:spacing w:after="0"/>
              <w:rPr>
                <w:sz w:val="8"/>
                <w:szCs w:val="8"/>
                <w:color w:val="auto"/>
              </w:rPr>
            </w:pPr>
          </w:p>
        </w:tc>
        <w:tc>
          <w:tcPr>
            <w:tcW w:w="1220" w:type="dxa"/>
            <w:vAlign w:val="bottom"/>
            <w:shd w:val="clear" w:color="auto" w:fill="ECEBEB"/>
          </w:tcPr>
          <w:p>
            <w:pPr>
              <w:spacing w:after="0"/>
              <w:rPr>
                <w:sz w:val="8"/>
                <w:szCs w:val="8"/>
                <w:color w:val="auto"/>
              </w:rPr>
            </w:pPr>
          </w:p>
        </w:tc>
        <w:tc>
          <w:tcPr>
            <w:tcW w:w="56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shd w:val="clear" w:color="auto" w:fill="ECEBEB"/>
          </w:tcPr>
          <w:p>
            <w:pPr>
              <w:ind w:left="280"/>
              <w:spacing w:after="0"/>
              <w:rPr>
                <w:sz w:val="20"/>
                <w:szCs w:val="20"/>
                <w:color w:val="auto"/>
              </w:rPr>
            </w:pPr>
            <w:r>
              <w:rPr>
                <w:rFonts w:ascii="Arial" w:cs="Arial" w:eastAsia="Arial" w:hAnsi="Arial"/>
                <w:sz w:val="7"/>
                <w:szCs w:val="7"/>
                <w:color w:val="auto"/>
              </w:rPr>
              <w:t> </w:t>
            </w:r>
          </w:p>
        </w:tc>
        <w:tc>
          <w:tcPr>
            <w:tcW w:w="40" w:type="dxa"/>
            <w:vAlign w:val="bottom"/>
            <w:shd w:val="clear" w:color="auto" w:fill="ECEBEB"/>
          </w:tcPr>
          <w:p>
            <w:pPr>
              <w:spacing w:after="0"/>
              <w:rPr>
                <w:sz w:val="20"/>
                <w:szCs w:val="20"/>
                <w:color w:val="auto"/>
              </w:rPr>
            </w:pPr>
            <w:r>
              <w:rPr>
                <w:rFonts w:ascii="Arial" w:cs="Arial" w:eastAsia="Arial" w:hAnsi="Arial"/>
                <w:sz w:val="5"/>
                <w:szCs w:val="5"/>
                <w:color w:val="auto"/>
                <w:w w:val="78"/>
              </w:rPr>
              <w:t> </w:t>
            </w:r>
          </w:p>
        </w:tc>
        <w:tc>
          <w:tcPr>
            <w:tcW w:w="300" w:type="dxa"/>
            <w:vAlign w:val="bottom"/>
            <w:shd w:val="clear" w:color="auto" w:fill="ECEBEB"/>
          </w:tcPr>
          <w:p>
            <w:pPr>
              <w:ind w:left="200"/>
              <w:spacing w:after="0"/>
              <w:rPr>
                <w:sz w:val="20"/>
                <w:szCs w:val="20"/>
                <w:color w:val="auto"/>
              </w:rPr>
            </w:pPr>
            <w:r>
              <w:rPr>
                <w:rFonts w:ascii="Arial" w:cs="Arial" w:eastAsia="Arial" w:hAnsi="Arial"/>
                <w:sz w:val="7"/>
                <w:szCs w:val="7"/>
                <w:color w:val="auto"/>
              </w:rPr>
              <w:t xml:space="preserve">    </w:t>
            </w:r>
          </w:p>
        </w:tc>
        <w:tc>
          <w:tcPr>
            <w:tcW w:w="120" w:type="dxa"/>
            <w:vAlign w:val="bottom"/>
            <w:shd w:val="clear" w:color="auto" w:fill="ECEBEB"/>
          </w:tcPr>
          <w:p>
            <w:pPr>
              <w:spacing w:after="0"/>
              <w:rPr>
                <w:sz w:val="8"/>
                <w:szCs w:val="8"/>
                <w:color w:val="auto"/>
              </w:rPr>
            </w:pPr>
          </w:p>
        </w:tc>
        <w:tc>
          <w:tcPr>
            <w:tcW w:w="160" w:type="dxa"/>
            <w:vAlign w:val="bottom"/>
            <w:shd w:val="clear" w:color="auto" w:fill="ECEBEB"/>
          </w:tcPr>
          <w:p>
            <w:pPr>
              <w:jc w:val="right"/>
              <w:ind w:right="24"/>
              <w:spacing w:after="0"/>
              <w:rPr>
                <w:sz w:val="20"/>
                <w:szCs w:val="20"/>
                <w:color w:val="auto"/>
              </w:rPr>
            </w:pPr>
            <w:r>
              <w:rPr>
                <w:rFonts w:ascii="Arial" w:cs="Arial" w:eastAsia="Arial" w:hAnsi="Arial"/>
                <w:sz w:val="7"/>
                <w:szCs w:val="7"/>
                <w:color w:val="auto"/>
              </w:rPr>
              <w:t> </w:t>
            </w:r>
          </w:p>
        </w:tc>
        <w:tc>
          <w:tcPr>
            <w:tcW w:w="40" w:type="dxa"/>
            <w:vAlign w:val="bottom"/>
            <w:shd w:val="clear" w:color="auto" w:fill="ECEBEB"/>
          </w:tcPr>
          <w:p>
            <w:pPr>
              <w:jc w:val="right"/>
              <w:ind w:right="2"/>
              <w:spacing w:after="0"/>
              <w:rPr>
                <w:sz w:val="20"/>
                <w:szCs w:val="20"/>
                <w:color w:val="auto"/>
              </w:rPr>
            </w:pPr>
            <w:r>
              <w:rPr>
                <w:rFonts w:ascii="Arial" w:cs="Arial" w:eastAsia="Arial" w:hAnsi="Arial"/>
                <w:sz w:val="1"/>
                <w:szCs w:val="1"/>
                <w:color w:val="auto"/>
                <w:w w:val="4294967286"/>
              </w:rPr>
              <w:t> </w:t>
            </w:r>
          </w:p>
        </w:tc>
        <w:tc>
          <w:tcPr>
            <w:tcW w:w="178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shd w:val="clear" w:color="auto" w:fill="ECEBEB"/>
          </w:tcPr>
          <w:p>
            <w:pPr>
              <w:jc w:val="center"/>
              <w:ind w:left="185"/>
              <w:spacing w:after="0"/>
              <w:rPr>
                <w:sz w:val="20"/>
                <w:szCs w:val="20"/>
                <w:color w:val="auto"/>
              </w:rPr>
            </w:pPr>
            <w:r>
              <w:rPr>
                <w:rFonts w:ascii="Arial" w:cs="Arial" w:eastAsia="Arial" w:hAnsi="Arial"/>
                <w:sz w:val="5"/>
                <w:szCs w:val="5"/>
                <w:color w:val="auto"/>
                <w:w w:val="78"/>
              </w:rPr>
              <w:t> </w:t>
            </w:r>
          </w:p>
        </w:tc>
        <w:tc>
          <w:tcPr>
            <w:tcW w:w="320" w:type="dxa"/>
            <w:vAlign w:val="bottom"/>
            <w:gridSpan w:val="2"/>
            <w:shd w:val="clear" w:color="auto" w:fill="ECEBEB"/>
          </w:tcPr>
          <w:p>
            <w:pPr>
              <w:spacing w:after="0"/>
              <w:rPr>
                <w:sz w:val="20"/>
                <w:szCs w:val="20"/>
                <w:color w:val="auto"/>
              </w:rPr>
            </w:pPr>
            <w:r>
              <w:rPr>
                <w:rFonts w:ascii="Arial" w:cs="Arial" w:eastAsia="Arial" w:hAnsi="Arial"/>
                <w:sz w:val="7"/>
                <w:szCs w:val="7"/>
                <w:color w:val="auto"/>
              </w:rPr>
              <w:t xml:space="preserve">     </w:t>
            </w:r>
          </w:p>
        </w:tc>
        <w:tc>
          <w:tcPr>
            <w:tcW w:w="300" w:type="dxa"/>
            <w:vAlign w:val="bottom"/>
            <w:shd w:val="clear" w:color="auto" w:fill="ECEBEB"/>
          </w:tcPr>
          <w:p>
            <w:pPr>
              <w:spacing w:after="0"/>
              <w:rPr>
                <w:sz w:val="8"/>
                <w:szCs w:val="8"/>
                <w:color w:val="auto"/>
              </w:rPr>
            </w:pPr>
          </w:p>
        </w:tc>
        <w:tc>
          <w:tcPr>
            <w:tcW w:w="1800" w:type="dxa"/>
            <w:vAlign w:val="bottom"/>
            <w:shd w:val="clear" w:color="auto" w:fill="ECEBE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00" w:type="dxa"/>
            <w:vAlign w:val="bottom"/>
            <w:tcBorders>
              <w:left w:val="single" w:sz="8" w:color="ECEBEB"/>
            </w:tcBorders>
            <w:shd w:val="clear" w:color="auto" w:fill="ECEBEB"/>
          </w:tcPr>
          <w:p>
            <w:pPr>
              <w:spacing w:after="0"/>
              <w:rPr>
                <w:sz w:val="9"/>
                <w:szCs w:val="9"/>
                <w:color w:val="auto"/>
              </w:rPr>
            </w:pPr>
          </w:p>
        </w:tc>
        <w:tc>
          <w:tcPr>
            <w:tcW w:w="20" w:type="dxa"/>
            <w:vAlign w:val="bottom"/>
            <w:shd w:val="clear" w:color="auto" w:fill="ECEBEB"/>
          </w:tcPr>
          <w:p>
            <w:pPr>
              <w:spacing w:after="0"/>
              <w:rPr>
                <w:sz w:val="9"/>
                <w:szCs w:val="9"/>
                <w:color w:val="auto"/>
              </w:rPr>
            </w:pPr>
          </w:p>
        </w:tc>
        <w:tc>
          <w:tcPr>
            <w:tcW w:w="280" w:type="dxa"/>
            <w:vAlign w:val="bottom"/>
            <w:shd w:val="clear" w:color="auto" w:fill="ECEBEB"/>
          </w:tcPr>
          <w:p>
            <w:pPr>
              <w:spacing w:after="0"/>
              <w:rPr>
                <w:sz w:val="9"/>
                <w:szCs w:val="9"/>
                <w:color w:val="auto"/>
              </w:rPr>
            </w:pPr>
          </w:p>
        </w:tc>
        <w:tc>
          <w:tcPr>
            <w:tcW w:w="320" w:type="dxa"/>
            <w:vAlign w:val="bottom"/>
            <w:shd w:val="clear" w:color="auto" w:fill="ECEBEB"/>
          </w:tcPr>
          <w:p>
            <w:pPr>
              <w:spacing w:after="0"/>
              <w:rPr>
                <w:sz w:val="9"/>
                <w:szCs w:val="9"/>
                <w:color w:val="auto"/>
              </w:rPr>
            </w:pPr>
          </w:p>
        </w:tc>
        <w:tc>
          <w:tcPr>
            <w:tcW w:w="1780" w:type="dxa"/>
            <w:vAlign w:val="bottom"/>
            <w:gridSpan w:val="2"/>
            <w:shd w:val="clear" w:color="auto" w:fill="ECEBEB"/>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shd w:val="clear" w:color="auto" w:fill="ECEBEB"/>
          </w:tcPr>
          <w:p>
            <w:pPr>
              <w:spacing w:after="0"/>
              <w:rPr>
                <w:sz w:val="9"/>
                <w:szCs w:val="9"/>
                <w:color w:val="auto"/>
              </w:rPr>
            </w:pPr>
          </w:p>
        </w:tc>
        <w:tc>
          <w:tcPr>
            <w:tcW w:w="40" w:type="dxa"/>
            <w:vAlign w:val="bottom"/>
            <w:shd w:val="clear" w:color="auto" w:fill="ECEBEB"/>
          </w:tcPr>
          <w:p>
            <w:pPr>
              <w:spacing w:after="0"/>
              <w:rPr>
                <w:sz w:val="9"/>
                <w:szCs w:val="9"/>
                <w:color w:val="auto"/>
              </w:rPr>
            </w:pPr>
          </w:p>
        </w:tc>
        <w:tc>
          <w:tcPr>
            <w:tcW w:w="300" w:type="dxa"/>
            <w:vAlign w:val="bottom"/>
            <w:shd w:val="clear" w:color="auto" w:fill="ECEBEB"/>
          </w:tcPr>
          <w:p>
            <w:pPr>
              <w:spacing w:after="0"/>
              <w:rPr>
                <w:sz w:val="9"/>
                <w:szCs w:val="9"/>
                <w:color w:val="auto"/>
              </w:rPr>
            </w:pPr>
          </w:p>
        </w:tc>
        <w:tc>
          <w:tcPr>
            <w:tcW w:w="120" w:type="dxa"/>
            <w:vAlign w:val="bottom"/>
            <w:shd w:val="clear" w:color="auto" w:fill="ECEBEB"/>
          </w:tcPr>
          <w:p>
            <w:pPr>
              <w:spacing w:after="0"/>
              <w:rPr>
                <w:sz w:val="9"/>
                <w:szCs w:val="9"/>
                <w:color w:val="auto"/>
              </w:rPr>
            </w:pPr>
          </w:p>
        </w:tc>
        <w:tc>
          <w:tcPr>
            <w:tcW w:w="160" w:type="dxa"/>
            <w:vAlign w:val="bottom"/>
            <w:shd w:val="clear" w:color="auto" w:fill="ECEBEB"/>
          </w:tcPr>
          <w:p>
            <w:pPr>
              <w:spacing w:after="0"/>
              <w:rPr>
                <w:sz w:val="9"/>
                <w:szCs w:val="9"/>
                <w:color w:val="auto"/>
              </w:rPr>
            </w:pPr>
          </w:p>
        </w:tc>
        <w:tc>
          <w:tcPr>
            <w:tcW w:w="40" w:type="dxa"/>
            <w:vAlign w:val="bottom"/>
            <w:shd w:val="clear" w:color="auto" w:fill="ECEBEB"/>
          </w:tcPr>
          <w:p>
            <w:pPr>
              <w:spacing w:after="0"/>
              <w:rPr>
                <w:sz w:val="9"/>
                <w:szCs w:val="9"/>
                <w:color w:val="auto"/>
              </w:rPr>
            </w:pPr>
          </w:p>
        </w:tc>
        <w:tc>
          <w:tcPr>
            <w:tcW w:w="1780" w:type="dxa"/>
            <w:vAlign w:val="bottom"/>
            <w:shd w:val="clear" w:color="auto" w:fill="ECEBEB"/>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shd w:val="clear" w:color="auto" w:fill="ECEBEB"/>
          </w:tcPr>
          <w:p>
            <w:pPr>
              <w:spacing w:after="0"/>
              <w:rPr>
                <w:sz w:val="9"/>
                <w:szCs w:val="9"/>
                <w:color w:val="auto"/>
              </w:rPr>
            </w:pPr>
          </w:p>
        </w:tc>
        <w:tc>
          <w:tcPr>
            <w:tcW w:w="20" w:type="dxa"/>
            <w:vAlign w:val="bottom"/>
            <w:shd w:val="clear" w:color="auto" w:fill="ECEBEB"/>
          </w:tcPr>
          <w:p>
            <w:pPr>
              <w:spacing w:after="0"/>
              <w:rPr>
                <w:sz w:val="9"/>
                <w:szCs w:val="9"/>
                <w:color w:val="auto"/>
              </w:rPr>
            </w:pPr>
          </w:p>
        </w:tc>
        <w:tc>
          <w:tcPr>
            <w:tcW w:w="300" w:type="dxa"/>
            <w:vAlign w:val="bottom"/>
            <w:shd w:val="clear" w:color="auto" w:fill="ECEBEB"/>
          </w:tcPr>
          <w:p>
            <w:pPr>
              <w:spacing w:after="0"/>
              <w:rPr>
                <w:sz w:val="9"/>
                <w:szCs w:val="9"/>
                <w:color w:val="auto"/>
              </w:rPr>
            </w:pPr>
          </w:p>
        </w:tc>
        <w:tc>
          <w:tcPr>
            <w:tcW w:w="300" w:type="dxa"/>
            <w:vAlign w:val="bottom"/>
            <w:shd w:val="clear" w:color="auto" w:fill="ECEBEB"/>
          </w:tcPr>
          <w:p>
            <w:pPr>
              <w:spacing w:after="0"/>
              <w:rPr>
                <w:sz w:val="9"/>
                <w:szCs w:val="9"/>
                <w:color w:val="auto"/>
              </w:rPr>
            </w:pPr>
          </w:p>
        </w:tc>
        <w:tc>
          <w:tcPr>
            <w:tcW w:w="1800" w:type="dxa"/>
            <w:vAlign w:val="bottom"/>
            <w:shd w:val="clear" w:color="auto" w:fill="ECEBE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320"/>
              <w:spacing w:after="0"/>
              <w:rPr>
                <w:sz w:val="20"/>
                <w:szCs w:val="20"/>
                <w:color w:val="auto"/>
              </w:rPr>
            </w:pPr>
            <w:r>
              <w:rPr>
                <w:rFonts w:ascii="Arial" w:cs="Arial" w:eastAsia="Arial" w:hAnsi="Arial"/>
                <w:sz w:val="16"/>
                <w:szCs w:val="16"/>
                <w:b w:val="1"/>
                <w:bCs w:val="1"/>
                <w:color w:val="0956FF"/>
              </w:rPr>
              <w:t>Joseph Jimenez</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6"/>
                <w:szCs w:val="16"/>
                <w:b w:val="1"/>
                <w:bCs w:val="1"/>
                <w:color w:val="0956FF"/>
              </w:rPr>
              <w:t>Alfred F. Kelly, Jr.</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ind w:left="320"/>
              <w:spacing w:after="0"/>
              <w:rPr>
                <w:sz w:val="20"/>
                <w:szCs w:val="20"/>
                <w:color w:val="auto"/>
              </w:rPr>
            </w:pPr>
            <w:r>
              <w:rPr>
                <w:rFonts w:ascii="Arial" w:cs="Arial" w:eastAsia="Arial" w:hAnsi="Arial"/>
                <w:sz w:val="16"/>
                <w:szCs w:val="16"/>
                <w:b w:val="1"/>
                <w:bCs w:val="1"/>
                <w:color w:val="0956FF"/>
              </w:rPr>
              <w:t>Jonathan McNeill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66</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67</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ind w:left="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2015</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2024</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ind w:left="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2800" w:type="dxa"/>
            <w:vAlign w:val="bottom"/>
            <w:gridSpan w:val="6"/>
          </w:tcPr>
          <w:p>
            <w:pPr>
              <w:ind w:left="60"/>
              <w:spacing w:after="0"/>
              <w:rPr>
                <w:sz w:val="20"/>
                <w:szCs w:val="20"/>
                <w:color w:val="auto"/>
              </w:rPr>
            </w:pPr>
            <w:r>
              <w:rPr>
                <w:rFonts w:ascii="Arial" w:cs="Arial" w:eastAsia="Arial" w:hAnsi="Arial"/>
                <w:sz w:val="14"/>
                <w:szCs w:val="14"/>
                <w:color w:val="auto"/>
              </w:rPr>
              <w:t>Co-Founder and Managing Director,</w:t>
            </w:r>
          </w:p>
        </w:tc>
        <w:tc>
          <w:tcPr>
            <w:tcW w:w="340" w:type="dxa"/>
            <w:vAlign w:val="bottom"/>
          </w:tcPr>
          <w:p>
            <w:pPr>
              <w:spacing w:after="0"/>
              <w:rPr>
                <w:sz w:val="24"/>
                <w:szCs w:val="24"/>
                <w:color w:val="auto"/>
              </w:rPr>
            </w:pPr>
          </w:p>
        </w:tc>
        <w:tc>
          <w:tcPr>
            <w:tcW w:w="2800" w:type="dxa"/>
            <w:vAlign w:val="bottom"/>
            <w:gridSpan w:val="7"/>
          </w:tcPr>
          <w:p>
            <w:pPr>
              <w:ind w:left="40"/>
              <w:spacing w:after="0"/>
              <w:rPr>
                <w:sz w:val="20"/>
                <w:szCs w:val="20"/>
                <w:color w:val="auto"/>
              </w:rPr>
            </w:pPr>
            <w:r>
              <w:rPr>
                <w:rFonts w:ascii="Arial" w:cs="Arial" w:eastAsia="Arial" w:hAnsi="Arial"/>
                <w:sz w:val="14"/>
                <w:szCs w:val="14"/>
                <w:color w:val="auto"/>
              </w:rPr>
              <w:t>Retired Chief Executive Officer and</w:t>
            </w:r>
          </w:p>
        </w:tc>
        <w:tc>
          <w:tcPr>
            <w:tcW w:w="340" w:type="dxa"/>
            <w:vAlign w:val="bottom"/>
          </w:tcPr>
          <w:p>
            <w:pPr>
              <w:spacing w:after="0"/>
              <w:rPr>
                <w:sz w:val="24"/>
                <w:szCs w:val="24"/>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color w:val="auto"/>
              </w:rPr>
              <w:t>Co-Founder and Chief Executive Officer,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20" w:type="dxa"/>
            <w:vAlign w:val="bottom"/>
            <w:gridSpan w:val="4"/>
          </w:tcPr>
          <w:p>
            <w:pPr>
              <w:ind w:left="60"/>
              <w:spacing w:after="0"/>
              <w:rPr>
                <w:sz w:val="20"/>
                <w:szCs w:val="20"/>
                <w:color w:val="auto"/>
              </w:rPr>
            </w:pPr>
            <w:r>
              <w:rPr>
                <w:rFonts w:ascii="Arial" w:cs="Arial" w:eastAsia="Arial" w:hAnsi="Arial"/>
                <w:sz w:val="14"/>
                <w:szCs w:val="14"/>
                <w:color w:val="auto"/>
              </w:rPr>
              <w:t>Aditum Bio</w:t>
            </w: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7"/>
          </w:tcPr>
          <w:p>
            <w:pPr>
              <w:ind w:left="40"/>
              <w:spacing w:after="0"/>
              <w:rPr>
                <w:sz w:val="20"/>
                <w:szCs w:val="20"/>
                <w:color w:val="auto"/>
              </w:rPr>
            </w:pPr>
            <w:r>
              <w:rPr>
                <w:rFonts w:ascii="Arial" w:cs="Arial" w:eastAsia="Arial" w:hAnsi="Arial"/>
                <w:sz w:val="14"/>
                <w:szCs w:val="14"/>
                <w:color w:val="auto"/>
              </w:rPr>
              <w:t>Chairman, Visa Inc.</w:t>
            </w:r>
          </w:p>
        </w:tc>
        <w:tc>
          <w:tcPr>
            <w:tcW w:w="340" w:type="dxa"/>
            <w:vAlign w:val="bottom"/>
          </w:tcPr>
          <w:p>
            <w:pPr>
              <w:spacing w:after="0"/>
              <w:rPr>
                <w:sz w:val="16"/>
                <w:szCs w:val="16"/>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color w:val="auto"/>
              </w:rPr>
              <w:t>DVX Ventures</w:t>
            </w: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40" w:type="dxa"/>
            <w:vAlign w:val="bottom"/>
            <w:tcBorders>
              <w:left w:val="single" w:sz="8" w:color="ECEBEB"/>
            </w:tcBorders>
            <w:gridSpan w:val="5"/>
            <w:shd w:val="clear" w:color="auto" w:fill="ECEBEB"/>
          </w:tcPr>
          <w:p>
            <w:pPr>
              <w:ind w:left="100"/>
              <w:spacing w:after="0"/>
              <w:rPr>
                <w:sz w:val="20"/>
                <w:szCs w:val="20"/>
                <w:color w:val="auto"/>
              </w:rPr>
            </w:pPr>
            <w:r>
              <w:rPr>
                <w:rFonts w:ascii="Arial" w:cs="Arial" w:eastAsia="Arial" w:hAnsi="Arial"/>
                <w:sz w:val="14"/>
                <w:szCs w:val="14"/>
                <w:b w:val="1"/>
                <w:bCs w:val="1"/>
                <w:color w:val="auto"/>
              </w:rPr>
              <w:t>Committee memberships:</w:t>
            </w:r>
          </w:p>
        </w:tc>
        <w:tc>
          <w:tcPr>
            <w:tcW w:w="560" w:type="dxa"/>
            <w:vAlign w:val="bottom"/>
            <w:shd w:val="clear" w:color="auto" w:fill="ECEBEB"/>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7"/>
            <w:shd w:val="clear" w:color="auto" w:fill="ECEBEB"/>
          </w:tcPr>
          <w:p>
            <w:pPr>
              <w:ind w:left="80"/>
              <w:spacing w:after="0"/>
              <w:rPr>
                <w:sz w:val="20"/>
                <w:szCs w:val="20"/>
                <w:color w:val="auto"/>
              </w:rPr>
            </w:pPr>
            <w:r>
              <w:rPr>
                <w:rFonts w:ascii="Arial" w:cs="Arial" w:eastAsia="Arial" w:hAnsi="Arial"/>
                <w:sz w:val="14"/>
                <w:szCs w:val="14"/>
                <w:b w:val="1"/>
                <w:bCs w:val="1"/>
                <w:color w:val="auto"/>
              </w:rPr>
              <w:t>Committee memberships:</w:t>
            </w:r>
          </w:p>
        </w:tc>
        <w:tc>
          <w:tcPr>
            <w:tcW w:w="340" w:type="dxa"/>
            <w:vAlign w:val="bottom"/>
          </w:tcPr>
          <w:p>
            <w:pPr>
              <w:spacing w:after="0"/>
              <w:rPr>
                <w:sz w:val="24"/>
                <w:szCs w:val="24"/>
                <w:color w:val="auto"/>
              </w:rPr>
            </w:pPr>
          </w:p>
        </w:tc>
        <w:tc>
          <w:tcPr>
            <w:tcW w:w="2800" w:type="dxa"/>
            <w:vAlign w:val="bottom"/>
            <w:gridSpan w:val="5"/>
            <w:shd w:val="clear" w:color="auto" w:fill="ECEBEB"/>
          </w:tcPr>
          <w:p>
            <w:pPr>
              <w:ind w:left="100"/>
              <w:spacing w:after="0"/>
              <w:rPr>
                <w:sz w:val="20"/>
                <w:szCs w:val="20"/>
                <w:color w:val="auto"/>
              </w:rPr>
            </w:pPr>
            <w:r>
              <w:rPr>
                <w:rFonts w:ascii="Arial" w:cs="Arial" w:eastAsia="Arial" w:hAnsi="Arial"/>
                <w:sz w:val="14"/>
                <w:szCs w:val="14"/>
                <w:b w:val="1"/>
                <w:bCs w:val="1"/>
                <w:color w:val="auto"/>
              </w:rPr>
              <w:t>Committee memberships: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400" w:type="dxa"/>
            <w:vAlign w:val="bottom"/>
            <w:tcBorders>
              <w:left w:val="single" w:sz="8" w:color="ECEBEB"/>
            </w:tcBorders>
            <w:shd w:val="clear" w:color="auto" w:fill="ECEBEB"/>
          </w:tcPr>
          <w:p>
            <w:pPr>
              <w:ind w:left="100"/>
              <w:spacing w:after="0" w:line="53" w:lineRule="exact"/>
              <w:rPr>
                <w:sz w:val="20"/>
                <w:szCs w:val="20"/>
                <w:color w:val="auto"/>
              </w:rPr>
            </w:pPr>
            <w:r>
              <w:rPr>
                <w:rFonts w:ascii="Arial" w:cs="Arial" w:eastAsia="Arial" w:hAnsi="Arial"/>
                <w:sz w:val="6"/>
                <w:szCs w:val="6"/>
                <w:color w:val="auto"/>
              </w:rPr>
              <w:t>EC |</w:t>
            </w:r>
          </w:p>
        </w:tc>
        <w:tc>
          <w:tcPr>
            <w:tcW w:w="620" w:type="dxa"/>
            <w:vAlign w:val="bottom"/>
            <w:gridSpan w:val="3"/>
            <w:shd w:val="clear" w:color="auto" w:fill="ECEBEB"/>
          </w:tcPr>
          <w:p>
            <w:pPr>
              <w:ind w:left="20"/>
              <w:spacing w:after="0" w:line="53" w:lineRule="exact"/>
              <w:rPr>
                <w:sz w:val="20"/>
                <w:szCs w:val="20"/>
                <w:color w:val="auto"/>
              </w:rPr>
            </w:pPr>
            <w:r>
              <w:rPr>
                <w:rFonts w:ascii="Arial" w:cs="Arial" w:eastAsia="Arial" w:hAnsi="Arial"/>
                <w:sz w:val="6"/>
                <w:szCs w:val="6"/>
                <w:color w:val="auto"/>
              </w:rPr>
              <w:t xml:space="preserve">CC | </w:t>
            </w:r>
            <w:r>
              <w:rPr>
                <w:rFonts w:ascii="Arial" w:cs="Arial" w:eastAsia="Arial" w:hAnsi="Arial"/>
                <w:sz w:val="6"/>
                <w:szCs w:val="6"/>
                <w:b w:val="1"/>
                <w:bCs w:val="1"/>
                <w:color w:val="0956FF"/>
              </w:rPr>
              <w:t>FC</w:t>
            </w:r>
            <w:r>
              <w:rPr>
                <w:rFonts w:ascii="Arial" w:cs="Arial" w:eastAsia="Arial" w:hAnsi="Arial"/>
                <w:sz w:val="6"/>
                <w:szCs w:val="6"/>
                <w:color w:val="auto"/>
              </w:rPr>
              <w:t xml:space="preserve"> |</w:t>
            </w:r>
          </w:p>
        </w:tc>
        <w:tc>
          <w:tcPr>
            <w:tcW w:w="1220" w:type="dxa"/>
            <w:vAlign w:val="bottom"/>
            <w:shd w:val="clear" w:color="auto" w:fill="ECEBEB"/>
          </w:tcPr>
          <w:p>
            <w:pPr>
              <w:spacing w:after="0" w:line="53" w:lineRule="exact"/>
              <w:rPr>
                <w:sz w:val="20"/>
                <w:szCs w:val="20"/>
                <w:color w:val="auto"/>
              </w:rPr>
            </w:pPr>
            <w:r>
              <w:rPr>
                <w:rFonts w:ascii="Arial" w:cs="Arial" w:eastAsia="Arial" w:hAnsi="Arial"/>
                <w:sz w:val="6"/>
                <w:szCs w:val="6"/>
                <w:color w:val="auto"/>
              </w:rPr>
              <w:t>RC</w:t>
            </w:r>
          </w:p>
        </w:tc>
        <w:tc>
          <w:tcPr>
            <w:tcW w:w="560" w:type="dxa"/>
            <w:vAlign w:val="bottom"/>
            <w:shd w:val="clear" w:color="auto" w:fill="ECEBEB"/>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shd w:val="clear" w:color="auto" w:fill="ECEBEB"/>
          </w:tcPr>
          <w:p>
            <w:pPr>
              <w:ind w:left="80"/>
              <w:spacing w:after="0" w:line="53" w:lineRule="exact"/>
              <w:rPr>
                <w:sz w:val="20"/>
                <w:szCs w:val="20"/>
                <w:color w:val="auto"/>
              </w:rPr>
            </w:pPr>
            <w:r>
              <w:rPr>
                <w:rFonts w:ascii="Arial" w:cs="Arial" w:eastAsia="Arial" w:hAnsi="Arial"/>
                <w:sz w:val="6"/>
                <w:szCs w:val="6"/>
                <w:color w:val="auto"/>
              </w:rPr>
              <w:t>AC |</w:t>
            </w:r>
          </w:p>
        </w:tc>
        <w:tc>
          <w:tcPr>
            <w:tcW w:w="40" w:type="dxa"/>
            <w:vAlign w:val="bottom"/>
            <w:vMerge w:val="restart"/>
            <w:shd w:val="clear" w:color="auto" w:fill="ECEBEB"/>
          </w:tcPr>
          <w:p>
            <w:pPr>
              <w:spacing w:after="0"/>
              <w:rPr>
                <w:sz w:val="20"/>
                <w:szCs w:val="20"/>
                <w:color w:val="auto"/>
              </w:rPr>
            </w:pPr>
            <w:r>
              <w:rPr>
                <w:rFonts w:ascii="Arial" w:cs="Arial" w:eastAsia="Arial" w:hAnsi="Arial"/>
                <w:sz w:val="5"/>
                <w:szCs w:val="5"/>
                <w:color w:val="auto"/>
                <w:w w:val="78"/>
              </w:rPr>
              <w:t> </w:t>
            </w:r>
          </w:p>
        </w:tc>
        <w:tc>
          <w:tcPr>
            <w:tcW w:w="300" w:type="dxa"/>
            <w:vAlign w:val="bottom"/>
            <w:shd w:val="clear" w:color="auto" w:fill="ECEBEB"/>
          </w:tcPr>
          <w:p>
            <w:pPr>
              <w:spacing w:after="0" w:line="53" w:lineRule="exact"/>
              <w:rPr>
                <w:sz w:val="20"/>
                <w:szCs w:val="20"/>
                <w:color w:val="auto"/>
              </w:rPr>
            </w:pPr>
            <w:r>
              <w:rPr>
                <w:rFonts w:ascii="Arial" w:cs="Arial" w:eastAsia="Arial" w:hAnsi="Arial"/>
                <w:sz w:val="6"/>
                <w:szCs w:val="6"/>
                <w:color w:val="auto"/>
              </w:rPr>
              <w:t>RC</w:t>
            </w:r>
          </w:p>
        </w:tc>
        <w:tc>
          <w:tcPr>
            <w:tcW w:w="120" w:type="dxa"/>
            <w:vAlign w:val="bottom"/>
            <w:shd w:val="clear" w:color="auto" w:fill="ECEBEB"/>
          </w:tcPr>
          <w:p>
            <w:pPr>
              <w:spacing w:after="0"/>
              <w:rPr>
                <w:sz w:val="4"/>
                <w:szCs w:val="4"/>
                <w:color w:val="auto"/>
              </w:rPr>
            </w:pPr>
          </w:p>
        </w:tc>
        <w:tc>
          <w:tcPr>
            <w:tcW w:w="160" w:type="dxa"/>
            <w:vAlign w:val="bottom"/>
            <w:shd w:val="clear" w:color="auto" w:fill="ECEBEB"/>
          </w:tcPr>
          <w:p>
            <w:pPr>
              <w:spacing w:after="0"/>
              <w:rPr>
                <w:sz w:val="4"/>
                <w:szCs w:val="4"/>
                <w:color w:val="auto"/>
              </w:rPr>
            </w:pPr>
          </w:p>
        </w:tc>
        <w:tc>
          <w:tcPr>
            <w:tcW w:w="40" w:type="dxa"/>
            <w:vAlign w:val="bottom"/>
            <w:shd w:val="clear" w:color="auto" w:fill="ECEBEB"/>
          </w:tcPr>
          <w:p>
            <w:pPr>
              <w:spacing w:after="0"/>
              <w:rPr>
                <w:sz w:val="4"/>
                <w:szCs w:val="4"/>
                <w:color w:val="auto"/>
              </w:rPr>
            </w:pPr>
          </w:p>
        </w:tc>
        <w:tc>
          <w:tcPr>
            <w:tcW w:w="1780" w:type="dxa"/>
            <w:vAlign w:val="bottom"/>
            <w:shd w:val="clear" w:color="auto" w:fill="ECEBEB"/>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gridSpan w:val="2"/>
            <w:shd w:val="clear" w:color="auto" w:fill="ECEBEB"/>
          </w:tcPr>
          <w:p>
            <w:pPr>
              <w:ind w:left="100"/>
              <w:spacing w:after="0" w:line="53" w:lineRule="exact"/>
              <w:rPr>
                <w:sz w:val="20"/>
                <w:szCs w:val="20"/>
                <w:color w:val="auto"/>
              </w:rPr>
            </w:pPr>
            <w:r>
              <w:rPr>
                <w:rFonts w:ascii="Arial" w:cs="Arial" w:eastAsia="Arial" w:hAnsi="Arial"/>
                <w:sz w:val="6"/>
                <w:szCs w:val="6"/>
                <w:color w:val="auto"/>
              </w:rPr>
              <w:t>GC |</w:t>
            </w:r>
          </w:p>
        </w:tc>
        <w:tc>
          <w:tcPr>
            <w:tcW w:w="300" w:type="dxa"/>
            <w:vAlign w:val="bottom"/>
            <w:shd w:val="clear" w:color="auto" w:fill="ECEBEB"/>
          </w:tcPr>
          <w:p>
            <w:pPr>
              <w:jc w:val="center"/>
              <w:ind w:right="29"/>
              <w:spacing w:after="0" w:line="53" w:lineRule="exact"/>
              <w:rPr>
                <w:sz w:val="20"/>
                <w:szCs w:val="20"/>
                <w:color w:val="auto"/>
              </w:rPr>
            </w:pPr>
            <w:r>
              <w:rPr>
                <w:rFonts w:ascii="Arial" w:cs="Arial" w:eastAsia="Arial" w:hAnsi="Arial"/>
                <w:sz w:val="6"/>
                <w:szCs w:val="6"/>
                <w:color w:val="auto"/>
              </w:rPr>
              <w:t>RC</w:t>
            </w:r>
          </w:p>
        </w:tc>
        <w:tc>
          <w:tcPr>
            <w:tcW w:w="300" w:type="dxa"/>
            <w:vAlign w:val="bottom"/>
            <w:shd w:val="clear" w:color="auto" w:fill="ECEBEB"/>
          </w:tcPr>
          <w:p>
            <w:pPr>
              <w:spacing w:after="0"/>
              <w:rPr>
                <w:sz w:val="4"/>
                <w:szCs w:val="4"/>
                <w:color w:val="auto"/>
              </w:rPr>
            </w:pPr>
          </w:p>
        </w:tc>
        <w:tc>
          <w:tcPr>
            <w:tcW w:w="1800" w:type="dxa"/>
            <w:vAlign w:val="bottom"/>
            <w:shd w:val="clear" w:color="auto" w:fill="ECEBEB"/>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400" w:type="dxa"/>
            <w:vAlign w:val="bottom"/>
            <w:tcBorders>
              <w:left w:val="single" w:sz="8" w:color="ECEBEB"/>
            </w:tcBorders>
            <w:shd w:val="clear" w:color="auto" w:fill="ECEBEB"/>
          </w:tcPr>
          <w:p>
            <w:pPr>
              <w:ind w:left="280"/>
              <w:spacing w:after="0"/>
              <w:rPr>
                <w:sz w:val="20"/>
                <w:szCs w:val="20"/>
                <w:color w:val="auto"/>
              </w:rPr>
            </w:pPr>
            <w:r>
              <w:rPr>
                <w:rFonts w:ascii="Arial" w:cs="Arial" w:eastAsia="Arial" w:hAnsi="Arial"/>
                <w:sz w:val="7"/>
                <w:szCs w:val="7"/>
                <w:color w:val="auto"/>
              </w:rPr>
              <w:t xml:space="preserve">    </w:t>
            </w:r>
          </w:p>
        </w:tc>
        <w:tc>
          <w:tcPr>
            <w:tcW w:w="20" w:type="dxa"/>
            <w:vAlign w:val="bottom"/>
            <w:shd w:val="clear" w:color="auto" w:fill="ECEBEB"/>
          </w:tcPr>
          <w:p>
            <w:pPr>
              <w:spacing w:after="0"/>
              <w:rPr>
                <w:sz w:val="8"/>
                <w:szCs w:val="8"/>
                <w:color w:val="auto"/>
              </w:rPr>
            </w:pPr>
          </w:p>
        </w:tc>
        <w:tc>
          <w:tcPr>
            <w:tcW w:w="600" w:type="dxa"/>
            <w:vAlign w:val="bottom"/>
            <w:gridSpan w:val="2"/>
            <w:shd w:val="clear" w:color="auto" w:fill="ECEBEB"/>
          </w:tcPr>
          <w:p>
            <w:pPr>
              <w:ind w:left="180"/>
              <w:spacing w:after="0"/>
              <w:rPr>
                <w:sz w:val="20"/>
                <w:szCs w:val="20"/>
                <w:color w:val="auto"/>
              </w:rPr>
            </w:pPr>
            <w:r>
              <w:rPr>
                <w:rFonts w:ascii="Arial" w:cs="Arial" w:eastAsia="Arial" w:hAnsi="Arial"/>
                <w:sz w:val="7"/>
                <w:szCs w:val="7"/>
                <w:color w:val="auto"/>
              </w:rPr>
              <w:t xml:space="preserve">   </w:t>
            </w:r>
            <w:r>
              <w:rPr>
                <w:rFonts w:ascii="Arial" w:cs="Arial" w:eastAsia="Arial" w:hAnsi="Arial"/>
                <w:sz w:val="7"/>
                <w:szCs w:val="7"/>
                <w:b w:val="1"/>
                <w:bCs w:val="1"/>
                <w:color w:val="auto"/>
              </w:rPr>
              <w:t xml:space="preserve"> </w:t>
            </w:r>
            <w:r>
              <w:rPr>
                <w:rFonts w:ascii="Arial" w:cs="Arial" w:eastAsia="Arial" w:hAnsi="Arial"/>
                <w:sz w:val="7"/>
                <w:szCs w:val="7"/>
                <w:color w:val="auto"/>
              </w:rPr>
              <w:t xml:space="preserve">    </w:t>
            </w:r>
          </w:p>
        </w:tc>
        <w:tc>
          <w:tcPr>
            <w:tcW w:w="1220" w:type="dxa"/>
            <w:vAlign w:val="bottom"/>
            <w:shd w:val="clear" w:color="auto" w:fill="ECEBEB"/>
          </w:tcPr>
          <w:p>
            <w:pPr>
              <w:spacing w:after="0"/>
              <w:rPr>
                <w:sz w:val="8"/>
                <w:szCs w:val="8"/>
                <w:color w:val="auto"/>
              </w:rPr>
            </w:pPr>
          </w:p>
        </w:tc>
        <w:tc>
          <w:tcPr>
            <w:tcW w:w="56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shd w:val="clear" w:color="auto" w:fill="ECEBEB"/>
          </w:tcPr>
          <w:p>
            <w:pPr>
              <w:ind w:left="280"/>
              <w:spacing w:after="0"/>
              <w:rPr>
                <w:sz w:val="20"/>
                <w:szCs w:val="20"/>
                <w:color w:val="auto"/>
              </w:rPr>
            </w:pPr>
            <w:r>
              <w:rPr>
                <w:rFonts w:ascii="Arial" w:cs="Arial" w:eastAsia="Arial" w:hAnsi="Arial"/>
                <w:sz w:val="7"/>
                <w:szCs w:val="7"/>
                <w:color w:val="auto"/>
              </w:rPr>
              <w:t> </w:t>
            </w:r>
          </w:p>
        </w:tc>
        <w:tc>
          <w:tcPr>
            <w:tcW w:w="40" w:type="dxa"/>
            <w:vAlign w:val="bottom"/>
            <w:vMerge w:val="continue"/>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120" w:type="dxa"/>
            <w:vAlign w:val="bottom"/>
            <w:shd w:val="clear" w:color="auto" w:fill="ECEBEB"/>
          </w:tcPr>
          <w:p>
            <w:pPr>
              <w:spacing w:after="0"/>
              <w:rPr>
                <w:sz w:val="8"/>
                <w:szCs w:val="8"/>
                <w:color w:val="auto"/>
              </w:rPr>
            </w:pPr>
          </w:p>
        </w:tc>
        <w:tc>
          <w:tcPr>
            <w:tcW w:w="160" w:type="dxa"/>
            <w:vAlign w:val="bottom"/>
            <w:shd w:val="clear" w:color="auto" w:fill="ECEBEB"/>
          </w:tcPr>
          <w:p>
            <w:pPr>
              <w:spacing w:after="0"/>
              <w:rPr>
                <w:sz w:val="8"/>
                <w:szCs w:val="8"/>
                <w:color w:val="auto"/>
              </w:rPr>
            </w:pPr>
          </w:p>
        </w:tc>
        <w:tc>
          <w:tcPr>
            <w:tcW w:w="40" w:type="dxa"/>
            <w:vAlign w:val="bottom"/>
            <w:shd w:val="clear" w:color="auto" w:fill="ECEBEB"/>
          </w:tcPr>
          <w:p>
            <w:pPr>
              <w:spacing w:after="0"/>
              <w:rPr>
                <w:sz w:val="8"/>
                <w:szCs w:val="8"/>
                <w:color w:val="auto"/>
              </w:rPr>
            </w:pPr>
          </w:p>
        </w:tc>
        <w:tc>
          <w:tcPr>
            <w:tcW w:w="178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shd w:val="clear" w:color="auto" w:fill="ECEBEB"/>
          </w:tcPr>
          <w:p>
            <w:pPr>
              <w:jc w:val="center"/>
              <w:ind w:left="185"/>
              <w:spacing w:after="0"/>
              <w:rPr>
                <w:sz w:val="20"/>
                <w:szCs w:val="20"/>
                <w:color w:val="auto"/>
              </w:rPr>
            </w:pPr>
            <w:r>
              <w:rPr>
                <w:rFonts w:ascii="Arial" w:cs="Arial" w:eastAsia="Arial" w:hAnsi="Arial"/>
                <w:sz w:val="5"/>
                <w:szCs w:val="5"/>
                <w:color w:val="auto"/>
                <w:w w:val="78"/>
              </w:rPr>
              <w:t> </w:t>
            </w:r>
          </w:p>
        </w:tc>
        <w:tc>
          <w:tcPr>
            <w:tcW w:w="20" w:type="dxa"/>
            <w:vAlign w:val="bottom"/>
            <w:shd w:val="clear" w:color="auto" w:fill="ECEBEB"/>
          </w:tcPr>
          <w:p>
            <w:pPr>
              <w:spacing w:after="0"/>
              <w:rPr>
                <w:sz w:val="20"/>
                <w:szCs w:val="20"/>
                <w:color w:val="auto"/>
              </w:rPr>
            </w:pPr>
            <w:r>
              <w:rPr>
                <w:rFonts w:ascii="Arial" w:cs="Arial" w:eastAsia="Arial" w:hAnsi="Arial"/>
                <w:sz w:val="1"/>
                <w:szCs w:val="1"/>
                <w:color w:val="auto"/>
                <w:w w:val="4294967286"/>
              </w:rPr>
              <w:t> </w:t>
            </w:r>
          </w:p>
        </w:tc>
        <w:tc>
          <w:tcPr>
            <w:tcW w:w="300" w:type="dxa"/>
            <w:vAlign w:val="bottom"/>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1800" w:type="dxa"/>
            <w:vAlign w:val="bottom"/>
            <w:shd w:val="clear" w:color="auto" w:fill="ECEBE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00" w:type="dxa"/>
            <w:vAlign w:val="bottom"/>
            <w:tcBorders>
              <w:left w:val="single" w:sz="8" w:color="ECEBEB"/>
            </w:tcBorders>
            <w:shd w:val="clear" w:color="auto" w:fill="ECEBEB"/>
          </w:tcPr>
          <w:p>
            <w:pPr>
              <w:spacing w:after="0"/>
              <w:rPr>
                <w:sz w:val="8"/>
                <w:szCs w:val="8"/>
                <w:color w:val="auto"/>
              </w:rPr>
            </w:pPr>
          </w:p>
        </w:tc>
        <w:tc>
          <w:tcPr>
            <w:tcW w:w="20" w:type="dxa"/>
            <w:vAlign w:val="bottom"/>
            <w:shd w:val="clear" w:color="auto" w:fill="ECEBEB"/>
          </w:tcPr>
          <w:p>
            <w:pPr>
              <w:spacing w:after="0"/>
              <w:rPr>
                <w:sz w:val="8"/>
                <w:szCs w:val="8"/>
                <w:color w:val="auto"/>
              </w:rPr>
            </w:pPr>
          </w:p>
        </w:tc>
        <w:tc>
          <w:tcPr>
            <w:tcW w:w="280" w:type="dxa"/>
            <w:vAlign w:val="bottom"/>
            <w:shd w:val="clear" w:color="auto" w:fill="ECEBEB"/>
          </w:tcPr>
          <w:p>
            <w:pPr>
              <w:spacing w:after="0"/>
              <w:rPr>
                <w:sz w:val="8"/>
                <w:szCs w:val="8"/>
                <w:color w:val="auto"/>
              </w:rPr>
            </w:pPr>
          </w:p>
        </w:tc>
        <w:tc>
          <w:tcPr>
            <w:tcW w:w="320" w:type="dxa"/>
            <w:vAlign w:val="bottom"/>
            <w:shd w:val="clear" w:color="auto" w:fill="ECEBEB"/>
          </w:tcPr>
          <w:p>
            <w:pPr>
              <w:spacing w:after="0"/>
              <w:rPr>
                <w:sz w:val="8"/>
                <w:szCs w:val="8"/>
                <w:color w:val="auto"/>
              </w:rPr>
            </w:pPr>
          </w:p>
        </w:tc>
        <w:tc>
          <w:tcPr>
            <w:tcW w:w="1780" w:type="dxa"/>
            <w:vAlign w:val="bottom"/>
            <w:gridSpan w:val="2"/>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shd w:val="clear" w:color="auto" w:fill="ECEBEB"/>
          </w:tcPr>
          <w:p>
            <w:pPr>
              <w:spacing w:after="0"/>
              <w:rPr>
                <w:sz w:val="8"/>
                <w:szCs w:val="8"/>
                <w:color w:val="auto"/>
              </w:rPr>
            </w:pPr>
          </w:p>
        </w:tc>
        <w:tc>
          <w:tcPr>
            <w:tcW w:w="40" w:type="dxa"/>
            <w:vAlign w:val="bottom"/>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120" w:type="dxa"/>
            <w:vAlign w:val="bottom"/>
            <w:shd w:val="clear" w:color="auto" w:fill="ECEBEB"/>
          </w:tcPr>
          <w:p>
            <w:pPr>
              <w:spacing w:after="0"/>
              <w:rPr>
                <w:sz w:val="8"/>
                <w:szCs w:val="8"/>
                <w:color w:val="auto"/>
              </w:rPr>
            </w:pPr>
          </w:p>
        </w:tc>
        <w:tc>
          <w:tcPr>
            <w:tcW w:w="160" w:type="dxa"/>
            <w:vAlign w:val="bottom"/>
            <w:shd w:val="clear" w:color="auto" w:fill="ECEBEB"/>
          </w:tcPr>
          <w:p>
            <w:pPr>
              <w:spacing w:after="0"/>
              <w:rPr>
                <w:sz w:val="8"/>
                <w:szCs w:val="8"/>
                <w:color w:val="auto"/>
              </w:rPr>
            </w:pPr>
          </w:p>
        </w:tc>
        <w:tc>
          <w:tcPr>
            <w:tcW w:w="40" w:type="dxa"/>
            <w:vAlign w:val="bottom"/>
            <w:shd w:val="clear" w:color="auto" w:fill="ECEBEB"/>
          </w:tcPr>
          <w:p>
            <w:pPr>
              <w:spacing w:after="0"/>
              <w:rPr>
                <w:sz w:val="8"/>
                <w:szCs w:val="8"/>
                <w:color w:val="auto"/>
              </w:rPr>
            </w:pPr>
          </w:p>
        </w:tc>
        <w:tc>
          <w:tcPr>
            <w:tcW w:w="178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shd w:val="clear" w:color="auto" w:fill="ECEBEB"/>
          </w:tcPr>
          <w:p>
            <w:pPr>
              <w:spacing w:after="0"/>
              <w:rPr>
                <w:sz w:val="8"/>
                <w:szCs w:val="8"/>
                <w:color w:val="auto"/>
              </w:rPr>
            </w:pPr>
          </w:p>
        </w:tc>
        <w:tc>
          <w:tcPr>
            <w:tcW w:w="20" w:type="dxa"/>
            <w:vAlign w:val="bottom"/>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1800" w:type="dxa"/>
            <w:vAlign w:val="bottom"/>
            <w:shd w:val="clear" w:color="auto" w:fill="ECEBE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7"/>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b w:val="1"/>
                <w:bCs w:val="1"/>
                <w:color w:val="0956FF"/>
              </w:rPr>
              <w:t>Judith A. Miscik</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8"/>
                <w:szCs w:val="18"/>
                <w:b w:val="1"/>
                <w:bCs w:val="1"/>
                <w:color w:val="0956FF"/>
                <w:w w:val="99"/>
              </w:rPr>
              <w:t>Patricia F. Russo</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ind w:left="320"/>
              <w:spacing w:after="0"/>
              <w:rPr>
                <w:sz w:val="20"/>
                <w:szCs w:val="20"/>
                <w:color w:val="auto"/>
              </w:rPr>
            </w:pPr>
            <w:r>
              <w:rPr>
                <w:rFonts w:ascii="Arial" w:cs="Arial" w:eastAsia="Arial" w:hAnsi="Arial"/>
                <w:sz w:val="18"/>
                <w:szCs w:val="18"/>
                <w:b w:val="1"/>
                <w:bCs w:val="1"/>
                <w:color w:val="0956FF"/>
              </w:rPr>
              <w:t>Mark A. Tatum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67</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73</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ind w:left="3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ind w:left="3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2009</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40" w:type="dxa"/>
            <w:vAlign w:val="bottom"/>
            <w:gridSpan w:val="5"/>
          </w:tcPr>
          <w:p>
            <w:pPr>
              <w:ind w:left="60"/>
              <w:spacing w:after="0"/>
              <w:rPr>
                <w:sz w:val="20"/>
                <w:szCs w:val="20"/>
                <w:color w:val="auto"/>
              </w:rPr>
            </w:pPr>
            <w:r>
              <w:rPr>
                <w:rFonts w:ascii="Arial" w:cs="Arial" w:eastAsia="Arial" w:hAnsi="Arial"/>
                <w:sz w:val="14"/>
                <w:szCs w:val="14"/>
                <w:color w:val="auto"/>
              </w:rPr>
              <w:t>Senior Advisor, Lazard</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0" w:type="dxa"/>
            <w:vAlign w:val="bottom"/>
            <w:gridSpan w:val="7"/>
          </w:tcPr>
          <w:p>
            <w:pPr>
              <w:ind w:left="40"/>
              <w:spacing w:after="0"/>
              <w:rPr>
                <w:sz w:val="20"/>
                <w:szCs w:val="20"/>
                <w:color w:val="auto"/>
              </w:rPr>
            </w:pPr>
            <w:r>
              <w:rPr>
                <w:rFonts w:ascii="Arial" w:cs="Arial" w:eastAsia="Arial" w:hAnsi="Arial"/>
                <w:sz w:val="14"/>
                <w:szCs w:val="14"/>
                <w:color w:val="auto"/>
              </w:rPr>
              <w:t>Chair, Hewlett Packard</w:t>
            </w:r>
          </w:p>
        </w:tc>
        <w:tc>
          <w:tcPr>
            <w:tcW w:w="340" w:type="dxa"/>
            <w:vAlign w:val="bottom"/>
          </w:tcPr>
          <w:p>
            <w:pPr>
              <w:spacing w:after="0"/>
              <w:rPr>
                <w:sz w:val="21"/>
                <w:szCs w:val="21"/>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color w:val="auto"/>
              </w:rPr>
              <w:t>Deputy Commissioner and Chief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240" w:type="dxa"/>
            <w:vAlign w:val="bottom"/>
            <w:gridSpan w:val="5"/>
          </w:tcPr>
          <w:p>
            <w:pPr>
              <w:ind w:left="60"/>
              <w:spacing w:after="0"/>
              <w:rPr>
                <w:sz w:val="20"/>
                <w:szCs w:val="20"/>
                <w:color w:val="auto"/>
              </w:rPr>
            </w:pPr>
            <w:r>
              <w:rPr>
                <w:rFonts w:ascii="Arial" w:cs="Arial" w:eastAsia="Arial" w:hAnsi="Arial"/>
                <w:sz w:val="14"/>
                <w:szCs w:val="14"/>
                <w:color w:val="auto"/>
              </w:rPr>
              <w:t>Geopolitical Advisory</w:t>
            </w: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7"/>
          </w:tcPr>
          <w:p>
            <w:pPr>
              <w:ind w:left="40"/>
              <w:spacing w:after="0"/>
              <w:rPr>
                <w:sz w:val="20"/>
                <w:szCs w:val="20"/>
                <w:color w:val="auto"/>
              </w:rPr>
            </w:pPr>
            <w:r>
              <w:rPr>
                <w:rFonts w:ascii="Arial" w:cs="Arial" w:eastAsia="Arial" w:hAnsi="Arial"/>
                <w:sz w:val="14"/>
                <w:szCs w:val="14"/>
                <w:color w:val="auto"/>
              </w:rPr>
              <w:t>Enterprise Company</w:t>
            </w:r>
          </w:p>
        </w:tc>
        <w:tc>
          <w:tcPr>
            <w:tcW w:w="340" w:type="dxa"/>
            <w:vAlign w:val="bottom"/>
          </w:tcPr>
          <w:p>
            <w:pPr>
              <w:spacing w:after="0"/>
              <w:rPr>
                <w:sz w:val="17"/>
                <w:szCs w:val="17"/>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color w:val="auto"/>
              </w:rPr>
              <w:t>Operating Officer, National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40"/>
              <w:spacing w:after="0"/>
              <w:rPr>
                <w:sz w:val="20"/>
                <w:szCs w:val="20"/>
                <w:color w:val="auto"/>
              </w:rPr>
            </w:pPr>
            <w:r>
              <w:rPr>
                <w:rFonts w:ascii="Arial" w:cs="Arial" w:eastAsia="Arial" w:hAnsi="Arial"/>
                <w:sz w:val="14"/>
                <w:szCs w:val="14"/>
                <w:color w:val="auto"/>
              </w:rPr>
              <w:t>Basketball Association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240" w:type="dxa"/>
            <w:vAlign w:val="bottom"/>
            <w:gridSpan w:val="5"/>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0" w:type="dxa"/>
            <w:vAlign w:val="bottom"/>
            <w:gridSpan w:val="7"/>
          </w:tcPr>
          <w:p>
            <w:pPr>
              <w:spacing w:after="0"/>
              <w:rPr>
                <w:sz w:val="3"/>
                <w:szCs w:val="3"/>
                <w:color w:val="auto"/>
              </w:rPr>
            </w:pPr>
          </w:p>
        </w:tc>
        <w:tc>
          <w:tcPr>
            <w:tcW w:w="340" w:type="dxa"/>
            <w:vAlign w:val="bottom"/>
          </w:tcPr>
          <w:p>
            <w:pPr>
              <w:spacing w:after="0"/>
              <w:rPr>
                <w:sz w:val="3"/>
                <w:szCs w:val="3"/>
                <w:color w:val="auto"/>
              </w:rPr>
            </w:pPr>
          </w:p>
        </w:tc>
        <w:tc>
          <w:tcPr>
            <w:tcW w:w="2800" w:type="dxa"/>
            <w:vAlign w:val="bottom"/>
            <w:gridSpan w:val="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1"/>
        </w:trPr>
        <w:tc>
          <w:tcPr>
            <w:tcW w:w="2240" w:type="dxa"/>
            <w:vAlign w:val="bottom"/>
            <w:tcBorders>
              <w:left w:val="single" w:sz="8" w:color="ECEBEB"/>
            </w:tcBorders>
            <w:gridSpan w:val="5"/>
            <w:shd w:val="clear" w:color="auto" w:fill="ECEBEB"/>
          </w:tcPr>
          <w:p>
            <w:pPr>
              <w:ind w:left="100"/>
              <w:spacing w:after="0"/>
              <w:rPr>
                <w:sz w:val="20"/>
                <w:szCs w:val="20"/>
                <w:color w:val="auto"/>
              </w:rPr>
            </w:pPr>
            <w:r>
              <w:rPr>
                <w:rFonts w:ascii="Arial" w:cs="Arial" w:eastAsia="Arial" w:hAnsi="Arial"/>
                <w:sz w:val="14"/>
                <w:szCs w:val="14"/>
                <w:b w:val="1"/>
                <w:bCs w:val="1"/>
                <w:color w:val="auto"/>
              </w:rPr>
              <w:t>Committee memberships:</w:t>
            </w:r>
          </w:p>
        </w:tc>
        <w:tc>
          <w:tcPr>
            <w:tcW w:w="560" w:type="dxa"/>
            <w:vAlign w:val="bottom"/>
            <w:shd w:val="clear" w:color="auto" w:fill="ECEBEB"/>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7"/>
            <w:shd w:val="clear" w:color="auto" w:fill="ECEBEB"/>
          </w:tcPr>
          <w:p>
            <w:pPr>
              <w:ind w:left="80"/>
              <w:spacing w:after="0"/>
              <w:rPr>
                <w:sz w:val="20"/>
                <w:szCs w:val="20"/>
                <w:color w:val="auto"/>
              </w:rPr>
            </w:pPr>
            <w:r>
              <w:rPr>
                <w:rFonts w:ascii="Arial" w:cs="Arial" w:eastAsia="Arial" w:hAnsi="Arial"/>
                <w:sz w:val="14"/>
                <w:szCs w:val="14"/>
                <w:b w:val="1"/>
                <w:bCs w:val="1"/>
                <w:color w:val="auto"/>
              </w:rPr>
              <w:t>Committee memberships:</w:t>
            </w:r>
          </w:p>
        </w:tc>
        <w:tc>
          <w:tcPr>
            <w:tcW w:w="340" w:type="dxa"/>
            <w:vAlign w:val="bottom"/>
          </w:tcPr>
          <w:p>
            <w:pPr>
              <w:spacing w:after="0"/>
              <w:rPr>
                <w:sz w:val="24"/>
                <w:szCs w:val="24"/>
                <w:color w:val="auto"/>
              </w:rPr>
            </w:pPr>
          </w:p>
        </w:tc>
        <w:tc>
          <w:tcPr>
            <w:tcW w:w="2800" w:type="dxa"/>
            <w:vAlign w:val="bottom"/>
            <w:gridSpan w:val="5"/>
            <w:shd w:val="clear" w:color="auto" w:fill="ECEBEB"/>
          </w:tcPr>
          <w:p>
            <w:pPr>
              <w:ind w:left="80"/>
              <w:spacing w:after="0"/>
              <w:rPr>
                <w:sz w:val="20"/>
                <w:szCs w:val="20"/>
                <w:color w:val="auto"/>
              </w:rPr>
            </w:pPr>
            <w:r>
              <w:rPr>
                <w:rFonts w:ascii="Arial" w:cs="Arial" w:eastAsia="Arial" w:hAnsi="Arial"/>
                <w:sz w:val="14"/>
                <w:szCs w:val="14"/>
                <w:b w:val="1"/>
                <w:bCs w:val="1"/>
                <w:color w:val="auto"/>
              </w:rPr>
              <w:t>Committee memberships: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400" w:type="dxa"/>
            <w:vAlign w:val="bottom"/>
            <w:tcBorders>
              <w:left w:val="single" w:sz="8" w:color="ECEBEB"/>
            </w:tcBorders>
            <w:shd w:val="clear" w:color="auto" w:fill="ECEBEB"/>
          </w:tcPr>
          <w:p>
            <w:pPr>
              <w:ind w:left="100"/>
              <w:spacing w:after="0" w:line="53" w:lineRule="exact"/>
              <w:rPr>
                <w:sz w:val="20"/>
                <w:szCs w:val="20"/>
                <w:color w:val="auto"/>
              </w:rPr>
            </w:pPr>
            <w:r>
              <w:rPr>
                <w:rFonts w:ascii="Arial" w:cs="Arial" w:eastAsia="Arial" w:hAnsi="Arial"/>
                <w:sz w:val="6"/>
                <w:szCs w:val="6"/>
                <w:color w:val="auto"/>
              </w:rPr>
              <w:t>EC |</w:t>
            </w:r>
          </w:p>
        </w:tc>
        <w:tc>
          <w:tcPr>
            <w:tcW w:w="300" w:type="dxa"/>
            <w:vAlign w:val="bottom"/>
            <w:gridSpan w:val="2"/>
            <w:shd w:val="clear" w:color="auto" w:fill="ECEBEB"/>
          </w:tcPr>
          <w:p>
            <w:pPr>
              <w:ind w:left="20"/>
              <w:spacing w:after="0" w:line="53" w:lineRule="exact"/>
              <w:rPr>
                <w:sz w:val="20"/>
                <w:szCs w:val="20"/>
                <w:color w:val="auto"/>
              </w:rPr>
            </w:pPr>
            <w:r>
              <w:rPr>
                <w:rFonts w:ascii="Arial" w:cs="Arial" w:eastAsia="Arial" w:hAnsi="Arial"/>
                <w:sz w:val="6"/>
                <w:szCs w:val="6"/>
                <w:color w:val="auto"/>
              </w:rPr>
              <w:t>FC |</w:t>
            </w:r>
          </w:p>
        </w:tc>
        <w:tc>
          <w:tcPr>
            <w:tcW w:w="320" w:type="dxa"/>
            <w:vAlign w:val="bottom"/>
            <w:shd w:val="clear" w:color="auto" w:fill="ECEBEB"/>
          </w:tcPr>
          <w:p>
            <w:pPr>
              <w:spacing w:after="0" w:line="53" w:lineRule="exact"/>
              <w:rPr>
                <w:sz w:val="20"/>
                <w:szCs w:val="20"/>
                <w:color w:val="auto"/>
              </w:rPr>
            </w:pPr>
            <w:r>
              <w:rPr>
                <w:rFonts w:ascii="Arial" w:cs="Arial" w:eastAsia="Arial" w:hAnsi="Arial"/>
                <w:sz w:val="6"/>
                <w:szCs w:val="6"/>
                <w:b w:val="1"/>
                <w:bCs w:val="1"/>
                <w:color w:val="0956FF"/>
              </w:rPr>
              <w:t>RC</w:t>
            </w:r>
          </w:p>
        </w:tc>
        <w:tc>
          <w:tcPr>
            <w:tcW w:w="1220" w:type="dxa"/>
            <w:vAlign w:val="bottom"/>
            <w:shd w:val="clear" w:color="auto" w:fill="ECEBEB"/>
          </w:tcPr>
          <w:p>
            <w:pPr>
              <w:spacing w:after="0"/>
              <w:rPr>
                <w:sz w:val="4"/>
                <w:szCs w:val="4"/>
                <w:color w:val="auto"/>
              </w:rPr>
            </w:pPr>
          </w:p>
        </w:tc>
        <w:tc>
          <w:tcPr>
            <w:tcW w:w="560" w:type="dxa"/>
            <w:vAlign w:val="bottom"/>
            <w:shd w:val="clear" w:color="auto" w:fill="ECEBEB"/>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shd w:val="clear" w:color="auto" w:fill="ECEBEB"/>
          </w:tcPr>
          <w:p>
            <w:pPr>
              <w:ind w:left="80"/>
              <w:spacing w:after="0" w:line="53" w:lineRule="exact"/>
              <w:rPr>
                <w:sz w:val="20"/>
                <w:szCs w:val="20"/>
                <w:color w:val="auto"/>
              </w:rPr>
            </w:pPr>
            <w:r>
              <w:rPr>
                <w:rFonts w:ascii="Arial" w:cs="Arial" w:eastAsia="Arial" w:hAnsi="Arial"/>
                <w:sz w:val="6"/>
                <w:szCs w:val="6"/>
                <w:color w:val="auto"/>
              </w:rPr>
              <w:t>EC |</w:t>
            </w:r>
          </w:p>
        </w:tc>
        <w:tc>
          <w:tcPr>
            <w:tcW w:w="340" w:type="dxa"/>
            <w:vAlign w:val="bottom"/>
            <w:gridSpan w:val="2"/>
            <w:shd w:val="clear" w:color="auto" w:fill="ECEBEB"/>
          </w:tcPr>
          <w:p>
            <w:pPr>
              <w:ind w:left="20"/>
              <w:spacing w:after="0" w:line="53" w:lineRule="exact"/>
              <w:rPr>
                <w:sz w:val="20"/>
                <w:szCs w:val="20"/>
                <w:color w:val="auto"/>
              </w:rPr>
            </w:pPr>
            <w:r>
              <w:rPr>
                <w:rFonts w:ascii="Arial" w:cs="Arial" w:eastAsia="Arial" w:hAnsi="Arial"/>
                <w:sz w:val="6"/>
                <w:szCs w:val="6"/>
                <w:color w:val="auto"/>
              </w:rPr>
              <w:t>CC |</w:t>
            </w:r>
          </w:p>
        </w:tc>
        <w:tc>
          <w:tcPr>
            <w:tcW w:w="280" w:type="dxa"/>
            <w:vAlign w:val="bottom"/>
            <w:gridSpan w:val="2"/>
            <w:shd w:val="clear" w:color="auto" w:fill="ECEBEB"/>
          </w:tcPr>
          <w:p>
            <w:pPr>
              <w:jc w:val="right"/>
              <w:spacing w:after="0" w:line="53" w:lineRule="exact"/>
              <w:rPr>
                <w:sz w:val="20"/>
                <w:szCs w:val="20"/>
                <w:color w:val="auto"/>
              </w:rPr>
            </w:pPr>
            <w:r>
              <w:rPr>
                <w:rFonts w:ascii="Arial" w:cs="Arial" w:eastAsia="Arial" w:hAnsi="Arial"/>
                <w:sz w:val="6"/>
                <w:szCs w:val="6"/>
                <w:color w:val="auto"/>
              </w:rPr>
              <w:t>FC |</w:t>
            </w:r>
          </w:p>
        </w:tc>
        <w:tc>
          <w:tcPr>
            <w:tcW w:w="1820" w:type="dxa"/>
            <w:vAlign w:val="bottom"/>
            <w:gridSpan w:val="2"/>
            <w:shd w:val="clear" w:color="auto" w:fill="ECEBEB"/>
          </w:tcPr>
          <w:p>
            <w:pPr>
              <w:jc w:val="right"/>
              <w:ind w:right="1505"/>
              <w:spacing w:after="0" w:line="53" w:lineRule="exact"/>
              <w:rPr>
                <w:sz w:val="20"/>
                <w:szCs w:val="20"/>
                <w:color w:val="auto"/>
              </w:rPr>
            </w:pPr>
            <w:r>
              <w:rPr>
                <w:rFonts w:ascii="Arial" w:cs="Arial" w:eastAsia="Arial" w:hAnsi="Arial"/>
                <w:sz w:val="6"/>
                <w:szCs w:val="6"/>
                <w:b w:val="1"/>
                <w:bCs w:val="1"/>
                <w:color w:val="0956FF"/>
              </w:rPr>
              <w:t>GC</w:t>
            </w:r>
          </w:p>
        </w:tc>
        <w:tc>
          <w:tcPr>
            <w:tcW w:w="340" w:type="dxa"/>
            <w:vAlign w:val="bottom"/>
          </w:tcPr>
          <w:p>
            <w:pPr>
              <w:spacing w:after="0"/>
              <w:rPr>
                <w:sz w:val="4"/>
                <w:szCs w:val="4"/>
                <w:color w:val="auto"/>
              </w:rPr>
            </w:pPr>
          </w:p>
        </w:tc>
        <w:tc>
          <w:tcPr>
            <w:tcW w:w="380" w:type="dxa"/>
            <w:vAlign w:val="bottom"/>
            <w:shd w:val="clear" w:color="auto" w:fill="ECEBEB"/>
          </w:tcPr>
          <w:p>
            <w:pPr>
              <w:ind w:left="80"/>
              <w:spacing w:after="0" w:line="53" w:lineRule="exact"/>
              <w:rPr>
                <w:sz w:val="20"/>
                <w:szCs w:val="20"/>
                <w:color w:val="auto"/>
              </w:rPr>
            </w:pPr>
            <w:r>
              <w:rPr>
                <w:rFonts w:ascii="Arial" w:cs="Arial" w:eastAsia="Arial" w:hAnsi="Arial"/>
                <w:sz w:val="6"/>
                <w:szCs w:val="6"/>
                <w:color w:val="auto"/>
              </w:rPr>
              <w:t>AC |</w:t>
            </w:r>
          </w:p>
        </w:tc>
        <w:tc>
          <w:tcPr>
            <w:tcW w:w="320" w:type="dxa"/>
            <w:vAlign w:val="bottom"/>
            <w:gridSpan w:val="2"/>
            <w:shd w:val="clear" w:color="auto" w:fill="ECEBEB"/>
          </w:tcPr>
          <w:p>
            <w:pPr>
              <w:jc w:val="center"/>
              <w:ind w:right="29"/>
              <w:spacing w:after="0" w:line="53" w:lineRule="exact"/>
              <w:rPr>
                <w:sz w:val="20"/>
                <w:szCs w:val="20"/>
                <w:color w:val="auto"/>
              </w:rPr>
            </w:pPr>
            <w:r>
              <w:rPr>
                <w:rFonts w:ascii="Arial" w:cs="Arial" w:eastAsia="Arial" w:hAnsi="Arial"/>
                <w:sz w:val="6"/>
                <w:szCs w:val="6"/>
                <w:color w:val="auto"/>
              </w:rPr>
              <w:t>GC</w:t>
            </w:r>
          </w:p>
        </w:tc>
        <w:tc>
          <w:tcPr>
            <w:tcW w:w="300" w:type="dxa"/>
            <w:vAlign w:val="bottom"/>
            <w:shd w:val="clear" w:color="auto" w:fill="ECEBEB"/>
          </w:tcPr>
          <w:p>
            <w:pPr>
              <w:spacing w:after="0"/>
              <w:rPr>
                <w:sz w:val="4"/>
                <w:szCs w:val="4"/>
                <w:color w:val="auto"/>
              </w:rPr>
            </w:pPr>
          </w:p>
        </w:tc>
        <w:tc>
          <w:tcPr>
            <w:tcW w:w="1800" w:type="dxa"/>
            <w:vAlign w:val="bottom"/>
            <w:shd w:val="clear" w:color="auto" w:fill="ECEBEB"/>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0" w:type="dxa"/>
            <w:vAlign w:val="bottom"/>
            <w:tcBorders>
              <w:left w:val="single" w:sz="8" w:color="ECEBEB"/>
            </w:tcBorders>
            <w:shd w:val="clear" w:color="auto" w:fill="ECEBEB"/>
          </w:tcPr>
          <w:p>
            <w:pPr>
              <w:ind w:left="280"/>
              <w:spacing w:after="0"/>
              <w:rPr>
                <w:sz w:val="20"/>
                <w:szCs w:val="20"/>
                <w:color w:val="auto"/>
              </w:rPr>
            </w:pPr>
            <w:r>
              <w:rPr>
                <w:rFonts w:ascii="Arial" w:cs="Arial" w:eastAsia="Arial" w:hAnsi="Arial"/>
                <w:sz w:val="7"/>
                <w:szCs w:val="7"/>
                <w:color w:val="auto"/>
              </w:rPr>
              <w:t xml:space="preserve">    </w:t>
            </w:r>
          </w:p>
        </w:tc>
        <w:tc>
          <w:tcPr>
            <w:tcW w:w="20" w:type="dxa"/>
            <w:vAlign w:val="bottom"/>
            <w:shd w:val="clear" w:color="auto" w:fill="ECEBEB"/>
          </w:tcPr>
          <w:p>
            <w:pPr>
              <w:spacing w:after="0"/>
              <w:rPr>
                <w:sz w:val="8"/>
                <w:szCs w:val="8"/>
                <w:color w:val="auto"/>
              </w:rPr>
            </w:pPr>
          </w:p>
        </w:tc>
        <w:tc>
          <w:tcPr>
            <w:tcW w:w="280" w:type="dxa"/>
            <w:vAlign w:val="bottom"/>
            <w:shd w:val="clear" w:color="auto" w:fill="ECEBEB"/>
          </w:tcPr>
          <w:p>
            <w:pPr>
              <w:ind w:left="160"/>
              <w:spacing w:after="0"/>
              <w:rPr>
                <w:sz w:val="20"/>
                <w:szCs w:val="20"/>
                <w:color w:val="auto"/>
              </w:rPr>
            </w:pPr>
            <w:r>
              <w:rPr>
                <w:rFonts w:ascii="Arial" w:cs="Arial" w:eastAsia="Arial" w:hAnsi="Arial"/>
                <w:sz w:val="7"/>
                <w:szCs w:val="7"/>
                <w:color w:val="auto"/>
              </w:rPr>
              <w:t xml:space="preserve">    </w:t>
            </w:r>
          </w:p>
        </w:tc>
        <w:tc>
          <w:tcPr>
            <w:tcW w:w="320" w:type="dxa"/>
            <w:vAlign w:val="bottom"/>
            <w:shd w:val="clear" w:color="auto" w:fill="ECEBEB"/>
          </w:tcPr>
          <w:p>
            <w:pPr>
              <w:spacing w:after="0"/>
              <w:rPr>
                <w:sz w:val="8"/>
                <w:szCs w:val="8"/>
                <w:color w:val="auto"/>
              </w:rPr>
            </w:pPr>
          </w:p>
        </w:tc>
        <w:tc>
          <w:tcPr>
            <w:tcW w:w="1220" w:type="dxa"/>
            <w:vAlign w:val="bottom"/>
            <w:shd w:val="clear" w:color="auto" w:fill="ECEBEB"/>
          </w:tcPr>
          <w:p>
            <w:pPr>
              <w:spacing w:after="0"/>
              <w:rPr>
                <w:sz w:val="8"/>
                <w:szCs w:val="8"/>
                <w:color w:val="auto"/>
              </w:rPr>
            </w:pPr>
          </w:p>
        </w:tc>
        <w:tc>
          <w:tcPr>
            <w:tcW w:w="56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shd w:val="clear" w:color="auto" w:fill="ECEBEB"/>
          </w:tcPr>
          <w:p>
            <w:pPr>
              <w:jc w:val="right"/>
              <w:spacing w:after="0"/>
              <w:rPr>
                <w:sz w:val="20"/>
                <w:szCs w:val="20"/>
                <w:color w:val="auto"/>
              </w:rPr>
            </w:pPr>
            <w:r>
              <w:rPr>
                <w:rFonts w:ascii="Arial" w:cs="Arial" w:eastAsia="Arial" w:hAnsi="Arial"/>
                <w:sz w:val="7"/>
                <w:szCs w:val="7"/>
                <w:color w:val="auto"/>
              </w:rPr>
              <w:t xml:space="preserve">    </w:t>
            </w:r>
          </w:p>
        </w:tc>
        <w:tc>
          <w:tcPr>
            <w:tcW w:w="40" w:type="dxa"/>
            <w:vAlign w:val="bottom"/>
            <w:shd w:val="clear" w:color="auto" w:fill="ECEBEB"/>
          </w:tcPr>
          <w:p>
            <w:pPr>
              <w:spacing w:after="0"/>
              <w:rPr>
                <w:sz w:val="8"/>
                <w:szCs w:val="8"/>
                <w:color w:val="auto"/>
              </w:rPr>
            </w:pPr>
          </w:p>
        </w:tc>
        <w:tc>
          <w:tcPr>
            <w:tcW w:w="300" w:type="dxa"/>
            <w:vAlign w:val="bottom"/>
            <w:shd w:val="clear" w:color="auto" w:fill="ECEBEB"/>
          </w:tcPr>
          <w:p>
            <w:pPr>
              <w:ind w:left="180"/>
              <w:spacing w:after="0"/>
              <w:rPr>
                <w:sz w:val="20"/>
                <w:szCs w:val="20"/>
                <w:color w:val="auto"/>
              </w:rPr>
            </w:pPr>
            <w:r>
              <w:rPr>
                <w:rFonts w:ascii="Arial" w:cs="Arial" w:eastAsia="Arial" w:hAnsi="Arial"/>
                <w:sz w:val="7"/>
                <w:szCs w:val="7"/>
                <w:color w:val="auto"/>
              </w:rPr>
              <w:t xml:space="preserve">    </w:t>
            </w:r>
          </w:p>
        </w:tc>
        <w:tc>
          <w:tcPr>
            <w:tcW w:w="120" w:type="dxa"/>
            <w:vAlign w:val="bottom"/>
            <w:shd w:val="clear" w:color="auto" w:fill="ECEBEB"/>
          </w:tcPr>
          <w:p>
            <w:pPr>
              <w:spacing w:after="0"/>
              <w:rPr>
                <w:sz w:val="8"/>
                <w:szCs w:val="8"/>
                <w:color w:val="auto"/>
              </w:rPr>
            </w:pPr>
          </w:p>
        </w:tc>
        <w:tc>
          <w:tcPr>
            <w:tcW w:w="160" w:type="dxa"/>
            <w:vAlign w:val="bottom"/>
            <w:shd w:val="clear" w:color="auto" w:fill="ECEBEB"/>
          </w:tcPr>
          <w:p>
            <w:pPr>
              <w:jc w:val="right"/>
              <w:spacing w:after="0"/>
              <w:rPr>
                <w:sz w:val="20"/>
                <w:szCs w:val="20"/>
                <w:color w:val="auto"/>
              </w:rPr>
            </w:pPr>
            <w:r>
              <w:rPr>
                <w:rFonts w:ascii="Arial" w:cs="Arial" w:eastAsia="Arial" w:hAnsi="Arial"/>
                <w:sz w:val="7"/>
                <w:szCs w:val="7"/>
                <w:color w:val="auto"/>
              </w:rPr>
              <w:t xml:space="preserve">    </w:t>
            </w:r>
          </w:p>
        </w:tc>
        <w:tc>
          <w:tcPr>
            <w:tcW w:w="40" w:type="dxa"/>
            <w:vAlign w:val="bottom"/>
            <w:shd w:val="clear" w:color="auto" w:fill="ECEBEB"/>
          </w:tcPr>
          <w:p>
            <w:pPr>
              <w:spacing w:after="0"/>
              <w:rPr>
                <w:sz w:val="8"/>
                <w:szCs w:val="8"/>
                <w:color w:val="auto"/>
              </w:rPr>
            </w:pPr>
          </w:p>
        </w:tc>
        <w:tc>
          <w:tcPr>
            <w:tcW w:w="178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shd w:val="clear" w:color="auto" w:fill="ECEBEB"/>
          </w:tcPr>
          <w:p>
            <w:pPr>
              <w:jc w:val="center"/>
              <w:ind w:left="225"/>
              <w:spacing w:after="0"/>
              <w:rPr>
                <w:sz w:val="20"/>
                <w:szCs w:val="20"/>
                <w:color w:val="auto"/>
              </w:rPr>
            </w:pPr>
            <w:r>
              <w:rPr>
                <w:rFonts w:ascii="Arial" w:cs="Arial" w:eastAsia="Arial" w:hAnsi="Arial"/>
                <w:sz w:val="7"/>
                <w:szCs w:val="7"/>
                <w:color w:val="auto"/>
              </w:rPr>
              <w:t xml:space="preserve">    </w:t>
            </w:r>
          </w:p>
        </w:tc>
        <w:tc>
          <w:tcPr>
            <w:tcW w:w="20" w:type="dxa"/>
            <w:vAlign w:val="bottom"/>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1800" w:type="dxa"/>
            <w:vAlign w:val="bottom"/>
            <w:shd w:val="clear" w:color="auto" w:fill="ECEBE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0" w:type="dxa"/>
            <w:vAlign w:val="bottom"/>
            <w:tcBorders>
              <w:left w:val="single" w:sz="8" w:color="ECEBEB"/>
            </w:tcBorders>
            <w:shd w:val="clear" w:color="auto" w:fill="ECEBEB"/>
          </w:tcPr>
          <w:p>
            <w:pPr>
              <w:spacing w:after="0"/>
              <w:rPr>
                <w:sz w:val="8"/>
                <w:szCs w:val="8"/>
                <w:color w:val="auto"/>
              </w:rPr>
            </w:pPr>
          </w:p>
        </w:tc>
        <w:tc>
          <w:tcPr>
            <w:tcW w:w="20" w:type="dxa"/>
            <w:vAlign w:val="bottom"/>
            <w:shd w:val="clear" w:color="auto" w:fill="ECEBEB"/>
          </w:tcPr>
          <w:p>
            <w:pPr>
              <w:spacing w:after="0"/>
              <w:rPr>
                <w:sz w:val="8"/>
                <w:szCs w:val="8"/>
                <w:color w:val="auto"/>
              </w:rPr>
            </w:pPr>
          </w:p>
        </w:tc>
        <w:tc>
          <w:tcPr>
            <w:tcW w:w="280" w:type="dxa"/>
            <w:vAlign w:val="bottom"/>
            <w:shd w:val="clear" w:color="auto" w:fill="ECEBEB"/>
          </w:tcPr>
          <w:p>
            <w:pPr>
              <w:spacing w:after="0"/>
              <w:rPr>
                <w:sz w:val="8"/>
                <w:szCs w:val="8"/>
                <w:color w:val="auto"/>
              </w:rPr>
            </w:pPr>
          </w:p>
        </w:tc>
        <w:tc>
          <w:tcPr>
            <w:tcW w:w="320" w:type="dxa"/>
            <w:vAlign w:val="bottom"/>
            <w:shd w:val="clear" w:color="auto" w:fill="ECEBEB"/>
          </w:tcPr>
          <w:p>
            <w:pPr>
              <w:spacing w:after="0"/>
              <w:rPr>
                <w:sz w:val="8"/>
                <w:szCs w:val="8"/>
                <w:color w:val="auto"/>
              </w:rPr>
            </w:pPr>
          </w:p>
        </w:tc>
        <w:tc>
          <w:tcPr>
            <w:tcW w:w="1780" w:type="dxa"/>
            <w:vAlign w:val="bottom"/>
            <w:gridSpan w:val="2"/>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shd w:val="clear" w:color="auto" w:fill="ECEBEB"/>
          </w:tcPr>
          <w:p>
            <w:pPr>
              <w:spacing w:after="0"/>
              <w:rPr>
                <w:sz w:val="8"/>
                <w:szCs w:val="8"/>
                <w:color w:val="auto"/>
              </w:rPr>
            </w:pPr>
          </w:p>
        </w:tc>
        <w:tc>
          <w:tcPr>
            <w:tcW w:w="40" w:type="dxa"/>
            <w:vAlign w:val="bottom"/>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120" w:type="dxa"/>
            <w:vAlign w:val="bottom"/>
            <w:shd w:val="clear" w:color="auto" w:fill="ECEBEB"/>
          </w:tcPr>
          <w:p>
            <w:pPr>
              <w:spacing w:after="0"/>
              <w:rPr>
                <w:sz w:val="8"/>
                <w:szCs w:val="8"/>
                <w:color w:val="auto"/>
              </w:rPr>
            </w:pPr>
          </w:p>
        </w:tc>
        <w:tc>
          <w:tcPr>
            <w:tcW w:w="160" w:type="dxa"/>
            <w:vAlign w:val="bottom"/>
            <w:shd w:val="clear" w:color="auto" w:fill="ECEBEB"/>
          </w:tcPr>
          <w:p>
            <w:pPr>
              <w:spacing w:after="0"/>
              <w:rPr>
                <w:sz w:val="8"/>
                <w:szCs w:val="8"/>
                <w:color w:val="auto"/>
              </w:rPr>
            </w:pPr>
          </w:p>
        </w:tc>
        <w:tc>
          <w:tcPr>
            <w:tcW w:w="40" w:type="dxa"/>
            <w:vAlign w:val="bottom"/>
            <w:shd w:val="clear" w:color="auto" w:fill="ECEBEB"/>
          </w:tcPr>
          <w:p>
            <w:pPr>
              <w:spacing w:after="0"/>
              <w:rPr>
                <w:sz w:val="8"/>
                <w:szCs w:val="8"/>
                <w:color w:val="auto"/>
              </w:rPr>
            </w:pPr>
          </w:p>
        </w:tc>
        <w:tc>
          <w:tcPr>
            <w:tcW w:w="178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shd w:val="clear" w:color="auto" w:fill="ECEBEB"/>
          </w:tcPr>
          <w:p>
            <w:pPr>
              <w:spacing w:after="0"/>
              <w:rPr>
                <w:sz w:val="8"/>
                <w:szCs w:val="8"/>
                <w:color w:val="auto"/>
              </w:rPr>
            </w:pPr>
          </w:p>
        </w:tc>
        <w:tc>
          <w:tcPr>
            <w:tcW w:w="20" w:type="dxa"/>
            <w:vAlign w:val="bottom"/>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300" w:type="dxa"/>
            <w:vAlign w:val="bottom"/>
            <w:shd w:val="clear" w:color="auto" w:fill="ECEBEB"/>
          </w:tcPr>
          <w:p>
            <w:pPr>
              <w:spacing w:after="0"/>
              <w:rPr>
                <w:sz w:val="8"/>
                <w:szCs w:val="8"/>
                <w:color w:val="auto"/>
              </w:rPr>
            </w:pPr>
          </w:p>
        </w:tc>
        <w:tc>
          <w:tcPr>
            <w:tcW w:w="1800" w:type="dxa"/>
            <w:vAlign w:val="bottom"/>
            <w:shd w:val="clear" w:color="auto" w:fill="ECEBEB"/>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0"/>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320"/>
              <w:spacing w:after="0"/>
              <w:rPr>
                <w:sz w:val="20"/>
                <w:szCs w:val="20"/>
                <w:color w:val="auto"/>
              </w:rPr>
            </w:pPr>
            <w:r>
              <w:rPr>
                <w:rFonts w:ascii="Arial" w:cs="Arial" w:eastAsia="Arial" w:hAnsi="Arial"/>
                <w:sz w:val="18"/>
                <w:szCs w:val="18"/>
                <w:b w:val="1"/>
                <w:bCs w:val="1"/>
                <w:color w:val="0956FF"/>
              </w:rPr>
              <w:t>Jan E. Tighe</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8"/>
                <w:szCs w:val="18"/>
                <w:b w:val="1"/>
                <w:bCs w:val="1"/>
                <w:color w:val="0956FF"/>
              </w:rPr>
              <w:t>Devin N. Wenig</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3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4"/>
                <w:szCs w:val="14"/>
                <w:color w:val="auto"/>
              </w:rPr>
              <w:t>: 63</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59</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b w:val="1"/>
                <w:bCs w:val="1"/>
                <w:color w:val="auto"/>
              </w:rPr>
              <w:t>Director since</w:t>
            </w:r>
            <w:r>
              <w:rPr>
                <w:rFonts w:ascii="Arial" w:cs="Arial" w:eastAsia="Arial" w:hAnsi="Arial"/>
                <w:sz w:val="14"/>
                <w:szCs w:val="14"/>
                <w:color w:val="auto"/>
              </w:rPr>
              <w:t>: 2023</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240" w:type="dxa"/>
            <w:vAlign w:val="bottom"/>
            <w:gridSpan w:val="5"/>
          </w:tcPr>
          <w:p>
            <w:pPr>
              <w:ind w:left="60"/>
              <w:spacing w:after="0"/>
              <w:rPr>
                <w:sz w:val="20"/>
                <w:szCs w:val="20"/>
                <w:color w:val="auto"/>
              </w:rPr>
            </w:pPr>
            <w:r>
              <w:rPr>
                <w:rFonts w:ascii="Arial" w:cs="Arial" w:eastAsia="Arial" w:hAnsi="Arial"/>
                <w:sz w:val="14"/>
                <w:szCs w:val="14"/>
                <w:color w:val="auto"/>
              </w:rPr>
              <w:t>Retired Vice Admiral, U.S. Navy</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7"/>
          </w:tcPr>
          <w:p>
            <w:pPr>
              <w:ind w:left="40"/>
              <w:spacing w:after="0"/>
              <w:rPr>
                <w:sz w:val="20"/>
                <w:szCs w:val="20"/>
                <w:color w:val="auto"/>
              </w:rPr>
            </w:pPr>
            <w:r>
              <w:rPr>
                <w:rFonts w:ascii="Arial" w:cs="Arial" w:eastAsia="Arial" w:hAnsi="Arial"/>
                <w:sz w:val="14"/>
                <w:szCs w:val="14"/>
                <w:color w:val="auto"/>
              </w:rPr>
              <w:t>Co-Founder and Chief Executive Officer,</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4"/>
          </w:tcPr>
          <w:p>
            <w:pPr>
              <w:ind w:left="40"/>
              <w:spacing w:after="0"/>
              <w:rPr>
                <w:sz w:val="20"/>
                <w:szCs w:val="20"/>
                <w:color w:val="auto"/>
              </w:rPr>
            </w:pPr>
            <w:r>
              <w:rPr>
                <w:rFonts w:ascii="Arial" w:cs="Arial" w:eastAsia="Arial" w:hAnsi="Arial"/>
                <w:sz w:val="14"/>
                <w:szCs w:val="14"/>
                <w:color w:val="auto"/>
              </w:rPr>
              <w:t>Symbolic.ai</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240" w:type="dxa"/>
            <w:vAlign w:val="bottom"/>
            <w:gridSpan w:val="5"/>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0" w:type="dxa"/>
            <w:vAlign w:val="bottom"/>
            <w:gridSpan w:val="7"/>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240" w:type="dxa"/>
            <w:vAlign w:val="bottom"/>
            <w:tcBorders>
              <w:left w:val="single" w:sz="8" w:color="ECEBEB"/>
            </w:tcBorders>
            <w:gridSpan w:val="5"/>
            <w:shd w:val="clear" w:color="auto" w:fill="ECEBEB"/>
          </w:tcPr>
          <w:p>
            <w:pPr>
              <w:ind w:left="100"/>
              <w:spacing w:after="0"/>
              <w:rPr>
                <w:sz w:val="20"/>
                <w:szCs w:val="20"/>
                <w:color w:val="auto"/>
              </w:rPr>
            </w:pPr>
            <w:r>
              <w:rPr>
                <w:rFonts w:ascii="Arial" w:cs="Arial" w:eastAsia="Arial" w:hAnsi="Arial"/>
                <w:sz w:val="14"/>
                <w:szCs w:val="14"/>
                <w:b w:val="1"/>
                <w:bCs w:val="1"/>
                <w:color w:val="auto"/>
              </w:rPr>
              <w:t>Committee memberships:</w:t>
            </w:r>
          </w:p>
        </w:tc>
        <w:tc>
          <w:tcPr>
            <w:tcW w:w="560" w:type="dxa"/>
            <w:vAlign w:val="bottom"/>
            <w:shd w:val="clear" w:color="auto" w:fill="ECEBEB"/>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7"/>
            <w:shd w:val="clear" w:color="auto" w:fill="ECEBEB"/>
          </w:tcPr>
          <w:p>
            <w:pPr>
              <w:ind w:left="80"/>
              <w:spacing w:after="0"/>
              <w:rPr>
                <w:sz w:val="20"/>
                <w:szCs w:val="20"/>
                <w:color w:val="auto"/>
              </w:rPr>
            </w:pPr>
            <w:r>
              <w:rPr>
                <w:rFonts w:ascii="Arial" w:cs="Arial" w:eastAsia="Arial" w:hAnsi="Arial"/>
                <w:sz w:val="14"/>
                <w:szCs w:val="14"/>
                <w:b w:val="1"/>
                <w:bCs w:val="1"/>
                <w:color w:val="auto"/>
              </w:rPr>
              <w:t>Committee memberships:</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400" w:type="dxa"/>
            <w:vAlign w:val="bottom"/>
            <w:tcBorders>
              <w:left w:val="single" w:sz="8" w:color="ECEBEB"/>
            </w:tcBorders>
            <w:shd w:val="clear" w:color="auto" w:fill="ECEBEB"/>
          </w:tcPr>
          <w:p>
            <w:pPr>
              <w:ind w:left="100"/>
              <w:spacing w:after="0" w:line="53" w:lineRule="exact"/>
              <w:rPr>
                <w:sz w:val="20"/>
                <w:szCs w:val="20"/>
                <w:color w:val="auto"/>
              </w:rPr>
            </w:pPr>
            <w:r>
              <w:rPr>
                <w:rFonts w:ascii="Arial" w:cs="Arial" w:eastAsia="Arial" w:hAnsi="Arial"/>
                <w:sz w:val="6"/>
                <w:szCs w:val="6"/>
                <w:color w:val="auto"/>
              </w:rPr>
              <w:t>AC |</w:t>
            </w:r>
          </w:p>
        </w:tc>
        <w:tc>
          <w:tcPr>
            <w:tcW w:w="20" w:type="dxa"/>
            <w:vAlign w:val="bottom"/>
            <w:shd w:val="clear" w:color="auto" w:fill="ECEBEB"/>
          </w:tcPr>
          <w:p>
            <w:pPr>
              <w:spacing w:after="0"/>
              <w:rPr>
                <w:sz w:val="4"/>
                <w:szCs w:val="4"/>
                <w:color w:val="auto"/>
              </w:rPr>
            </w:pPr>
          </w:p>
        </w:tc>
        <w:tc>
          <w:tcPr>
            <w:tcW w:w="280" w:type="dxa"/>
            <w:vAlign w:val="bottom"/>
            <w:shd w:val="clear" w:color="auto" w:fill="ECEBEB"/>
          </w:tcPr>
          <w:p>
            <w:pPr>
              <w:spacing w:after="0" w:line="53" w:lineRule="exact"/>
              <w:rPr>
                <w:sz w:val="20"/>
                <w:szCs w:val="20"/>
                <w:color w:val="auto"/>
              </w:rPr>
            </w:pPr>
            <w:r>
              <w:rPr>
                <w:rFonts w:ascii="Arial" w:cs="Arial" w:eastAsia="Arial" w:hAnsi="Arial"/>
                <w:sz w:val="6"/>
                <w:szCs w:val="6"/>
                <w:color w:val="auto"/>
              </w:rPr>
              <w:t>RC</w:t>
            </w:r>
          </w:p>
        </w:tc>
        <w:tc>
          <w:tcPr>
            <w:tcW w:w="320" w:type="dxa"/>
            <w:vAlign w:val="bottom"/>
            <w:shd w:val="clear" w:color="auto" w:fill="ECEBEB"/>
          </w:tcPr>
          <w:p>
            <w:pPr>
              <w:spacing w:after="0"/>
              <w:rPr>
                <w:sz w:val="4"/>
                <w:szCs w:val="4"/>
                <w:color w:val="auto"/>
              </w:rPr>
            </w:pPr>
          </w:p>
        </w:tc>
        <w:tc>
          <w:tcPr>
            <w:tcW w:w="1220" w:type="dxa"/>
            <w:vAlign w:val="bottom"/>
            <w:shd w:val="clear" w:color="auto" w:fill="ECEBEB"/>
          </w:tcPr>
          <w:p>
            <w:pPr>
              <w:spacing w:after="0"/>
              <w:rPr>
                <w:sz w:val="4"/>
                <w:szCs w:val="4"/>
                <w:color w:val="auto"/>
              </w:rPr>
            </w:pPr>
          </w:p>
        </w:tc>
        <w:tc>
          <w:tcPr>
            <w:tcW w:w="560" w:type="dxa"/>
            <w:vAlign w:val="bottom"/>
            <w:shd w:val="clear" w:color="auto" w:fill="ECEBEB"/>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shd w:val="clear" w:color="auto" w:fill="ECEBEB"/>
          </w:tcPr>
          <w:p>
            <w:pPr>
              <w:ind w:left="80"/>
              <w:spacing w:after="0" w:line="53" w:lineRule="exact"/>
              <w:rPr>
                <w:sz w:val="20"/>
                <w:szCs w:val="20"/>
                <w:color w:val="auto"/>
              </w:rPr>
            </w:pPr>
            <w:r>
              <w:rPr>
                <w:rFonts w:ascii="Arial" w:cs="Arial" w:eastAsia="Arial" w:hAnsi="Arial"/>
                <w:sz w:val="6"/>
                <w:szCs w:val="6"/>
                <w:color w:val="242424"/>
              </w:rPr>
              <w:t xml:space="preserve">EC </w:t>
            </w:r>
            <w:r>
              <w:rPr>
                <w:rFonts w:ascii="Arial" w:cs="Arial" w:eastAsia="Arial" w:hAnsi="Arial"/>
                <w:sz w:val="6"/>
                <w:szCs w:val="6"/>
                <w:color w:val="000000"/>
              </w:rPr>
              <w:t>|</w:t>
            </w:r>
          </w:p>
        </w:tc>
        <w:tc>
          <w:tcPr>
            <w:tcW w:w="340" w:type="dxa"/>
            <w:vAlign w:val="bottom"/>
            <w:gridSpan w:val="2"/>
            <w:shd w:val="clear" w:color="auto" w:fill="ECEBEB"/>
          </w:tcPr>
          <w:p>
            <w:pPr>
              <w:ind w:left="20"/>
              <w:spacing w:after="0" w:line="53" w:lineRule="exact"/>
              <w:rPr>
                <w:sz w:val="20"/>
                <w:szCs w:val="20"/>
                <w:color w:val="auto"/>
              </w:rPr>
            </w:pPr>
            <w:r>
              <w:rPr>
                <w:rFonts w:ascii="Arial" w:cs="Arial" w:eastAsia="Arial" w:hAnsi="Arial"/>
                <w:sz w:val="6"/>
                <w:szCs w:val="6"/>
                <w:b w:val="1"/>
                <w:bCs w:val="1"/>
                <w:color w:val="0956FF"/>
              </w:rPr>
              <w:t>CC</w:t>
            </w:r>
          </w:p>
        </w:tc>
        <w:tc>
          <w:tcPr>
            <w:tcW w:w="120" w:type="dxa"/>
            <w:vAlign w:val="bottom"/>
            <w:shd w:val="clear" w:color="auto" w:fill="ECEBEB"/>
          </w:tcPr>
          <w:p>
            <w:pPr>
              <w:spacing w:after="0"/>
              <w:rPr>
                <w:sz w:val="4"/>
                <w:szCs w:val="4"/>
                <w:color w:val="auto"/>
              </w:rPr>
            </w:pPr>
          </w:p>
        </w:tc>
        <w:tc>
          <w:tcPr>
            <w:tcW w:w="160" w:type="dxa"/>
            <w:vAlign w:val="bottom"/>
            <w:shd w:val="clear" w:color="auto" w:fill="ECEBEB"/>
          </w:tcPr>
          <w:p>
            <w:pPr>
              <w:spacing w:after="0"/>
              <w:rPr>
                <w:sz w:val="4"/>
                <w:szCs w:val="4"/>
                <w:color w:val="auto"/>
              </w:rPr>
            </w:pPr>
          </w:p>
        </w:tc>
        <w:tc>
          <w:tcPr>
            <w:tcW w:w="40" w:type="dxa"/>
            <w:vAlign w:val="bottom"/>
            <w:shd w:val="clear" w:color="auto" w:fill="ECEBEB"/>
          </w:tcPr>
          <w:p>
            <w:pPr>
              <w:spacing w:after="0"/>
              <w:rPr>
                <w:sz w:val="4"/>
                <w:szCs w:val="4"/>
                <w:color w:val="auto"/>
              </w:rPr>
            </w:pPr>
          </w:p>
        </w:tc>
        <w:tc>
          <w:tcPr>
            <w:tcW w:w="1780" w:type="dxa"/>
            <w:vAlign w:val="bottom"/>
            <w:shd w:val="clear" w:color="auto" w:fill="ECEBEB"/>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20" w:type="dxa"/>
            <w:vAlign w:val="bottom"/>
            <w:tcBorders>
              <w:left w:val="single" w:sz="8" w:color="ECEBEB"/>
            </w:tcBorders>
            <w:gridSpan w:val="2"/>
            <w:shd w:val="clear" w:color="auto" w:fill="ECEBEB"/>
          </w:tcPr>
          <w:p>
            <w:pPr>
              <w:ind w:left="300"/>
              <w:spacing w:after="0"/>
              <w:rPr>
                <w:sz w:val="20"/>
                <w:szCs w:val="20"/>
                <w:color w:val="auto"/>
              </w:rPr>
            </w:pPr>
            <w:r>
              <w:rPr>
                <w:rFonts w:ascii="Arial" w:cs="Arial" w:eastAsia="Arial" w:hAnsi="Arial"/>
                <w:sz w:val="7"/>
                <w:szCs w:val="7"/>
                <w:color w:val="auto"/>
              </w:rPr>
              <w:t xml:space="preserve">    </w:t>
            </w:r>
          </w:p>
        </w:tc>
        <w:tc>
          <w:tcPr>
            <w:tcW w:w="280" w:type="dxa"/>
            <w:vAlign w:val="bottom"/>
            <w:shd w:val="clear" w:color="auto" w:fill="ECEBEB"/>
          </w:tcPr>
          <w:p>
            <w:pPr>
              <w:spacing w:after="0"/>
              <w:rPr>
                <w:sz w:val="8"/>
                <w:szCs w:val="8"/>
                <w:color w:val="auto"/>
              </w:rPr>
            </w:pPr>
          </w:p>
        </w:tc>
        <w:tc>
          <w:tcPr>
            <w:tcW w:w="320" w:type="dxa"/>
            <w:vAlign w:val="bottom"/>
            <w:shd w:val="clear" w:color="auto" w:fill="ECEBEB"/>
          </w:tcPr>
          <w:p>
            <w:pPr>
              <w:spacing w:after="0"/>
              <w:rPr>
                <w:sz w:val="8"/>
                <w:szCs w:val="8"/>
                <w:color w:val="auto"/>
              </w:rPr>
            </w:pPr>
          </w:p>
        </w:tc>
        <w:tc>
          <w:tcPr>
            <w:tcW w:w="1220" w:type="dxa"/>
            <w:vAlign w:val="bottom"/>
            <w:shd w:val="clear" w:color="auto" w:fill="ECEBEB"/>
          </w:tcPr>
          <w:p>
            <w:pPr>
              <w:spacing w:after="0"/>
              <w:rPr>
                <w:sz w:val="8"/>
                <w:szCs w:val="8"/>
                <w:color w:val="auto"/>
              </w:rPr>
            </w:pPr>
          </w:p>
        </w:tc>
        <w:tc>
          <w:tcPr>
            <w:tcW w:w="56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shd w:val="clear" w:color="auto" w:fill="ECEBEB"/>
          </w:tcPr>
          <w:p>
            <w:pPr>
              <w:jc w:val="right"/>
              <w:spacing w:after="0"/>
              <w:rPr>
                <w:sz w:val="20"/>
                <w:szCs w:val="20"/>
                <w:color w:val="auto"/>
              </w:rPr>
            </w:pPr>
            <w:r>
              <w:rPr>
                <w:rFonts w:ascii="Arial" w:cs="Arial" w:eastAsia="Arial" w:hAnsi="Arial"/>
                <w:sz w:val="7"/>
                <w:szCs w:val="7"/>
                <w:color w:val="auto"/>
              </w:rPr>
              <w:t> </w:t>
            </w:r>
          </w:p>
        </w:tc>
        <w:tc>
          <w:tcPr>
            <w:tcW w:w="40" w:type="dxa"/>
            <w:vAlign w:val="bottom"/>
            <w:shd w:val="clear" w:color="auto" w:fill="ECEBEB"/>
          </w:tcPr>
          <w:p>
            <w:pPr>
              <w:spacing w:after="0"/>
              <w:rPr>
                <w:sz w:val="8"/>
                <w:szCs w:val="8"/>
                <w:color w:val="auto"/>
              </w:rPr>
            </w:pPr>
          </w:p>
        </w:tc>
        <w:tc>
          <w:tcPr>
            <w:tcW w:w="300" w:type="dxa"/>
            <w:vAlign w:val="bottom"/>
            <w:shd w:val="clear" w:color="auto" w:fill="ECEBEB"/>
          </w:tcPr>
          <w:p>
            <w:pPr>
              <w:ind w:left="180"/>
              <w:spacing w:after="0"/>
              <w:rPr>
                <w:sz w:val="20"/>
                <w:szCs w:val="20"/>
                <w:color w:val="auto"/>
              </w:rPr>
            </w:pPr>
            <w:r>
              <w:rPr>
                <w:rFonts w:ascii="Arial" w:cs="Arial" w:eastAsia="Arial" w:hAnsi="Arial"/>
                <w:sz w:val="7"/>
                <w:szCs w:val="7"/>
                <w:color w:val="auto"/>
              </w:rPr>
              <w:t> </w:t>
            </w:r>
          </w:p>
        </w:tc>
        <w:tc>
          <w:tcPr>
            <w:tcW w:w="120" w:type="dxa"/>
            <w:vAlign w:val="bottom"/>
            <w:shd w:val="clear" w:color="auto" w:fill="ECEBEB"/>
          </w:tcPr>
          <w:p>
            <w:pPr>
              <w:spacing w:after="0"/>
              <w:rPr>
                <w:sz w:val="8"/>
                <w:szCs w:val="8"/>
                <w:color w:val="auto"/>
              </w:rPr>
            </w:pPr>
          </w:p>
        </w:tc>
        <w:tc>
          <w:tcPr>
            <w:tcW w:w="160" w:type="dxa"/>
            <w:vAlign w:val="bottom"/>
            <w:shd w:val="clear" w:color="auto" w:fill="ECEBEB"/>
          </w:tcPr>
          <w:p>
            <w:pPr>
              <w:spacing w:after="0"/>
              <w:rPr>
                <w:sz w:val="8"/>
                <w:szCs w:val="8"/>
                <w:color w:val="auto"/>
              </w:rPr>
            </w:pPr>
          </w:p>
        </w:tc>
        <w:tc>
          <w:tcPr>
            <w:tcW w:w="40" w:type="dxa"/>
            <w:vAlign w:val="bottom"/>
            <w:shd w:val="clear" w:color="auto" w:fill="ECEBEB"/>
          </w:tcPr>
          <w:p>
            <w:pPr>
              <w:spacing w:after="0"/>
              <w:rPr>
                <w:sz w:val="8"/>
                <w:szCs w:val="8"/>
                <w:color w:val="auto"/>
              </w:rPr>
            </w:pPr>
          </w:p>
        </w:tc>
        <w:tc>
          <w:tcPr>
            <w:tcW w:w="1780" w:type="dxa"/>
            <w:vAlign w:val="bottom"/>
            <w:shd w:val="clear" w:color="auto" w:fill="ECEBEB"/>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240" w:type="dxa"/>
            <w:vAlign w:val="bottom"/>
            <w:tcBorders>
              <w:left w:val="single" w:sz="8" w:color="ECEBEB"/>
            </w:tcBorders>
            <w:gridSpan w:val="5"/>
            <w:shd w:val="clear" w:color="auto" w:fill="ECEBEB"/>
          </w:tcPr>
          <w:p>
            <w:pPr>
              <w:spacing w:after="0"/>
              <w:rPr>
                <w:sz w:val="9"/>
                <w:szCs w:val="9"/>
                <w:color w:val="auto"/>
              </w:rPr>
            </w:pPr>
          </w:p>
        </w:tc>
        <w:tc>
          <w:tcPr>
            <w:tcW w:w="560" w:type="dxa"/>
            <w:vAlign w:val="bottom"/>
            <w:shd w:val="clear" w:color="auto" w:fill="ECEBEB"/>
          </w:tcPr>
          <w:p>
            <w:pPr>
              <w:spacing w:after="0"/>
              <w:rPr>
                <w:sz w:val="9"/>
                <w:szCs w:val="9"/>
                <w:color w:val="auto"/>
              </w:rPr>
            </w:pPr>
          </w:p>
        </w:tc>
        <w:tc>
          <w:tcPr>
            <w:tcW w:w="340" w:type="dxa"/>
            <w:vAlign w:val="bottom"/>
          </w:tcPr>
          <w:p>
            <w:pPr>
              <w:spacing w:after="0"/>
              <w:rPr>
                <w:sz w:val="9"/>
                <w:szCs w:val="9"/>
                <w:color w:val="auto"/>
              </w:rPr>
            </w:pPr>
          </w:p>
        </w:tc>
        <w:tc>
          <w:tcPr>
            <w:tcW w:w="2800" w:type="dxa"/>
            <w:vAlign w:val="bottom"/>
            <w:gridSpan w:val="7"/>
            <w:shd w:val="clear" w:color="auto" w:fill="ECEBEB"/>
          </w:tcPr>
          <w:p>
            <w:pPr>
              <w:spacing w:after="0"/>
              <w:rPr>
                <w:sz w:val="9"/>
                <w:szCs w:val="9"/>
                <w:color w:val="auto"/>
              </w:rPr>
            </w:pPr>
          </w:p>
        </w:tc>
        <w:tc>
          <w:tcPr>
            <w:tcW w:w="1340" w:type="dxa"/>
            <w:vAlign w:val="bottom"/>
            <w:gridSpan w:val="5"/>
          </w:tcPr>
          <w:p>
            <w:pPr>
              <w:spacing w:after="0"/>
              <w:rPr>
                <w:sz w:val="9"/>
                <w:szCs w:val="9"/>
                <w:color w:val="auto"/>
              </w:rPr>
            </w:pPr>
          </w:p>
        </w:tc>
        <w:tc>
          <w:tcPr>
            <w:tcW w:w="1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240" w:type="dxa"/>
            <w:vAlign w:val="bottom"/>
            <w:tcBorders>
              <w:bottom w:val="single" w:sz="8" w:color="auto"/>
            </w:tcBorders>
            <w:gridSpan w:val="5"/>
          </w:tcPr>
          <w:p>
            <w:pPr>
              <w:spacing w:after="0"/>
              <w:rPr>
                <w:sz w:val="11"/>
                <w:szCs w:val="11"/>
                <w:color w:val="auto"/>
              </w:rPr>
            </w:pPr>
          </w:p>
        </w:tc>
        <w:tc>
          <w:tcPr>
            <w:tcW w:w="5040" w:type="dxa"/>
            <w:vAlign w:val="bottom"/>
            <w:tcBorders>
              <w:bottom w:val="single" w:sz="8" w:color="auto"/>
            </w:tcBorders>
            <w:gridSpan w:val="14"/>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2240" w:type="dxa"/>
            <w:vAlign w:val="bottom"/>
            <w:tcBorders>
              <w:left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 xml:space="preserve">AC </w:t>
            </w:r>
            <w:r>
              <w:rPr>
                <w:rFonts w:ascii="Arial" w:cs="Arial" w:eastAsia="Arial" w:hAnsi="Arial"/>
                <w:sz w:val="16"/>
                <w:szCs w:val="16"/>
                <w:color w:val="auto"/>
              </w:rPr>
              <w:t>– Audit Committee</w:t>
            </w:r>
          </w:p>
        </w:tc>
        <w:tc>
          <w:tcPr>
            <w:tcW w:w="5040" w:type="dxa"/>
            <w:vAlign w:val="bottom"/>
            <w:gridSpan w:val="14"/>
          </w:tcPr>
          <w:p>
            <w:pPr>
              <w:spacing w:after="0"/>
              <w:rPr>
                <w:sz w:val="20"/>
                <w:szCs w:val="20"/>
                <w:color w:val="auto"/>
              </w:rPr>
            </w:pPr>
            <w:r>
              <w:rPr>
                <w:rFonts w:ascii="Arial" w:cs="Arial" w:eastAsia="Arial" w:hAnsi="Arial"/>
                <w:sz w:val="16"/>
                <w:szCs w:val="16"/>
                <w:b w:val="1"/>
                <w:bCs w:val="1"/>
                <w:color w:val="auto"/>
              </w:rPr>
              <w:t xml:space="preserve">CC </w:t>
            </w:r>
            <w:r>
              <w:rPr>
                <w:rFonts w:ascii="Arial" w:cs="Arial" w:eastAsia="Arial" w:hAnsi="Arial"/>
                <w:sz w:val="16"/>
                <w:szCs w:val="16"/>
                <w:color w:val="auto"/>
              </w:rPr>
              <w:t>– Executive Compensation</w:t>
            </w:r>
            <w:r>
              <w:rPr>
                <w:rFonts w:ascii="Arial" w:cs="Arial" w:eastAsia="Arial" w:hAnsi="Arial"/>
                <w:sz w:val="16"/>
                <w:szCs w:val="16"/>
                <w:b w:val="1"/>
                <w:bCs w:val="1"/>
                <w:color w:val="auto"/>
              </w:rPr>
              <w:t xml:space="preserve">   GC </w:t>
            </w:r>
            <w:r>
              <w:rPr>
                <w:rFonts w:ascii="Arial" w:cs="Arial" w:eastAsia="Arial" w:hAnsi="Arial"/>
                <w:sz w:val="16"/>
                <w:szCs w:val="16"/>
                <w:color w:val="auto"/>
              </w:rPr>
              <w:t>– Governance and Corporate</w:t>
            </w:r>
          </w:p>
        </w:tc>
        <w:tc>
          <w:tcPr>
            <w:tcW w:w="1800" w:type="dxa"/>
            <w:vAlign w:val="bottom"/>
          </w:tcPr>
          <w:p>
            <w:pPr>
              <w:ind w:left="60"/>
              <w:spacing w:after="0"/>
              <w:rPr>
                <w:sz w:val="20"/>
                <w:szCs w:val="20"/>
                <w:color w:val="auto"/>
              </w:rPr>
            </w:pPr>
            <w:r>
              <w:rPr>
                <w:rFonts w:ascii="Webdings" w:cs="Webdings" w:eastAsia="Webdings" w:hAnsi="Webdings"/>
                <w:sz w:val="16"/>
                <w:szCs w:val="16"/>
                <w:b w:val="1"/>
                <w:bCs w:val="1"/>
                <w:color w:val="0956FF"/>
              </w:rPr>
              <w:t xml:space="preserve">g </w:t>
            </w:r>
            <w:r>
              <w:rPr>
                <w:rFonts w:ascii="Arial" w:cs="Arial" w:eastAsia="Arial" w:hAnsi="Arial"/>
                <w:sz w:val="16"/>
                <w:szCs w:val="16"/>
                <w:color w:val="000000"/>
              </w:rPr>
              <w:t>– Committee Chair</w:t>
            </w: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 xml:space="preserve">EC </w:t>
            </w:r>
            <w:r>
              <w:rPr>
                <w:rFonts w:ascii="Arial" w:cs="Arial" w:eastAsia="Arial" w:hAnsi="Arial"/>
                <w:sz w:val="16"/>
                <w:szCs w:val="16"/>
                <w:color w:val="auto"/>
              </w:rPr>
              <w:t>– Executive Committee</w:t>
            </w:r>
          </w:p>
        </w:tc>
        <w:tc>
          <w:tcPr>
            <w:tcW w:w="1260" w:type="dxa"/>
            <w:vAlign w:val="bottom"/>
            <w:gridSpan w:val="3"/>
          </w:tcPr>
          <w:p>
            <w:pPr>
              <w:ind w:left="360"/>
              <w:spacing w:after="0"/>
              <w:rPr>
                <w:sz w:val="20"/>
                <w:szCs w:val="20"/>
                <w:color w:val="auto"/>
              </w:rPr>
            </w:pPr>
            <w:r>
              <w:rPr>
                <w:rFonts w:ascii="Arial" w:cs="Arial" w:eastAsia="Arial" w:hAnsi="Arial"/>
                <w:sz w:val="16"/>
                <w:szCs w:val="16"/>
                <w:color w:val="auto"/>
              </w:rPr>
              <w:t>Committee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gridSpan w:val="5"/>
          </w:tcPr>
          <w:p>
            <w:pPr>
              <w:ind w:left="880"/>
              <w:spacing w:after="0"/>
              <w:rPr>
                <w:sz w:val="20"/>
                <w:szCs w:val="20"/>
                <w:color w:val="auto"/>
              </w:rPr>
            </w:pPr>
            <w:r>
              <w:rPr>
                <w:rFonts w:ascii="Arial" w:cs="Arial" w:eastAsia="Arial" w:hAnsi="Arial"/>
                <w:sz w:val="16"/>
                <w:szCs w:val="16"/>
                <w:color w:val="auto"/>
              </w:rPr>
              <w:t>Responsibility Committee</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80" w:type="dxa"/>
            <w:vAlign w:val="bottom"/>
            <w:gridSpan w:val="7"/>
          </w:tcPr>
          <w:p>
            <w:pPr>
              <w:spacing w:after="0"/>
              <w:rPr>
                <w:sz w:val="20"/>
                <w:szCs w:val="20"/>
                <w:color w:val="auto"/>
              </w:rPr>
            </w:pPr>
            <w:r>
              <w:rPr>
                <w:rFonts w:ascii="Arial" w:cs="Arial" w:eastAsia="Arial" w:hAnsi="Arial"/>
                <w:sz w:val="16"/>
                <w:szCs w:val="16"/>
                <w:b w:val="1"/>
                <w:bCs w:val="1"/>
                <w:color w:val="auto"/>
              </w:rPr>
              <w:t xml:space="preserve">FC </w:t>
            </w:r>
            <w:r>
              <w:rPr>
                <w:rFonts w:ascii="Arial" w:cs="Arial" w:eastAsia="Arial" w:hAnsi="Arial"/>
                <w:sz w:val="16"/>
                <w:szCs w:val="16"/>
                <w:color w:val="auto"/>
              </w:rPr>
              <w:t>– Finance Committee</w:t>
            </w:r>
          </w:p>
        </w:tc>
        <w:tc>
          <w:tcPr>
            <w:tcW w:w="40" w:type="dxa"/>
            <w:vAlign w:val="bottom"/>
          </w:tcPr>
          <w:p>
            <w:pPr>
              <w:spacing w:after="0"/>
              <w:rPr>
                <w:sz w:val="18"/>
                <w:szCs w:val="18"/>
                <w:color w:val="auto"/>
              </w:rPr>
            </w:pPr>
          </w:p>
        </w:tc>
        <w:tc>
          <w:tcPr>
            <w:tcW w:w="2820" w:type="dxa"/>
            <w:vAlign w:val="bottom"/>
            <w:gridSpan w:val="5"/>
          </w:tcPr>
          <w:p>
            <w:pPr>
              <w:ind w:left="500"/>
              <w:spacing w:after="0"/>
              <w:rPr>
                <w:sz w:val="20"/>
                <w:szCs w:val="20"/>
                <w:color w:val="auto"/>
              </w:rPr>
            </w:pPr>
            <w:r>
              <w:rPr>
                <w:rFonts w:ascii="Arial" w:cs="Arial" w:eastAsia="Arial" w:hAnsi="Arial"/>
                <w:sz w:val="16"/>
                <w:szCs w:val="16"/>
                <w:b w:val="1"/>
                <w:bCs w:val="1"/>
                <w:color w:val="auto"/>
              </w:rPr>
              <w:t xml:space="preserve">RC </w:t>
            </w:r>
            <w:r>
              <w:rPr>
                <w:rFonts w:ascii="Arial" w:cs="Arial" w:eastAsia="Arial" w:hAnsi="Arial"/>
                <w:sz w:val="16"/>
                <w:szCs w:val="16"/>
                <w:color w:val="auto"/>
              </w:rPr>
              <w:t>– Risk and Cybersecurity</w:t>
            </w: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 w:type="dxa"/>
            <w:vAlign w:val="bottom"/>
            <w:tcBorders>
              <w:left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Committee</w:t>
            </w: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9100"/>
          </w:cols>
          <w:pgMar w:left="1400" w:top="657" w:right="139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Proxy Summary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Compensation Highlights</w:t>
      </w:r>
    </w:p>
    <w:p>
      <w:pPr>
        <w:spacing w:after="0" w:line="127" w:lineRule="exact"/>
        <w:rPr>
          <w:sz w:val="20"/>
          <w:szCs w:val="20"/>
          <w:color w:val="auto"/>
        </w:rPr>
      </w:pPr>
    </w:p>
    <w:p>
      <w:pPr>
        <w:jc w:val="both"/>
        <w:ind w:right="200"/>
        <w:spacing w:after="0" w:line="301" w:lineRule="auto"/>
        <w:rPr>
          <w:sz w:val="20"/>
          <w:szCs w:val="20"/>
          <w:color w:val="auto"/>
        </w:rPr>
      </w:pPr>
      <w:r>
        <w:rPr>
          <w:rFonts w:ascii="Arial" w:cs="Arial" w:eastAsia="Arial" w:hAnsi="Arial"/>
          <w:sz w:val="16"/>
          <w:szCs w:val="16"/>
          <w:color w:val="auto"/>
        </w:rPr>
        <w:t>Our executive compensation program is designed to focus our leaders on key areas that drive the business forward, align to the short-term and long-term interests of our shareholders, and reward our leaders for delivering on the Company’s strategy and vision.</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Elements of Compensation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Compensation</w:t>
            </w:r>
          </w:p>
        </w:tc>
        <w:tc>
          <w:tcPr>
            <w:tcW w:w="1780" w:type="dxa"/>
            <w:vAlign w:val="bottom"/>
            <w:shd w:val="clear" w:color="auto" w:fill="C3D7EE"/>
          </w:tcPr>
          <w:p>
            <w:pPr>
              <w:ind w:left="40"/>
              <w:spacing w:after="0"/>
              <w:rPr>
                <w:sz w:val="20"/>
                <w:szCs w:val="20"/>
                <w:color w:val="auto"/>
              </w:rPr>
            </w:pPr>
            <w:r>
              <w:rPr>
                <w:rFonts w:ascii="Arial" w:cs="Arial" w:eastAsia="Arial" w:hAnsi="Arial"/>
                <w:sz w:val="14"/>
                <w:szCs w:val="14"/>
                <w:b w:val="1"/>
                <w:bCs w:val="1"/>
                <w:color w:val="auto"/>
              </w:rPr>
              <w:t>Short-Term Cash</w:t>
            </w:r>
          </w:p>
        </w:tc>
        <w:tc>
          <w:tcPr>
            <w:tcW w:w="1800" w:type="dxa"/>
            <w:vAlign w:val="bottom"/>
            <w:shd w:val="clear" w:color="auto" w:fill="C3D7EE"/>
          </w:tcPr>
          <w:p>
            <w:pPr>
              <w:spacing w:after="0"/>
              <w:rPr>
                <w:sz w:val="23"/>
                <w:szCs w:val="23"/>
                <w:color w:val="auto"/>
              </w:rPr>
            </w:pPr>
          </w:p>
        </w:tc>
        <w:tc>
          <w:tcPr>
            <w:tcW w:w="2280" w:type="dxa"/>
            <w:vAlign w:val="bottom"/>
            <w:shd w:val="clear" w:color="auto" w:fill="BABBBC"/>
          </w:tcPr>
          <w:p>
            <w:pPr>
              <w:ind w:left="60"/>
              <w:spacing w:after="0"/>
              <w:rPr>
                <w:sz w:val="20"/>
                <w:szCs w:val="20"/>
                <w:color w:val="auto"/>
              </w:rPr>
            </w:pPr>
            <w:r>
              <w:rPr>
                <w:rFonts w:ascii="Arial" w:cs="Arial" w:eastAsia="Arial" w:hAnsi="Arial"/>
                <w:sz w:val="14"/>
                <w:szCs w:val="14"/>
                <w:b w:val="1"/>
                <w:bCs w:val="1"/>
                <w:color w:val="auto"/>
              </w:rPr>
              <w:t>Long-Term Equity</w:t>
            </w:r>
          </w:p>
        </w:tc>
        <w:tc>
          <w:tcPr>
            <w:tcW w:w="1800" w:type="dxa"/>
            <w:vAlign w:val="bottom"/>
            <w:shd w:val="clear" w:color="auto" w:fill="BABBBC"/>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1420" w:type="dxa"/>
            <w:vAlign w:val="bottom"/>
            <w:vMerge w:val="continue"/>
          </w:tcPr>
          <w:p>
            <w:pPr>
              <w:spacing w:after="0"/>
              <w:rPr>
                <w:sz w:val="8"/>
                <w:szCs w:val="8"/>
                <w:color w:val="auto"/>
              </w:rPr>
            </w:pPr>
          </w:p>
        </w:tc>
        <w:tc>
          <w:tcPr>
            <w:tcW w:w="1780" w:type="dxa"/>
            <w:vAlign w:val="bottom"/>
            <w:vMerge w:val="restart"/>
            <w:shd w:val="clear" w:color="auto" w:fill="D8D7D7"/>
          </w:tcPr>
          <w:p>
            <w:pPr>
              <w:ind w:left="40"/>
              <w:spacing w:after="0"/>
              <w:rPr>
                <w:sz w:val="20"/>
                <w:szCs w:val="20"/>
                <w:color w:val="auto"/>
              </w:rPr>
            </w:pPr>
            <w:r>
              <w:rPr>
                <w:rFonts w:ascii="Arial" w:cs="Arial" w:eastAsia="Arial" w:hAnsi="Arial"/>
                <w:sz w:val="14"/>
                <w:szCs w:val="14"/>
                <w:b w:val="1"/>
                <w:bCs w:val="1"/>
                <w:color w:val="auto"/>
              </w:rPr>
              <w:t>Salary</w:t>
            </w:r>
          </w:p>
        </w:tc>
        <w:tc>
          <w:tcPr>
            <w:tcW w:w="1800" w:type="dxa"/>
            <w:vAlign w:val="bottom"/>
            <w:vMerge w:val="restart"/>
            <w:shd w:val="clear" w:color="auto" w:fill="388BFF"/>
          </w:tcPr>
          <w:p>
            <w:pPr>
              <w:ind w:left="60"/>
              <w:spacing w:after="0"/>
              <w:rPr>
                <w:sz w:val="20"/>
                <w:szCs w:val="20"/>
                <w:color w:val="auto"/>
              </w:rPr>
            </w:pPr>
            <w:r>
              <w:rPr>
                <w:rFonts w:ascii="Arial" w:cs="Arial" w:eastAsia="Arial" w:hAnsi="Arial"/>
                <w:sz w:val="14"/>
                <w:szCs w:val="14"/>
                <w:b w:val="1"/>
                <w:bCs w:val="1"/>
                <w:color w:val="auto"/>
              </w:rPr>
              <w:t>STIP</w:t>
            </w:r>
          </w:p>
        </w:tc>
        <w:tc>
          <w:tcPr>
            <w:tcW w:w="2280" w:type="dxa"/>
            <w:vAlign w:val="bottom"/>
            <w:vMerge w:val="restart"/>
            <w:shd w:val="clear" w:color="auto" w:fill="0956FF"/>
          </w:tcPr>
          <w:p>
            <w:pPr>
              <w:ind w:left="60"/>
              <w:spacing w:after="0"/>
              <w:rPr>
                <w:sz w:val="20"/>
                <w:szCs w:val="20"/>
                <w:color w:val="auto"/>
              </w:rPr>
            </w:pPr>
            <w:r>
              <w:rPr>
                <w:rFonts w:ascii="Arial" w:cs="Arial" w:eastAsia="Arial" w:hAnsi="Arial"/>
                <w:sz w:val="14"/>
                <w:szCs w:val="14"/>
                <w:b w:val="1"/>
                <w:bCs w:val="1"/>
                <w:color w:val="FFFFFF"/>
              </w:rPr>
              <w:t>PSUs</w:t>
            </w:r>
          </w:p>
        </w:tc>
        <w:tc>
          <w:tcPr>
            <w:tcW w:w="1800" w:type="dxa"/>
            <w:vAlign w:val="bottom"/>
            <w:vMerge w:val="restart"/>
            <w:shd w:val="clear" w:color="auto" w:fill="84AAFF"/>
          </w:tcPr>
          <w:p>
            <w:pPr>
              <w:ind w:left="60"/>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0956FF"/>
            </w:tcBorders>
          </w:tcPr>
          <w:p>
            <w:pPr>
              <w:ind w:left="60"/>
              <w:spacing w:after="0"/>
              <w:rPr>
                <w:sz w:val="20"/>
                <w:szCs w:val="20"/>
                <w:color w:val="auto"/>
              </w:rPr>
            </w:pPr>
            <w:r>
              <w:rPr>
                <w:rFonts w:ascii="Arial" w:cs="Arial" w:eastAsia="Arial" w:hAnsi="Arial"/>
                <w:sz w:val="14"/>
                <w:szCs w:val="14"/>
                <w:b w:val="1"/>
                <w:bCs w:val="1"/>
                <w:color w:val="auto"/>
              </w:rPr>
              <w:t>Components</w:t>
            </w:r>
          </w:p>
        </w:tc>
        <w:tc>
          <w:tcPr>
            <w:tcW w:w="1780" w:type="dxa"/>
            <w:vAlign w:val="bottom"/>
            <w:tcBorders>
              <w:bottom w:val="single" w:sz="8" w:color="0956FF"/>
            </w:tcBorders>
            <w:vMerge w:val="continue"/>
            <w:shd w:val="clear" w:color="auto" w:fill="D8D7D7"/>
          </w:tcPr>
          <w:p>
            <w:pPr>
              <w:spacing w:after="0"/>
              <w:rPr>
                <w:sz w:val="14"/>
                <w:szCs w:val="14"/>
                <w:color w:val="auto"/>
              </w:rPr>
            </w:pPr>
          </w:p>
        </w:tc>
        <w:tc>
          <w:tcPr>
            <w:tcW w:w="1800" w:type="dxa"/>
            <w:vAlign w:val="bottom"/>
            <w:tcBorders>
              <w:bottom w:val="single" w:sz="8" w:color="0956FF"/>
            </w:tcBorders>
            <w:vMerge w:val="continue"/>
            <w:shd w:val="clear" w:color="auto" w:fill="388BFF"/>
          </w:tcPr>
          <w:p>
            <w:pPr>
              <w:spacing w:after="0"/>
              <w:rPr>
                <w:sz w:val="14"/>
                <w:szCs w:val="14"/>
                <w:color w:val="auto"/>
              </w:rPr>
            </w:pPr>
          </w:p>
        </w:tc>
        <w:tc>
          <w:tcPr>
            <w:tcW w:w="2280" w:type="dxa"/>
            <w:vAlign w:val="bottom"/>
            <w:tcBorders>
              <w:bottom w:val="single" w:sz="8" w:color="0956FF"/>
            </w:tcBorders>
            <w:vMerge w:val="continue"/>
            <w:shd w:val="clear" w:color="auto" w:fill="0956FF"/>
          </w:tcPr>
          <w:p>
            <w:pPr>
              <w:spacing w:after="0"/>
              <w:rPr>
                <w:sz w:val="14"/>
                <w:szCs w:val="14"/>
                <w:color w:val="auto"/>
              </w:rPr>
            </w:pPr>
          </w:p>
        </w:tc>
        <w:tc>
          <w:tcPr>
            <w:tcW w:w="1800" w:type="dxa"/>
            <w:vAlign w:val="bottom"/>
            <w:tcBorders>
              <w:bottom w:val="single" w:sz="8" w:color="0956FF"/>
            </w:tcBorders>
            <w:vMerge w:val="continue"/>
            <w:shd w:val="clear" w:color="auto" w:fill="84AAFF"/>
          </w:tcPr>
          <w:p>
            <w:pPr>
              <w:spacing w:after="0"/>
              <w:rPr>
                <w:sz w:val="14"/>
                <w:szCs w:val="14"/>
                <w:color w:val="auto"/>
              </w:rPr>
            </w:pPr>
          </w:p>
        </w:tc>
        <w:tc>
          <w:tcPr>
            <w:tcW w:w="0" w:type="dxa"/>
            <w:vAlign w:val="bottom"/>
          </w:tcPr>
          <w:p>
            <w:pPr>
              <w:spacing w:after="0"/>
              <w:rPr>
                <w:sz w:val="1"/>
                <w:szCs w:val="1"/>
                <w:color w:val="auto"/>
              </w:rPr>
            </w:pPr>
          </w:p>
        </w:tc>
      </w:tr>
      <w:tr>
        <w:trPr>
          <w:trHeight w:val="288"/>
        </w:trPr>
        <w:tc>
          <w:tcPr>
            <w:tcW w:w="1420" w:type="dxa"/>
            <w:vAlign w:val="bottom"/>
          </w:tcPr>
          <w:p>
            <w:pPr>
              <w:ind w:left="60"/>
              <w:spacing w:after="0"/>
              <w:rPr>
                <w:sz w:val="20"/>
                <w:szCs w:val="20"/>
                <w:color w:val="auto"/>
              </w:rPr>
            </w:pPr>
            <w:r>
              <w:rPr>
                <w:rFonts w:ascii="Arial" w:cs="Arial" w:eastAsia="Arial" w:hAnsi="Arial"/>
                <w:sz w:val="14"/>
                <w:szCs w:val="14"/>
                <w:b w:val="1"/>
                <w:bCs w:val="1"/>
                <w:color w:val="auto"/>
              </w:rPr>
              <w:t>Link to Strategy</w:t>
            </w:r>
          </w:p>
        </w:tc>
        <w:tc>
          <w:tcPr>
            <w:tcW w:w="1780" w:type="dxa"/>
            <w:vAlign w:val="bottom"/>
          </w:tcPr>
          <w:p>
            <w:pPr>
              <w:ind w:left="40"/>
              <w:spacing w:after="0"/>
              <w:rPr>
                <w:sz w:val="20"/>
                <w:szCs w:val="20"/>
                <w:color w:val="auto"/>
              </w:rPr>
            </w:pPr>
            <w:r>
              <w:rPr>
                <w:rFonts w:ascii="Arial" w:cs="Arial" w:eastAsia="Arial" w:hAnsi="Arial"/>
                <w:sz w:val="16"/>
                <w:szCs w:val="16"/>
                <w:color w:val="auto"/>
              </w:rPr>
              <w:t>Reflects contribution,</w:t>
            </w:r>
          </w:p>
        </w:tc>
        <w:tc>
          <w:tcPr>
            <w:tcW w:w="1800" w:type="dxa"/>
            <w:vAlign w:val="bottom"/>
          </w:tcPr>
          <w:p>
            <w:pPr>
              <w:ind w:left="60"/>
              <w:spacing w:after="0"/>
              <w:rPr>
                <w:sz w:val="20"/>
                <w:szCs w:val="20"/>
                <w:color w:val="auto"/>
              </w:rPr>
            </w:pPr>
            <w:r>
              <w:rPr>
                <w:rFonts w:ascii="Arial" w:cs="Arial" w:eastAsia="Arial" w:hAnsi="Arial"/>
                <w:sz w:val="16"/>
                <w:szCs w:val="16"/>
                <w:color w:val="auto"/>
              </w:rPr>
              <w:t>Based on</w:t>
            </w:r>
          </w:p>
        </w:tc>
        <w:tc>
          <w:tcPr>
            <w:tcW w:w="2280" w:type="dxa"/>
            <w:vAlign w:val="bottom"/>
          </w:tcPr>
          <w:p>
            <w:pPr>
              <w:ind w:left="60"/>
              <w:spacing w:after="0"/>
              <w:rPr>
                <w:sz w:val="20"/>
                <w:szCs w:val="20"/>
                <w:color w:val="auto"/>
              </w:rPr>
            </w:pPr>
            <w:r>
              <w:rPr>
                <w:rFonts w:ascii="Arial" w:cs="Arial" w:eastAsia="Arial" w:hAnsi="Arial"/>
                <w:sz w:val="16"/>
                <w:szCs w:val="16"/>
                <w:color w:val="auto"/>
              </w:rPr>
              <w:t>Aligns leadership with long-</w:t>
            </w:r>
          </w:p>
        </w:tc>
        <w:tc>
          <w:tcPr>
            <w:tcW w:w="1800" w:type="dxa"/>
            <w:vAlign w:val="bottom"/>
          </w:tcPr>
          <w:p>
            <w:pPr>
              <w:ind w:left="60"/>
              <w:spacing w:after="0"/>
              <w:rPr>
                <w:sz w:val="20"/>
                <w:szCs w:val="20"/>
                <w:color w:val="auto"/>
              </w:rPr>
            </w:pPr>
            <w:r>
              <w:rPr>
                <w:rFonts w:ascii="Arial" w:cs="Arial" w:eastAsia="Arial" w:hAnsi="Arial"/>
                <w:sz w:val="16"/>
                <w:szCs w:val="16"/>
                <w:color w:val="auto"/>
              </w:rPr>
              <w:t>Promotes executive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experience,</w:t>
            </w:r>
          </w:p>
        </w:tc>
        <w:tc>
          <w:tcPr>
            <w:tcW w:w="1800" w:type="dxa"/>
            <w:vAlign w:val="bottom"/>
          </w:tcPr>
          <w:p>
            <w:pPr>
              <w:ind w:left="60"/>
              <w:spacing w:after="0"/>
              <w:rPr>
                <w:sz w:val="20"/>
                <w:szCs w:val="20"/>
                <w:color w:val="auto"/>
              </w:rPr>
            </w:pPr>
            <w:r>
              <w:rPr>
                <w:rFonts w:ascii="Arial" w:cs="Arial" w:eastAsia="Arial" w:hAnsi="Arial"/>
                <w:sz w:val="16"/>
                <w:szCs w:val="16"/>
                <w:color w:val="auto"/>
              </w:rPr>
              <w:t>achievements of</w:t>
            </w:r>
          </w:p>
        </w:tc>
        <w:tc>
          <w:tcPr>
            <w:tcW w:w="2280" w:type="dxa"/>
            <w:vAlign w:val="bottom"/>
          </w:tcPr>
          <w:p>
            <w:pPr>
              <w:ind w:left="60"/>
              <w:spacing w:after="0"/>
              <w:rPr>
                <w:sz w:val="20"/>
                <w:szCs w:val="20"/>
                <w:color w:val="auto"/>
              </w:rPr>
            </w:pPr>
            <w:r>
              <w:rPr>
                <w:rFonts w:ascii="Arial" w:cs="Arial" w:eastAsia="Arial" w:hAnsi="Arial"/>
                <w:sz w:val="16"/>
                <w:szCs w:val="16"/>
                <w:color w:val="auto"/>
              </w:rPr>
              <w:t>term Company goals and</w:t>
            </w:r>
          </w:p>
        </w:tc>
        <w:tc>
          <w:tcPr>
            <w:tcW w:w="1800" w:type="dxa"/>
            <w:vAlign w:val="bottom"/>
          </w:tcPr>
          <w:p>
            <w:pPr>
              <w:ind w:left="60"/>
              <w:spacing w:after="0"/>
              <w:rPr>
                <w:sz w:val="20"/>
                <w:szCs w:val="20"/>
                <w:color w:val="auto"/>
              </w:rPr>
            </w:pPr>
            <w:r>
              <w:rPr>
                <w:rFonts w:ascii="Arial" w:cs="Arial" w:eastAsia="Arial" w:hAnsi="Arial"/>
                <w:sz w:val="16"/>
                <w:szCs w:val="16"/>
                <w:color w:val="auto"/>
              </w:rPr>
              <w:t>retention, stock</w:t>
            </w: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knowledge, skills, and</w:t>
            </w:r>
          </w:p>
        </w:tc>
        <w:tc>
          <w:tcPr>
            <w:tcW w:w="1800" w:type="dxa"/>
            <w:vAlign w:val="bottom"/>
          </w:tcPr>
          <w:p>
            <w:pPr>
              <w:ind w:left="60"/>
              <w:spacing w:after="0"/>
              <w:rPr>
                <w:sz w:val="20"/>
                <w:szCs w:val="20"/>
                <w:color w:val="auto"/>
              </w:rPr>
            </w:pPr>
            <w:r>
              <w:rPr>
                <w:rFonts w:ascii="Arial" w:cs="Arial" w:eastAsia="Arial" w:hAnsi="Arial"/>
                <w:sz w:val="16"/>
                <w:szCs w:val="16"/>
                <w:color w:val="auto"/>
              </w:rPr>
              <w:t>Company financial</w:t>
            </w:r>
          </w:p>
        </w:tc>
        <w:tc>
          <w:tcPr>
            <w:tcW w:w="2280" w:type="dxa"/>
            <w:vAlign w:val="bottom"/>
          </w:tcPr>
          <w:p>
            <w:pPr>
              <w:ind w:left="60"/>
              <w:spacing w:after="0"/>
              <w:rPr>
                <w:sz w:val="20"/>
                <w:szCs w:val="20"/>
                <w:color w:val="auto"/>
              </w:rPr>
            </w:pPr>
            <w:r>
              <w:rPr>
                <w:rFonts w:ascii="Arial" w:cs="Arial" w:eastAsia="Arial" w:hAnsi="Arial"/>
                <w:sz w:val="16"/>
                <w:szCs w:val="16"/>
                <w:color w:val="auto"/>
              </w:rPr>
              <w:t>shareholder interests, with</w:t>
            </w:r>
          </w:p>
        </w:tc>
        <w:tc>
          <w:tcPr>
            <w:tcW w:w="1800" w:type="dxa"/>
            <w:vAlign w:val="bottom"/>
          </w:tcPr>
          <w:p>
            <w:pPr>
              <w:ind w:left="60"/>
              <w:spacing w:after="0"/>
              <w:rPr>
                <w:sz w:val="20"/>
                <w:szCs w:val="20"/>
                <w:color w:val="auto"/>
              </w:rPr>
            </w:pPr>
            <w:r>
              <w:rPr>
                <w:rFonts w:ascii="Arial" w:cs="Arial" w:eastAsia="Arial" w:hAnsi="Arial"/>
                <w:sz w:val="16"/>
                <w:szCs w:val="16"/>
                <w:color w:val="auto"/>
              </w:rPr>
              <w:t>ownership, and</w:t>
            </w: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1780" w:type="dxa"/>
            <w:vAlign w:val="bottom"/>
          </w:tcPr>
          <w:p>
            <w:pPr>
              <w:ind w:left="40"/>
              <w:spacing w:after="0"/>
              <w:rPr>
                <w:sz w:val="20"/>
                <w:szCs w:val="20"/>
                <w:color w:val="auto"/>
              </w:rPr>
            </w:pPr>
            <w:r>
              <w:rPr>
                <w:rFonts w:ascii="Arial" w:cs="Arial" w:eastAsia="Arial" w:hAnsi="Arial"/>
                <w:sz w:val="16"/>
                <w:szCs w:val="16"/>
                <w:color w:val="auto"/>
              </w:rPr>
              <w:t>performance</w:t>
            </w:r>
          </w:p>
        </w:tc>
        <w:tc>
          <w:tcPr>
            <w:tcW w:w="1800" w:type="dxa"/>
            <w:vAlign w:val="bottom"/>
          </w:tcPr>
          <w:p>
            <w:pPr>
              <w:ind w:left="60"/>
              <w:spacing w:after="0"/>
              <w:rPr>
                <w:sz w:val="20"/>
                <w:szCs w:val="20"/>
                <w:color w:val="auto"/>
              </w:rPr>
            </w:pPr>
            <w:r>
              <w:rPr>
                <w:rFonts w:ascii="Arial" w:cs="Arial" w:eastAsia="Arial" w:hAnsi="Arial"/>
                <w:sz w:val="16"/>
                <w:szCs w:val="16"/>
                <w:color w:val="auto"/>
              </w:rPr>
              <w:t>goals and goals linked</w:t>
            </w:r>
          </w:p>
        </w:tc>
        <w:tc>
          <w:tcPr>
            <w:tcW w:w="2280" w:type="dxa"/>
            <w:vAlign w:val="bottom"/>
          </w:tcPr>
          <w:p>
            <w:pPr>
              <w:ind w:left="60"/>
              <w:spacing w:after="0"/>
              <w:rPr>
                <w:sz w:val="20"/>
                <w:szCs w:val="20"/>
                <w:color w:val="auto"/>
              </w:rPr>
            </w:pPr>
            <w:r>
              <w:rPr>
                <w:rFonts w:ascii="Arial" w:cs="Arial" w:eastAsia="Arial" w:hAnsi="Arial"/>
                <w:sz w:val="16"/>
                <w:szCs w:val="16"/>
                <w:color w:val="auto"/>
              </w:rPr>
              <w:t>an increased focus</w:t>
            </w:r>
          </w:p>
        </w:tc>
        <w:tc>
          <w:tcPr>
            <w:tcW w:w="1800" w:type="dxa"/>
            <w:vAlign w:val="bottom"/>
          </w:tcPr>
          <w:p>
            <w:pPr>
              <w:ind w:left="60"/>
              <w:spacing w:after="0"/>
              <w:rPr>
                <w:sz w:val="20"/>
                <w:szCs w:val="20"/>
                <w:color w:val="auto"/>
              </w:rPr>
            </w:pPr>
            <w:r>
              <w:rPr>
                <w:rFonts w:ascii="Arial" w:cs="Arial" w:eastAsia="Arial" w:hAnsi="Arial"/>
                <w:sz w:val="16"/>
                <w:szCs w:val="16"/>
                <w:color w:val="auto"/>
              </w:rPr>
              <w:t>alignment with</w:t>
            </w: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ind w:left="60"/>
              <w:spacing w:after="0"/>
              <w:rPr>
                <w:sz w:val="20"/>
                <w:szCs w:val="20"/>
                <w:color w:val="auto"/>
              </w:rPr>
            </w:pPr>
            <w:r>
              <w:rPr>
                <w:rFonts w:ascii="Arial" w:cs="Arial" w:eastAsia="Arial" w:hAnsi="Arial"/>
                <w:sz w:val="16"/>
                <w:szCs w:val="16"/>
                <w:color w:val="auto"/>
              </w:rPr>
              <w:t>to our strategic pillars</w:t>
            </w:r>
          </w:p>
        </w:tc>
        <w:tc>
          <w:tcPr>
            <w:tcW w:w="2280" w:type="dxa"/>
            <w:vAlign w:val="bottom"/>
          </w:tcPr>
          <w:p>
            <w:pPr>
              <w:ind w:left="60"/>
              <w:spacing w:after="0"/>
              <w:rPr>
                <w:sz w:val="20"/>
                <w:szCs w:val="20"/>
                <w:color w:val="auto"/>
              </w:rPr>
            </w:pPr>
            <w:r>
              <w:rPr>
                <w:rFonts w:ascii="Arial" w:cs="Arial" w:eastAsia="Arial" w:hAnsi="Arial"/>
                <w:sz w:val="16"/>
                <w:szCs w:val="16"/>
                <w:color w:val="auto"/>
              </w:rPr>
              <w:t>on Company</w:t>
            </w:r>
          </w:p>
        </w:tc>
        <w:tc>
          <w:tcPr>
            <w:tcW w:w="1800" w:type="dxa"/>
            <w:vAlign w:val="bottom"/>
          </w:tcPr>
          <w:p>
            <w:pPr>
              <w:ind w:left="60"/>
              <w:spacing w:after="0"/>
              <w:rPr>
                <w:sz w:val="20"/>
                <w:szCs w:val="20"/>
                <w:color w:val="auto"/>
              </w:rPr>
            </w:pPr>
            <w:r>
              <w:rPr>
                <w:rFonts w:ascii="Arial" w:cs="Arial" w:eastAsia="Arial" w:hAnsi="Arial"/>
                <w:sz w:val="16"/>
                <w:szCs w:val="16"/>
                <w:color w:val="auto"/>
              </w:rPr>
              <w:t>shareholder interests</w:t>
            </w: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Arial" w:cs="Arial" w:eastAsia="Arial" w:hAnsi="Arial"/>
                <w:sz w:val="16"/>
                <w:szCs w:val="16"/>
                <w:color w:val="auto"/>
              </w:rPr>
              <w:t>cash generation</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1420" w:type="dxa"/>
            <w:vAlign w:val="bottom"/>
            <w:tcBorders>
              <w:bottom w:val="single" w:sz="8" w:color="0956FF"/>
            </w:tcBorders>
          </w:tcPr>
          <w:p>
            <w:pPr>
              <w:spacing w:after="0"/>
              <w:rPr>
                <w:sz w:val="8"/>
                <w:szCs w:val="8"/>
                <w:color w:val="auto"/>
              </w:rPr>
            </w:pPr>
          </w:p>
        </w:tc>
        <w:tc>
          <w:tcPr>
            <w:tcW w:w="1780" w:type="dxa"/>
            <w:vAlign w:val="bottom"/>
            <w:tcBorders>
              <w:bottom w:val="single" w:sz="8" w:color="0956FF"/>
            </w:tcBorders>
          </w:tcPr>
          <w:p>
            <w:pPr>
              <w:spacing w:after="0"/>
              <w:rPr>
                <w:sz w:val="8"/>
                <w:szCs w:val="8"/>
                <w:color w:val="auto"/>
              </w:rPr>
            </w:pPr>
          </w:p>
        </w:tc>
        <w:tc>
          <w:tcPr>
            <w:tcW w:w="1800" w:type="dxa"/>
            <w:vAlign w:val="bottom"/>
            <w:tcBorders>
              <w:bottom w:val="single" w:sz="8" w:color="0956FF"/>
            </w:tcBorders>
          </w:tcPr>
          <w:p>
            <w:pPr>
              <w:spacing w:after="0"/>
              <w:rPr>
                <w:sz w:val="8"/>
                <w:szCs w:val="8"/>
                <w:color w:val="auto"/>
              </w:rPr>
            </w:pPr>
          </w:p>
        </w:tc>
        <w:tc>
          <w:tcPr>
            <w:tcW w:w="2280" w:type="dxa"/>
            <w:vAlign w:val="bottom"/>
            <w:tcBorders>
              <w:bottom w:val="single" w:sz="8" w:color="0956FF"/>
            </w:tcBorders>
          </w:tcPr>
          <w:p>
            <w:pPr>
              <w:spacing w:after="0"/>
              <w:rPr>
                <w:sz w:val="8"/>
                <w:szCs w:val="8"/>
                <w:color w:val="auto"/>
              </w:rPr>
            </w:pPr>
          </w:p>
        </w:tc>
        <w:tc>
          <w:tcPr>
            <w:tcW w:w="1800" w:type="dxa"/>
            <w:vAlign w:val="bottom"/>
            <w:tcBorders>
              <w:bottom w:val="single" w:sz="8" w:color="0956F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CEO and NEO Pay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2025 Incentive Plan Outcomes</w:t>
      </w:r>
    </w:p>
    <w:p>
      <w:pPr>
        <w:spacing w:after="0" w:line="132"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Across our performance metrics, GM achieved above-target EBIT-adjusted and Adjusted Automotive Free Cash Flow (AAFCF) results and below-target EV Variable Cost Percentage Improvement due to dampened EV demand, launched software on-time and with quality, and successfully executed on our autonomous vehicle goals. Collectively, these results led to achievement of 118% of target Company performance in our STIP. We also outperformed on our three-year relative TSR goal, with mixed results on our three EV goals, leading to a payout of 162% of target for the 2023-2025 PSU portion of our LTIP. We performed well against targets in the context of tariff and regulatory shifts and believe these outcomes demonstrate that our incentive plans are operating effectively to appropriately reward both annual and long-term performance. We are pleased to see that the strength of our execution and strong financial and operational performance is translating into meaningful shareholder returns, even as we face headwinds related to our EV portfolio.</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20"/>
        <w:spacing w:after="0"/>
        <w:tabs>
          <w:tab w:leader="none" w:pos="892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3</w:t>
      </w:r>
    </w:p>
    <w:p>
      <w:pPr>
        <w:sectPr>
          <w:pgSz w:w="11900" w:h="16838" w:orient="portrait"/>
          <w:cols w:equalWidth="0" w:num="1">
            <w:col w:w="9080"/>
          </w:cols>
          <w:pgMar w:left="1400" w:top="657" w:right="14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Board and Governance Matters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Arial" w:cs="Arial" w:eastAsia="Arial" w:hAnsi="Arial"/>
          <w:sz w:val="22"/>
          <w:szCs w:val="22"/>
          <w:color w:val="FFFFFF"/>
        </w:rPr>
        <w:t>ITEM 1</w:t>
      </w:r>
    </w:p>
    <w:p>
      <w:pPr>
        <w:spacing w:after="0" w:line="33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Annual Election of Directors</w:t>
      </w:r>
    </w:p>
    <w:p>
      <w:pPr>
        <w:spacing w:after="0" w:line="248" w:lineRule="exact"/>
        <w:rPr>
          <w:sz w:val="20"/>
          <w:szCs w:val="20"/>
          <w:color w:val="auto"/>
        </w:rPr>
      </w:pPr>
    </w:p>
    <w:p>
      <w:pPr>
        <w:ind w:right="79"/>
        <w:spacing w:after="0" w:line="247" w:lineRule="auto"/>
        <w:rPr>
          <w:sz w:val="20"/>
          <w:szCs w:val="20"/>
          <w:color w:val="auto"/>
        </w:rPr>
      </w:pPr>
      <w:r>
        <w:rPr>
          <w:rFonts w:ascii="Arial" w:cs="Arial" w:eastAsia="Arial" w:hAnsi="Arial"/>
          <w:sz w:val="16"/>
          <w:szCs w:val="16"/>
          <w:color w:val="auto"/>
        </w:rPr>
        <w:t>At the Annual Meeting, 11 directors will be nominated for election to GM’s Board of Directors. The Governance and Corporate Responsibility Committee (the “Governance Committee”) evaluated the nominees in accordance with the Committee’s charter and our Corporate Governance Guidelines and submitted the nominees to the Board for approval.</w:t>
      </w:r>
    </w:p>
    <w:p>
      <w:pPr>
        <w:spacing w:after="0" w:line="1" w:lineRule="exact"/>
        <w:rPr>
          <w:sz w:val="20"/>
          <w:szCs w:val="20"/>
          <w:color w:val="auto"/>
        </w:rPr>
      </w:pPr>
    </w:p>
    <w:p>
      <w:pPr>
        <w:ind w:right="239"/>
        <w:spacing w:after="0" w:line="288" w:lineRule="auto"/>
        <w:rPr>
          <w:sz w:val="20"/>
          <w:szCs w:val="20"/>
          <w:color w:val="auto"/>
        </w:rPr>
      </w:pPr>
      <w:r>
        <w:rPr>
          <w:rFonts w:ascii="Arial" w:cs="Arial" w:eastAsia="Arial" w:hAnsi="Arial"/>
          <w:sz w:val="16"/>
          <w:szCs w:val="16"/>
          <w:color w:val="auto"/>
        </w:rPr>
        <w:t>The Board believes that the director nominees’ diverse backgrounds, attributes, and experiences provide valuable insights for the Board’s oversight of the Company. All of the 11 director nominees were previously elected at the 2025 annual meeting. Further information on the Board’s composition, as well as each nominee’s qualifications and relevant experience, is provided on the following pages.</w:t>
      </w:r>
    </w:p>
    <w:p>
      <w:pPr>
        <w:spacing w:after="0" w:line="100" w:lineRule="exact"/>
        <w:rPr>
          <w:sz w:val="20"/>
          <w:szCs w:val="20"/>
          <w:color w:val="auto"/>
        </w:rPr>
      </w:pPr>
    </w:p>
    <w:p>
      <w:pPr>
        <w:ind w:right="239"/>
        <w:spacing w:after="0" w:line="295" w:lineRule="auto"/>
        <w:rPr>
          <w:sz w:val="20"/>
          <w:szCs w:val="20"/>
          <w:color w:val="auto"/>
        </w:rPr>
      </w:pPr>
      <w:r>
        <w:rPr>
          <w:rFonts w:ascii="Arial" w:cs="Arial" w:eastAsia="Arial" w:hAnsi="Arial"/>
          <w:sz w:val="16"/>
          <w:szCs w:val="16"/>
          <w:color w:val="auto"/>
        </w:rPr>
        <w:t>If elected, the director nominees will serve on the Board until the next annual meeting of shareholders, or until their earlier resignation or removal. If any nominee becomes unable to serve, proxies will be voted for the election of such other person as the Board may designate, unless the Board chooses to reduce the number of directors standing for election. Each of the nominees has consented to being named in this Proxy Statement and serving on the Board, if elected.</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 xml:space="preserve">The Board recommends a vote </w:t>
      </w:r>
      <w:r>
        <w:rPr>
          <w:rFonts w:ascii="Arial" w:cs="Arial" w:eastAsia="Arial" w:hAnsi="Arial"/>
          <w:sz w:val="20"/>
          <w:szCs w:val="20"/>
          <w:b w:val="1"/>
          <w:bCs w:val="1"/>
          <w:color w:val="0956FF"/>
        </w:rPr>
        <w:t>FOR</w:t>
      </w:r>
      <w:r>
        <w:rPr>
          <w:rFonts w:ascii="Arial" w:cs="Arial" w:eastAsia="Arial" w:hAnsi="Arial"/>
          <w:sz w:val="20"/>
          <w:szCs w:val="20"/>
          <w:color w:val="auto"/>
        </w:rPr>
        <w:t xml:space="preserve"> each of the nominees identified in this Proxy Statement.</w:t>
      </w:r>
    </w:p>
    <w:p>
      <w:pPr>
        <w:sectPr>
          <w:pgSz w:w="11900" w:h="16838" w:orient="portrait"/>
          <w:cols w:equalWidth="0" w:num="1">
            <w:col w:w="9059"/>
          </w:cols>
          <w:pgMar w:left="1400" w:top="1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9059"/>
          </w:cols>
          <w:pgMar w:left="1400" w:top="1339" w:right="1440"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43" w:lineRule="exact"/>
        <w:rPr>
          <w:sz w:val="20"/>
          <w:szCs w:val="20"/>
          <w:color w:val="auto"/>
        </w:rPr>
      </w:pPr>
    </w:p>
    <w:p>
      <w:pPr>
        <w:ind w:right="440"/>
        <w:spacing w:after="0" w:line="276" w:lineRule="auto"/>
        <w:rPr>
          <w:sz w:val="20"/>
          <w:szCs w:val="20"/>
          <w:color w:val="auto"/>
        </w:rPr>
      </w:pPr>
      <w:r>
        <w:rPr>
          <w:rFonts w:ascii="Arial" w:cs="Arial" w:eastAsia="Arial" w:hAnsi="Arial"/>
          <w:sz w:val="40"/>
          <w:szCs w:val="40"/>
          <w:b w:val="1"/>
          <w:bCs w:val="1"/>
          <w:color w:val="0956FF"/>
        </w:rPr>
        <w:t>Board Membership Criteria, Refreshment, and Succession Planning</w:t>
      </w:r>
    </w:p>
    <w:p>
      <w:pPr>
        <w:spacing w:after="0" w:line="1" w:lineRule="exact"/>
        <w:rPr>
          <w:sz w:val="20"/>
          <w:szCs w:val="20"/>
          <w:color w:val="auto"/>
        </w:rPr>
      </w:pPr>
    </w:p>
    <w:p>
      <w:pPr>
        <w:ind w:right="140"/>
        <w:spacing w:after="0" w:line="216" w:lineRule="exact"/>
        <w:rPr>
          <w:sz w:val="20"/>
          <w:szCs w:val="20"/>
          <w:color w:val="auto"/>
        </w:rPr>
      </w:pPr>
      <w:r>
        <w:rPr>
          <w:rFonts w:ascii="Arial" w:cs="Arial" w:eastAsia="Arial" w:hAnsi="Arial"/>
          <w:sz w:val="16"/>
          <w:szCs w:val="16"/>
          <w:color w:val="auto"/>
        </w:rPr>
        <w:t>The selection of qualified directors is fundamental to the Board’s effective oversight of GM’s strategy and enterprise risks. The Board seeks directors who bring diverse perspectives and a broad range of skills and professional experiences, and who represent the long</w:t>
      </w:r>
      <w:r>
        <w:rPr>
          <w:rFonts w:ascii="MS PGothic" w:cs="MS PGothic" w:eastAsia="MS PGothic" w:hAnsi="MS PGothic"/>
          <w:sz w:val="16"/>
          <w:szCs w:val="16"/>
          <w:color w:val="auto"/>
        </w:rPr>
        <w:t>‑</w:t>
      </w:r>
      <w:r>
        <w:rPr>
          <w:rFonts w:ascii="Arial" w:cs="Arial" w:eastAsia="Arial" w:hAnsi="Arial"/>
          <w:sz w:val="16"/>
          <w:szCs w:val="16"/>
          <w:color w:val="auto"/>
        </w:rPr>
        <w:t>term interests of shareholders. Director recruitment priorities evolve based on the Company’s strategic needs, ensuring the Board remains a strategic asset capable of overseeing and supporting management as it addresses emerging risks, trends, and opportunities. Recent additions have strengthened the skill set and dynamics of the Board. Examples include adding marketing, brand, and customer experience expertise with Mark Tatum (2021); auto industry, financial, marketing, brand, and technology expertise with Joanne Crevoiserat and Jonathan McNeill (2022); cybersecurity, risk management, and technology expertise with Vice Admiral (Retired) Jan Tighe (2023); and financial, risk management, and cybersecurity expertise with Alfred (“Al”) F. Kelly, Jr.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956FF"/>
        </w:rPr>
        <w:t>Corporate Governance Spotlight: Ongoing Succession Planning</w:t>
      </w:r>
    </w:p>
    <w:p>
      <w:pPr>
        <w:spacing w:after="0" w:line="122" w:lineRule="exact"/>
        <w:rPr>
          <w:sz w:val="20"/>
          <w:szCs w:val="20"/>
          <w:color w:val="auto"/>
        </w:rPr>
      </w:pPr>
    </w:p>
    <w:p>
      <w:pPr>
        <w:ind w:left="340" w:right="600"/>
        <w:spacing w:after="0" w:line="291" w:lineRule="auto"/>
        <w:rPr>
          <w:sz w:val="20"/>
          <w:szCs w:val="20"/>
          <w:color w:val="auto"/>
        </w:rPr>
      </w:pPr>
      <w:r>
        <w:rPr>
          <w:rFonts w:ascii="Arial" w:cs="Arial" w:eastAsia="Arial" w:hAnsi="Arial"/>
          <w:sz w:val="16"/>
          <w:szCs w:val="16"/>
          <w:color w:val="auto"/>
        </w:rPr>
        <w:t>As part of its ongoing oversight of Board composition, the Governance Committee reviews director succession planning at each of its meetings to support effective Board and committee leadership. In 2025, this process informed committee leadership rotations, including the appointments of Jami Miscik as Chair of the Risk and Cybersecurity Committee, Wes Bush as Chair of the Audit Committee, and Devin Wenig as Chair of the Executive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evaluating potential director candidates, the Governance Committee considers, among other factors, the criteria included on the skills matrix on page 7, the skills and experience of our current directors, and certain additional characteristics that it believes one or more directors should possess based on an assessment of the needs of the Board at that time. In every case, director candidates must be able to contribute significantly to the Board’s discussion and decision-making on the broad array of complex issues facing GM. The Governance Committee also engages a reputable, qualified search firm to help identify and evaluate potential candidates.</w:t>
      </w:r>
    </w:p>
    <w:p>
      <w:pPr>
        <w:spacing w:after="0" w:line="102" w:lineRule="exact"/>
        <w:rPr>
          <w:sz w:val="20"/>
          <w:szCs w:val="20"/>
          <w:color w:val="auto"/>
        </w:rPr>
      </w:pPr>
    </w:p>
    <w:p>
      <w:pPr>
        <w:ind w:right="260"/>
        <w:spacing w:after="0" w:line="213" w:lineRule="exact"/>
        <w:rPr>
          <w:sz w:val="20"/>
          <w:szCs w:val="20"/>
          <w:color w:val="auto"/>
        </w:rPr>
      </w:pPr>
      <w:r>
        <w:rPr>
          <w:rFonts w:ascii="Arial" w:cs="Arial" w:eastAsia="Arial" w:hAnsi="Arial"/>
          <w:sz w:val="16"/>
          <w:szCs w:val="16"/>
          <w:color w:val="auto"/>
        </w:rPr>
        <w:t>As part of the annual governance review, the Committee recommended and the Board approved updates to the Corporate Governance Guidelines in December to reflect the evolving needs of the Board and to remain aligned with prevailing governance best practices. These updates included the rule that non-employee directors will not stand for election after reaching age 75 and the adoption of a 20</w:t>
      </w:r>
      <w:r>
        <w:rPr>
          <w:rFonts w:ascii="MS PGothic" w:cs="MS PGothic" w:eastAsia="MS PGothic" w:hAnsi="MS PGothic"/>
          <w:sz w:val="16"/>
          <w:szCs w:val="16"/>
          <w:color w:val="auto"/>
        </w:rPr>
        <w:t>‑</w:t>
      </w:r>
      <w:r>
        <w:rPr>
          <w:rFonts w:ascii="Arial" w:cs="Arial" w:eastAsia="Arial" w:hAnsi="Arial"/>
          <w:sz w:val="16"/>
          <w:szCs w:val="16"/>
          <w:color w:val="auto"/>
        </w:rPr>
        <w:t>year term limit for director service. Any exceptions to these rules require approval by the Board. At this time, the Board has not approved any exceptions to its retirement age and term-limit.</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020"/>
        <w:spacing w:after="0"/>
        <w:tabs>
          <w:tab w:leader="none" w:pos="892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5</w:t>
      </w:r>
    </w:p>
    <w:p>
      <w:pPr>
        <w:sectPr>
          <w:pgSz w:w="11900" w:h="16838" w:orient="portrait"/>
          <w:cols w:equalWidth="0" w:num="1">
            <w:col w:w="9100"/>
          </w:cols>
          <w:pgMar w:left="1400" w:top="657" w:right="13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2026 Board Nominee Skills and Statistics</w:t>
      </w:r>
    </w:p>
    <w:p>
      <w:pPr>
        <w:spacing w:after="0" w:line="132"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General Motors is committed to ensuring its Board remains a strategic asset to the Company. We have also thoughtfully managed director succession planning to leverage the combined benefits of deep institutional knowledge and new perspectives through Board refreshment. The Company’s Corporate Governance Guidelines identify the Board’s commitment to seeking highly qualified candidates that reflect the backgrounds of GM’s global workforce and customer base. Our Board recognizes the value of inclusivity and considers members’ and candidates’ opinions, perspectives, individual skills, expertise and experience that complement or expand that of the current directors and enhance the diversity (geographic, gender, age, and ethnicity) and effectiveness of the Board as a whole. We believe the judgment and perspectives offered by an inclusive Board improves the quality of decision-making, enhances the Company’s business performance, and can help the Board respond more effectively to the needs of customers, shareholders, employees, suppliers, and other stakeholders.</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Nominee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Cyber</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43"/>
          <w:szCs w:val="43"/>
          <w:b w:val="1"/>
          <w:bCs w:val="1"/>
          <w:color w:val="0956FF"/>
        </w:rPr>
        <w:t>4 of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Industry</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43"/>
          <w:szCs w:val="43"/>
          <w:b w:val="1"/>
          <w:bCs w:val="1"/>
          <w:color w:val="0956FF"/>
        </w:rPr>
        <w:t>2 of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Public Company CEO</w:t>
      </w:r>
    </w:p>
    <w:p>
      <w:pPr>
        <w:spacing w:after="0" w:line="31" w:lineRule="exact"/>
        <w:rPr>
          <w:sz w:val="20"/>
          <w:szCs w:val="20"/>
          <w:color w:val="auto"/>
        </w:rPr>
      </w:pPr>
    </w:p>
    <w:p>
      <w:pPr>
        <w:ind w:left="900"/>
        <w:spacing w:after="0"/>
        <w:rPr>
          <w:sz w:val="20"/>
          <w:szCs w:val="20"/>
          <w:color w:val="auto"/>
        </w:rPr>
      </w:pPr>
      <w:r>
        <w:rPr>
          <w:rFonts w:ascii="Arial" w:cs="Arial" w:eastAsia="Arial" w:hAnsi="Arial"/>
          <w:sz w:val="43"/>
          <w:szCs w:val="43"/>
          <w:b w:val="1"/>
          <w:bCs w:val="1"/>
          <w:color w:val="0956FF"/>
        </w:rPr>
        <w:t>7 of 11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09"/>
        </w:trPr>
        <w:tc>
          <w:tcPr>
            <w:tcW w:w="2220" w:type="dxa"/>
            <w:vAlign w:val="bottom"/>
            <w:gridSpan w:val="2"/>
            <w:shd w:val="clear" w:color="auto" w:fill="ECEBEB"/>
          </w:tcPr>
          <w:p>
            <w:pPr>
              <w:jc w:val="right"/>
              <w:ind w:right="899"/>
              <w:spacing w:after="0"/>
              <w:rPr>
                <w:sz w:val="20"/>
                <w:szCs w:val="20"/>
                <w:color w:val="auto"/>
              </w:rPr>
            </w:pPr>
            <w:r>
              <w:rPr>
                <w:rFonts w:ascii="Arial" w:cs="Arial" w:eastAsia="Arial" w:hAnsi="Arial"/>
                <w:sz w:val="43"/>
                <w:szCs w:val="43"/>
                <w:b w:val="1"/>
                <w:bCs w:val="1"/>
                <w:color w:val="0956FF"/>
              </w:rPr>
              <w:t>7</w:t>
            </w:r>
          </w:p>
        </w:tc>
        <w:tc>
          <w:tcPr>
            <w:tcW w:w="60" w:type="dxa"/>
            <w:vAlign w:val="bottom"/>
          </w:tcPr>
          <w:p>
            <w:pPr>
              <w:spacing w:after="0"/>
              <w:rPr>
                <w:sz w:val="24"/>
                <w:szCs w:val="24"/>
                <w:color w:val="auto"/>
              </w:rPr>
            </w:pPr>
          </w:p>
        </w:tc>
        <w:tc>
          <w:tcPr>
            <w:tcW w:w="1440" w:type="dxa"/>
            <w:vAlign w:val="bottom"/>
            <w:shd w:val="clear" w:color="auto" w:fill="ECEBEB"/>
          </w:tcPr>
          <w:p>
            <w:pPr>
              <w:jc w:val="right"/>
              <w:spacing w:after="0"/>
              <w:rPr>
                <w:sz w:val="20"/>
                <w:szCs w:val="20"/>
                <w:color w:val="auto"/>
              </w:rPr>
            </w:pPr>
            <w:r>
              <w:rPr>
                <w:rFonts w:ascii="Arial" w:cs="Arial" w:eastAsia="Arial" w:hAnsi="Arial"/>
                <w:sz w:val="43"/>
                <w:szCs w:val="43"/>
                <w:b w:val="1"/>
                <w:bCs w:val="1"/>
                <w:color w:val="0956FF"/>
              </w:rPr>
              <w:t>64</w:t>
            </w:r>
          </w:p>
        </w:tc>
        <w:tc>
          <w:tcPr>
            <w:tcW w:w="60" w:type="dxa"/>
            <w:vAlign w:val="bottom"/>
            <w:shd w:val="clear" w:color="auto" w:fill="ECEBEB"/>
          </w:tcPr>
          <w:p>
            <w:pPr>
              <w:spacing w:after="0"/>
              <w:rPr>
                <w:sz w:val="24"/>
                <w:szCs w:val="24"/>
                <w:color w:val="auto"/>
              </w:rPr>
            </w:pPr>
          </w:p>
        </w:tc>
        <w:tc>
          <w:tcPr>
            <w:tcW w:w="720" w:type="dxa"/>
            <w:vAlign w:val="bottom"/>
            <w:shd w:val="clear" w:color="auto" w:fill="ECEBEB"/>
          </w:tcPr>
          <w:p>
            <w:pPr>
              <w:spacing w:after="0"/>
              <w:rPr>
                <w:sz w:val="24"/>
                <w:szCs w:val="24"/>
                <w:color w:val="auto"/>
              </w:rPr>
            </w:pPr>
          </w:p>
        </w:tc>
        <w:tc>
          <w:tcPr>
            <w:tcW w:w="2260" w:type="dxa"/>
            <w:vAlign w:val="bottom"/>
          </w:tcPr>
          <w:p>
            <w:pPr>
              <w:spacing w:after="0"/>
              <w:rPr>
                <w:sz w:val="24"/>
                <w:szCs w:val="24"/>
                <w:color w:val="auto"/>
              </w:rPr>
            </w:pPr>
          </w:p>
        </w:tc>
      </w:tr>
      <w:tr>
        <w:trPr>
          <w:trHeight w:val="215"/>
        </w:trPr>
        <w:tc>
          <w:tcPr>
            <w:tcW w:w="720" w:type="dxa"/>
            <w:vAlign w:val="bottom"/>
            <w:shd w:val="clear" w:color="auto" w:fill="ECEBEB"/>
          </w:tcPr>
          <w:p>
            <w:pPr>
              <w:spacing w:after="0"/>
              <w:rPr>
                <w:sz w:val="18"/>
                <w:szCs w:val="18"/>
                <w:color w:val="auto"/>
              </w:rPr>
            </w:pPr>
          </w:p>
        </w:tc>
        <w:tc>
          <w:tcPr>
            <w:tcW w:w="1500" w:type="dxa"/>
            <w:vAlign w:val="bottom"/>
            <w:shd w:val="clear" w:color="auto" w:fill="ECEBEB"/>
          </w:tcPr>
          <w:p>
            <w:pPr>
              <w:jc w:val="center"/>
              <w:ind w:right="659"/>
              <w:spacing w:after="0"/>
              <w:rPr>
                <w:sz w:val="20"/>
                <w:szCs w:val="20"/>
                <w:color w:val="auto"/>
              </w:rPr>
            </w:pPr>
            <w:r>
              <w:rPr>
                <w:rFonts w:ascii="Arial" w:cs="Arial" w:eastAsia="Arial" w:hAnsi="Arial"/>
                <w:sz w:val="16"/>
                <w:szCs w:val="16"/>
                <w:color w:val="auto"/>
                <w:w w:val="95"/>
              </w:rPr>
              <w:t>Years</w:t>
            </w:r>
          </w:p>
        </w:tc>
        <w:tc>
          <w:tcPr>
            <w:tcW w:w="60" w:type="dxa"/>
            <w:vAlign w:val="bottom"/>
          </w:tcPr>
          <w:p>
            <w:pPr>
              <w:spacing w:after="0"/>
              <w:rPr>
                <w:sz w:val="18"/>
                <w:szCs w:val="18"/>
                <w:color w:val="auto"/>
              </w:rPr>
            </w:pPr>
          </w:p>
        </w:tc>
        <w:tc>
          <w:tcPr>
            <w:tcW w:w="2220" w:type="dxa"/>
            <w:vAlign w:val="bottom"/>
            <w:gridSpan w:val="3"/>
            <w:shd w:val="clear" w:color="auto" w:fill="ECEBEB"/>
          </w:tcPr>
          <w:p>
            <w:pPr>
              <w:jc w:val="center"/>
              <w:ind w:right="20"/>
              <w:spacing w:after="0"/>
              <w:rPr>
                <w:sz w:val="20"/>
                <w:szCs w:val="20"/>
                <w:color w:val="auto"/>
              </w:rPr>
            </w:pPr>
            <w:r>
              <w:rPr>
                <w:rFonts w:ascii="Arial" w:cs="Arial" w:eastAsia="Arial" w:hAnsi="Arial"/>
                <w:sz w:val="16"/>
                <w:szCs w:val="16"/>
                <w:color w:val="auto"/>
                <w:w w:val="95"/>
              </w:rPr>
              <w:t>Years</w:t>
            </w:r>
          </w:p>
        </w:tc>
        <w:tc>
          <w:tcPr>
            <w:tcW w:w="2260" w:type="dxa"/>
            <w:vAlign w:val="bottom"/>
          </w:tcPr>
          <w:p>
            <w:pPr>
              <w:spacing w:after="0"/>
              <w:rPr>
                <w:sz w:val="18"/>
                <w:szCs w:val="18"/>
                <w:color w:val="auto"/>
              </w:rPr>
            </w:pPr>
          </w:p>
        </w:tc>
      </w:tr>
      <w:tr>
        <w:trPr>
          <w:trHeight w:val="216"/>
        </w:trPr>
        <w:tc>
          <w:tcPr>
            <w:tcW w:w="2220" w:type="dxa"/>
            <w:vAlign w:val="bottom"/>
            <w:gridSpan w:val="2"/>
            <w:shd w:val="clear" w:color="auto" w:fill="ECEBEB"/>
          </w:tcPr>
          <w:p>
            <w:pPr>
              <w:jc w:val="center"/>
              <w:spacing w:after="0"/>
              <w:rPr>
                <w:sz w:val="20"/>
                <w:szCs w:val="20"/>
                <w:color w:val="auto"/>
              </w:rPr>
            </w:pPr>
            <w:r>
              <w:rPr>
                <w:rFonts w:ascii="Arial" w:cs="Arial" w:eastAsia="Arial" w:hAnsi="Arial"/>
                <w:sz w:val="16"/>
                <w:szCs w:val="16"/>
                <w:color w:val="auto"/>
                <w:w w:val="99"/>
              </w:rPr>
              <w:t>Average Tenure</w:t>
            </w:r>
          </w:p>
        </w:tc>
        <w:tc>
          <w:tcPr>
            <w:tcW w:w="60" w:type="dxa"/>
            <w:vAlign w:val="bottom"/>
          </w:tcPr>
          <w:p>
            <w:pPr>
              <w:spacing w:after="0"/>
              <w:rPr>
                <w:sz w:val="18"/>
                <w:szCs w:val="18"/>
                <w:color w:val="auto"/>
              </w:rPr>
            </w:pPr>
          </w:p>
        </w:tc>
        <w:tc>
          <w:tcPr>
            <w:tcW w:w="2220" w:type="dxa"/>
            <w:vAlign w:val="bottom"/>
            <w:gridSpan w:val="3"/>
            <w:shd w:val="clear" w:color="auto" w:fill="ECEBEB"/>
          </w:tcPr>
          <w:p>
            <w:pPr>
              <w:jc w:val="center"/>
              <w:ind w:right="20"/>
              <w:spacing w:after="0"/>
              <w:rPr>
                <w:sz w:val="20"/>
                <w:szCs w:val="20"/>
                <w:color w:val="auto"/>
              </w:rPr>
            </w:pPr>
            <w:r>
              <w:rPr>
                <w:rFonts w:ascii="Arial" w:cs="Arial" w:eastAsia="Arial" w:hAnsi="Arial"/>
                <w:sz w:val="16"/>
                <w:szCs w:val="16"/>
                <w:color w:val="auto"/>
                <w:w w:val="99"/>
              </w:rPr>
              <w:t>Average Age</w:t>
            </w:r>
          </w:p>
        </w:tc>
        <w:tc>
          <w:tcPr>
            <w:tcW w:w="2260" w:type="dxa"/>
            <w:vAlign w:val="bottom"/>
          </w:tcPr>
          <w:p>
            <w:pPr>
              <w:spacing w:after="0"/>
              <w:rPr>
                <w:sz w:val="18"/>
                <w:szCs w:val="18"/>
                <w:color w:val="auto"/>
              </w:rPr>
            </w:pPr>
          </w:p>
        </w:tc>
      </w:tr>
      <w:tr>
        <w:trPr>
          <w:trHeight w:val="286"/>
        </w:trPr>
        <w:tc>
          <w:tcPr>
            <w:tcW w:w="720" w:type="dxa"/>
            <w:vAlign w:val="bottom"/>
            <w:shd w:val="clear" w:color="auto" w:fill="ECEBEB"/>
          </w:tcPr>
          <w:p>
            <w:pPr>
              <w:spacing w:after="0"/>
              <w:rPr>
                <w:sz w:val="24"/>
                <w:szCs w:val="24"/>
                <w:color w:val="auto"/>
              </w:rPr>
            </w:pPr>
          </w:p>
        </w:tc>
        <w:tc>
          <w:tcPr>
            <w:tcW w:w="1500" w:type="dxa"/>
            <w:vAlign w:val="bottom"/>
            <w:shd w:val="clear" w:color="auto" w:fill="ECEBEB"/>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shd w:val="clear" w:color="auto" w:fill="ECEBEB"/>
          </w:tcPr>
          <w:p>
            <w:pPr>
              <w:spacing w:after="0"/>
              <w:rPr>
                <w:sz w:val="24"/>
                <w:szCs w:val="24"/>
                <w:color w:val="auto"/>
              </w:rPr>
            </w:pPr>
          </w:p>
        </w:tc>
        <w:tc>
          <w:tcPr>
            <w:tcW w:w="60" w:type="dxa"/>
            <w:vAlign w:val="bottom"/>
            <w:shd w:val="clear" w:color="auto" w:fill="ECEBEB"/>
          </w:tcPr>
          <w:p>
            <w:pPr>
              <w:spacing w:after="0"/>
              <w:rPr>
                <w:sz w:val="24"/>
                <w:szCs w:val="24"/>
                <w:color w:val="auto"/>
              </w:rPr>
            </w:pPr>
          </w:p>
        </w:tc>
        <w:tc>
          <w:tcPr>
            <w:tcW w:w="720" w:type="dxa"/>
            <w:vAlign w:val="bottom"/>
            <w:shd w:val="clear" w:color="auto" w:fill="ECEBEB"/>
          </w:tcPr>
          <w:p>
            <w:pPr>
              <w:spacing w:after="0"/>
              <w:rPr>
                <w:sz w:val="24"/>
                <w:szCs w:val="24"/>
                <w:color w:val="auto"/>
              </w:rPr>
            </w:pPr>
          </w:p>
        </w:tc>
        <w:tc>
          <w:tcPr>
            <w:tcW w:w="2260" w:type="dxa"/>
            <w:vAlign w:val="bottom"/>
          </w:tcPr>
          <w:p>
            <w:pPr>
              <w:spacing w:after="0"/>
              <w:rPr>
                <w:sz w:val="24"/>
                <w:szCs w:val="24"/>
                <w:color w:val="auto"/>
              </w:rPr>
            </w:pPr>
          </w:p>
        </w:tc>
      </w:tr>
      <w:tr>
        <w:trPr>
          <w:trHeight w:val="729"/>
        </w:trPr>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49"/>
        </w:trPr>
        <w:tc>
          <w:tcPr>
            <w:tcW w:w="720" w:type="dxa"/>
            <w:vAlign w:val="bottom"/>
          </w:tcPr>
          <w:p>
            <w:pPr>
              <w:spacing w:after="0"/>
              <w:rPr>
                <w:sz w:val="12"/>
                <w:szCs w:val="12"/>
                <w:color w:val="auto"/>
              </w:rPr>
            </w:pPr>
          </w:p>
        </w:tc>
        <w:tc>
          <w:tcPr>
            <w:tcW w:w="1500" w:type="dxa"/>
            <w:vAlign w:val="bottom"/>
            <w:shd w:val="clear" w:color="auto" w:fill="ECEBEB"/>
          </w:tcPr>
          <w:p>
            <w:pPr>
              <w:spacing w:after="0"/>
              <w:rPr>
                <w:sz w:val="12"/>
                <w:szCs w:val="12"/>
                <w:color w:val="auto"/>
              </w:rPr>
            </w:pPr>
          </w:p>
        </w:tc>
        <w:tc>
          <w:tcPr>
            <w:tcW w:w="60" w:type="dxa"/>
            <w:vAlign w:val="bottom"/>
            <w:shd w:val="clear" w:color="auto" w:fill="ECEBEB"/>
          </w:tcPr>
          <w:p>
            <w:pPr>
              <w:spacing w:after="0"/>
              <w:rPr>
                <w:sz w:val="12"/>
                <w:szCs w:val="12"/>
                <w:color w:val="auto"/>
              </w:rPr>
            </w:pPr>
          </w:p>
        </w:tc>
        <w:tc>
          <w:tcPr>
            <w:tcW w:w="1440" w:type="dxa"/>
            <w:vAlign w:val="bottom"/>
            <w:shd w:val="clear" w:color="auto" w:fill="ECEBEB"/>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shd w:val="clear" w:color="auto" w:fill="ECEBEB"/>
          </w:tcPr>
          <w:p>
            <w:pPr>
              <w:spacing w:after="0"/>
              <w:rPr>
                <w:sz w:val="12"/>
                <w:szCs w:val="12"/>
                <w:color w:val="auto"/>
              </w:rPr>
            </w:pPr>
          </w:p>
        </w:tc>
        <w:tc>
          <w:tcPr>
            <w:tcW w:w="2260" w:type="dxa"/>
            <w:vAlign w:val="bottom"/>
            <w:shd w:val="clear" w:color="auto" w:fill="ECEBEB"/>
          </w:tcPr>
          <w:p>
            <w:pPr>
              <w:spacing w:after="0"/>
              <w:rPr>
                <w:sz w:val="12"/>
                <w:szCs w:val="12"/>
                <w:color w:val="auto"/>
              </w:rPr>
            </w:pPr>
          </w:p>
        </w:tc>
      </w:tr>
    </w:tbl>
    <w:p>
      <w:pPr>
        <w:spacing w:after="0" w:line="20" w:lineRule="exact"/>
        <w:rPr>
          <w:sz w:val="20"/>
          <w:szCs w:val="20"/>
          <w:color w:val="auto"/>
        </w:rPr>
      </w:pPr>
    </w:p>
    <w:tbl>
      <w:tblPr>
        <w:tblLayout w:type="fixed"/>
        <w:tblInd w:w="720" w:type="dxa"/>
        <w:tblCellMar>
          <w:top w:w="0" w:type="dxa"/>
          <w:left w:w="0" w:type="dxa"/>
          <w:bottom w:w="0" w:type="dxa"/>
          <w:right w:w="0" w:type="dxa"/>
        </w:tblCellMar>
      </w:tblPr>
      <w:tr>
        <w:trPr>
          <w:trHeight w:val="706"/>
        </w:trPr>
        <w:tc>
          <w:tcPr>
            <w:tcW w:w="180" w:type="dxa"/>
            <w:vAlign w:val="bottom"/>
          </w:tcPr>
          <w:p>
            <w:pPr>
              <w:spacing w:after="0"/>
              <w:rPr>
                <w:sz w:val="24"/>
                <w:szCs w:val="24"/>
                <w:color w:val="auto"/>
              </w:rPr>
            </w:pPr>
          </w:p>
        </w:tc>
        <w:tc>
          <w:tcPr>
            <w:tcW w:w="2820" w:type="dxa"/>
            <w:vAlign w:val="bottom"/>
            <w:shd w:val="clear" w:color="auto" w:fill="ECEBEB"/>
          </w:tcPr>
          <w:p>
            <w:pPr>
              <w:jc w:val="center"/>
              <w:ind w:right="12"/>
              <w:spacing w:after="0"/>
              <w:rPr>
                <w:sz w:val="20"/>
                <w:szCs w:val="20"/>
                <w:color w:val="auto"/>
              </w:rPr>
            </w:pPr>
            <w:r>
              <w:rPr>
                <w:rFonts w:ascii="Arial" w:cs="Arial" w:eastAsia="Arial" w:hAnsi="Arial"/>
                <w:sz w:val="16"/>
                <w:szCs w:val="16"/>
                <w:color w:val="auto"/>
              </w:rPr>
              <w:t>Finance</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shd w:val="clear" w:color="auto" w:fill="ECEBEB"/>
          </w:tcPr>
          <w:p>
            <w:pPr>
              <w:ind w:left="1080"/>
              <w:spacing w:after="0"/>
              <w:rPr>
                <w:sz w:val="20"/>
                <w:szCs w:val="20"/>
                <w:color w:val="auto"/>
              </w:rPr>
            </w:pPr>
            <w:r>
              <w:rPr>
                <w:rFonts w:ascii="Arial" w:cs="Arial" w:eastAsia="Arial" w:hAnsi="Arial"/>
                <w:sz w:val="16"/>
                <w:szCs w:val="16"/>
                <w:color w:val="auto"/>
              </w:rPr>
              <w:t>Global</w:t>
            </w:r>
          </w:p>
        </w:tc>
      </w:tr>
      <w:tr>
        <w:trPr>
          <w:trHeight w:val="597"/>
        </w:trPr>
        <w:tc>
          <w:tcPr>
            <w:tcW w:w="180" w:type="dxa"/>
            <w:vAlign w:val="bottom"/>
          </w:tcPr>
          <w:p>
            <w:pPr>
              <w:spacing w:after="0"/>
              <w:rPr>
                <w:sz w:val="24"/>
                <w:szCs w:val="24"/>
                <w:color w:val="auto"/>
              </w:rPr>
            </w:pPr>
          </w:p>
        </w:tc>
        <w:tc>
          <w:tcPr>
            <w:tcW w:w="282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w w:val="98"/>
              </w:rPr>
              <w:t>9 of 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shd w:val="clear" w:color="auto" w:fill="ECEBEB"/>
          </w:tcPr>
          <w:p>
            <w:pPr>
              <w:ind w:left="640"/>
              <w:spacing w:after="0"/>
              <w:rPr>
                <w:sz w:val="20"/>
                <w:szCs w:val="20"/>
                <w:color w:val="auto"/>
              </w:rPr>
            </w:pPr>
            <w:r>
              <w:rPr>
                <w:rFonts w:ascii="Arial" w:cs="Arial" w:eastAsia="Arial" w:hAnsi="Arial"/>
                <w:sz w:val="43"/>
                <w:szCs w:val="43"/>
                <w:b w:val="1"/>
                <w:bCs w:val="1"/>
                <w:color w:val="0956FF"/>
              </w:rPr>
              <w:t>11 of 11</w:t>
            </w:r>
          </w:p>
        </w:tc>
      </w:tr>
      <w:tr>
        <w:trPr>
          <w:trHeight w:val="135"/>
        </w:trPr>
        <w:tc>
          <w:tcPr>
            <w:tcW w:w="180" w:type="dxa"/>
            <w:vAlign w:val="bottom"/>
          </w:tcPr>
          <w:p>
            <w:pPr>
              <w:spacing w:after="0"/>
              <w:rPr>
                <w:sz w:val="11"/>
                <w:szCs w:val="11"/>
                <w:color w:val="auto"/>
              </w:rPr>
            </w:pPr>
          </w:p>
        </w:tc>
        <w:tc>
          <w:tcPr>
            <w:tcW w:w="2820" w:type="dxa"/>
            <w:vAlign w:val="bottom"/>
            <w:shd w:val="clear" w:color="auto" w:fill="ECEBEB"/>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0" w:type="dxa"/>
            <w:vAlign w:val="bottom"/>
            <w:shd w:val="clear" w:color="auto" w:fill="ECEBEB"/>
          </w:tcPr>
          <w:p>
            <w:pPr>
              <w:spacing w:after="0"/>
              <w:rPr>
                <w:sz w:val="11"/>
                <w:szCs w:val="11"/>
                <w:color w:val="auto"/>
              </w:rPr>
            </w:pPr>
          </w:p>
        </w:tc>
      </w:tr>
      <w:tr>
        <w:trPr>
          <w:trHeight w:val="54"/>
        </w:trPr>
        <w:tc>
          <w:tcPr>
            <w:tcW w:w="1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0" w:type="dxa"/>
            <w:vAlign w:val="bottom"/>
          </w:tcPr>
          <w:p>
            <w:pPr>
              <w:spacing w:after="0"/>
              <w:rPr>
                <w:sz w:val="4"/>
                <w:szCs w:val="4"/>
                <w:color w:val="auto"/>
              </w:rPr>
            </w:pPr>
          </w:p>
        </w:tc>
      </w:tr>
      <w:tr>
        <w:trPr>
          <w:trHeight w:val="148"/>
        </w:trPr>
        <w:tc>
          <w:tcPr>
            <w:tcW w:w="180" w:type="dxa"/>
            <w:vAlign w:val="bottom"/>
            <w:shd w:val="clear" w:color="auto" w:fill="ECEBEB"/>
          </w:tcPr>
          <w:p>
            <w:pPr>
              <w:spacing w:after="0"/>
              <w:rPr>
                <w:sz w:val="12"/>
                <w:szCs w:val="12"/>
                <w:color w:val="auto"/>
              </w:rPr>
            </w:pPr>
          </w:p>
        </w:tc>
        <w:tc>
          <w:tcPr>
            <w:tcW w:w="2820" w:type="dxa"/>
            <w:vAlign w:val="bottom"/>
            <w:shd w:val="clear" w:color="auto" w:fill="ECEBEB"/>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shd w:val="clear" w:color="auto" w:fill="ECEBEB"/>
          </w:tcPr>
          <w:p>
            <w:pPr>
              <w:spacing w:after="0"/>
              <w:rPr>
                <w:sz w:val="12"/>
                <w:szCs w:val="12"/>
                <w:color w:val="auto"/>
              </w:rPr>
            </w:pPr>
          </w:p>
        </w:tc>
        <w:tc>
          <w:tcPr>
            <w:tcW w:w="2800" w:type="dxa"/>
            <w:vAlign w:val="bottom"/>
            <w:shd w:val="clear" w:color="auto" w:fill="ECEBEB"/>
          </w:tcPr>
          <w:p>
            <w:pPr>
              <w:spacing w:after="0"/>
              <w:rPr>
                <w:sz w:val="12"/>
                <w:szCs w:val="12"/>
                <w:color w:val="auto"/>
              </w:rPr>
            </w:pPr>
          </w:p>
        </w:tc>
      </w:tr>
    </w:tbl>
    <w:p>
      <w:pPr>
        <w:spacing w:after="0" w:line="20" w:lineRule="exact"/>
        <w:rPr>
          <w:sz w:val="20"/>
          <w:szCs w:val="20"/>
          <w:color w:val="auto"/>
        </w:rPr>
      </w:pPr>
    </w:p>
    <w:tbl>
      <w:tblPr>
        <w:tblLayout w:type="fixed"/>
        <w:tblInd w:w="720" w:type="dxa"/>
        <w:tblCellMar>
          <w:top w:w="0" w:type="dxa"/>
          <w:left w:w="0" w:type="dxa"/>
          <w:bottom w:w="0" w:type="dxa"/>
          <w:right w:w="0" w:type="dxa"/>
        </w:tblCellMar>
      </w:tblPr>
      <w:tr>
        <w:trPr>
          <w:trHeight w:val="695"/>
        </w:trPr>
        <w:tc>
          <w:tcPr>
            <w:tcW w:w="180" w:type="dxa"/>
            <w:vAlign w:val="bottom"/>
          </w:tcPr>
          <w:p>
            <w:pPr>
              <w:spacing w:after="0"/>
              <w:rPr>
                <w:sz w:val="24"/>
                <w:szCs w:val="24"/>
                <w:color w:val="auto"/>
              </w:rPr>
            </w:pPr>
          </w:p>
        </w:tc>
        <w:tc>
          <w:tcPr>
            <w:tcW w:w="2820" w:type="dxa"/>
            <w:vAlign w:val="bottom"/>
            <w:shd w:val="clear" w:color="auto" w:fill="ECEBEB"/>
          </w:tcPr>
          <w:p>
            <w:pPr>
              <w:ind w:left="800"/>
              <w:spacing w:after="0"/>
              <w:rPr>
                <w:sz w:val="20"/>
                <w:szCs w:val="20"/>
                <w:color w:val="auto"/>
              </w:rPr>
            </w:pPr>
            <w:r>
              <w:rPr>
                <w:rFonts w:ascii="Arial" w:cs="Arial" w:eastAsia="Arial" w:hAnsi="Arial"/>
                <w:sz w:val="16"/>
                <w:szCs w:val="16"/>
                <w:color w:val="auto"/>
              </w:rPr>
              <w:t>Manufacturing</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shd w:val="clear" w:color="auto" w:fill="ECEBEB"/>
          </w:tcPr>
          <w:p>
            <w:pPr>
              <w:ind w:left="940"/>
              <w:spacing w:after="0"/>
              <w:rPr>
                <w:sz w:val="20"/>
                <w:szCs w:val="20"/>
                <w:color w:val="auto"/>
              </w:rPr>
            </w:pPr>
            <w:r>
              <w:rPr>
                <w:rFonts w:ascii="Arial" w:cs="Arial" w:eastAsia="Arial" w:hAnsi="Arial"/>
                <w:sz w:val="16"/>
                <w:szCs w:val="16"/>
                <w:color w:val="auto"/>
              </w:rPr>
              <w:t>Marketing</w:t>
            </w:r>
          </w:p>
        </w:tc>
      </w:tr>
      <w:tr>
        <w:trPr>
          <w:trHeight w:val="608"/>
        </w:trPr>
        <w:tc>
          <w:tcPr>
            <w:tcW w:w="180" w:type="dxa"/>
            <w:vAlign w:val="bottom"/>
          </w:tcPr>
          <w:p>
            <w:pPr>
              <w:spacing w:after="0"/>
              <w:rPr>
                <w:sz w:val="24"/>
                <w:szCs w:val="24"/>
                <w:color w:val="auto"/>
              </w:rPr>
            </w:pPr>
          </w:p>
        </w:tc>
        <w:tc>
          <w:tcPr>
            <w:tcW w:w="2820" w:type="dxa"/>
            <w:vAlign w:val="bottom"/>
            <w:shd w:val="clear" w:color="auto" w:fill="ECEBEB"/>
          </w:tcPr>
          <w:p>
            <w:pPr>
              <w:ind w:left="700"/>
              <w:spacing w:after="0"/>
              <w:rPr>
                <w:sz w:val="20"/>
                <w:szCs w:val="20"/>
                <w:color w:val="auto"/>
              </w:rPr>
            </w:pPr>
            <w:r>
              <w:rPr>
                <w:rFonts w:ascii="Arial" w:cs="Arial" w:eastAsia="Arial" w:hAnsi="Arial"/>
                <w:sz w:val="43"/>
                <w:szCs w:val="43"/>
                <w:b w:val="1"/>
                <w:bCs w:val="1"/>
                <w:color w:val="0956FF"/>
              </w:rPr>
              <w:t>6 of 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shd w:val="clear" w:color="auto" w:fill="ECEBEB"/>
          </w:tcPr>
          <w:p>
            <w:pPr>
              <w:ind w:left="700"/>
              <w:spacing w:after="0"/>
              <w:rPr>
                <w:sz w:val="20"/>
                <w:szCs w:val="20"/>
                <w:color w:val="auto"/>
              </w:rPr>
            </w:pPr>
            <w:r>
              <w:rPr>
                <w:rFonts w:ascii="Arial" w:cs="Arial" w:eastAsia="Arial" w:hAnsi="Arial"/>
                <w:sz w:val="43"/>
                <w:szCs w:val="43"/>
                <w:b w:val="1"/>
                <w:bCs w:val="1"/>
                <w:color w:val="0956FF"/>
              </w:rPr>
              <w:t>7 of 11</w:t>
            </w:r>
          </w:p>
        </w:tc>
      </w:tr>
      <w:tr>
        <w:trPr>
          <w:trHeight w:val="135"/>
        </w:trPr>
        <w:tc>
          <w:tcPr>
            <w:tcW w:w="180" w:type="dxa"/>
            <w:vAlign w:val="bottom"/>
          </w:tcPr>
          <w:p>
            <w:pPr>
              <w:spacing w:after="0"/>
              <w:rPr>
                <w:sz w:val="11"/>
                <w:szCs w:val="11"/>
                <w:color w:val="auto"/>
              </w:rPr>
            </w:pPr>
          </w:p>
        </w:tc>
        <w:tc>
          <w:tcPr>
            <w:tcW w:w="2820" w:type="dxa"/>
            <w:vAlign w:val="bottom"/>
            <w:shd w:val="clear" w:color="auto" w:fill="ECEBEB"/>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0" w:type="dxa"/>
            <w:vAlign w:val="bottom"/>
            <w:shd w:val="clear" w:color="auto" w:fill="ECEBEB"/>
          </w:tcPr>
          <w:p>
            <w:pPr>
              <w:spacing w:after="0"/>
              <w:rPr>
                <w:sz w:val="11"/>
                <w:szCs w:val="11"/>
                <w:color w:val="auto"/>
              </w:rPr>
            </w:pPr>
          </w:p>
        </w:tc>
      </w:tr>
      <w:tr>
        <w:trPr>
          <w:trHeight w:val="54"/>
        </w:trPr>
        <w:tc>
          <w:tcPr>
            <w:tcW w:w="1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0" w:type="dxa"/>
            <w:vAlign w:val="bottom"/>
          </w:tcPr>
          <w:p>
            <w:pPr>
              <w:spacing w:after="0"/>
              <w:rPr>
                <w:sz w:val="4"/>
                <w:szCs w:val="4"/>
                <w:color w:val="auto"/>
              </w:rPr>
            </w:pPr>
          </w:p>
        </w:tc>
      </w:tr>
      <w:tr>
        <w:trPr>
          <w:trHeight w:val="148"/>
        </w:trPr>
        <w:tc>
          <w:tcPr>
            <w:tcW w:w="180" w:type="dxa"/>
            <w:vAlign w:val="bottom"/>
            <w:shd w:val="clear" w:color="auto" w:fill="ECEBEB"/>
          </w:tcPr>
          <w:p>
            <w:pPr>
              <w:spacing w:after="0"/>
              <w:rPr>
                <w:sz w:val="12"/>
                <w:szCs w:val="12"/>
                <w:color w:val="auto"/>
              </w:rPr>
            </w:pPr>
          </w:p>
        </w:tc>
        <w:tc>
          <w:tcPr>
            <w:tcW w:w="2820" w:type="dxa"/>
            <w:vAlign w:val="bottom"/>
            <w:shd w:val="clear" w:color="auto" w:fill="ECEBEB"/>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shd w:val="clear" w:color="auto" w:fill="ECEBEB"/>
          </w:tcPr>
          <w:p>
            <w:pPr>
              <w:spacing w:after="0"/>
              <w:rPr>
                <w:sz w:val="12"/>
                <w:szCs w:val="12"/>
                <w:color w:val="auto"/>
              </w:rPr>
            </w:pPr>
          </w:p>
        </w:tc>
        <w:tc>
          <w:tcPr>
            <w:tcW w:w="2800" w:type="dxa"/>
            <w:vAlign w:val="bottom"/>
            <w:shd w:val="clear" w:color="auto" w:fill="ECEBEB"/>
          </w:tcPr>
          <w:p>
            <w:pPr>
              <w:spacing w:after="0"/>
              <w:rPr>
                <w:sz w:val="12"/>
                <w:szCs w:val="12"/>
                <w:color w:val="auto"/>
              </w:rPr>
            </w:pPr>
          </w:p>
        </w:tc>
      </w:tr>
    </w:tbl>
    <w:p>
      <w:pPr>
        <w:spacing w:after="0" w:line="20" w:lineRule="exact"/>
        <w:rPr>
          <w:sz w:val="20"/>
          <w:szCs w:val="20"/>
          <w:color w:val="auto"/>
        </w:rPr>
      </w:pPr>
    </w:p>
    <w:tbl>
      <w:tblPr>
        <w:tblLayout w:type="fixed"/>
        <w:tblInd w:w="900" w:type="dxa"/>
        <w:tblCellMar>
          <w:top w:w="0" w:type="dxa"/>
          <w:left w:w="0" w:type="dxa"/>
          <w:bottom w:w="0" w:type="dxa"/>
          <w:right w:w="0" w:type="dxa"/>
        </w:tblCellMar>
      </w:tblPr>
      <w:tr>
        <w:trPr>
          <w:trHeight w:val="695"/>
        </w:trPr>
        <w:tc>
          <w:tcPr>
            <w:tcW w:w="2820" w:type="dxa"/>
            <w:vAlign w:val="bottom"/>
            <w:shd w:val="clear" w:color="auto" w:fill="ECEBEB"/>
          </w:tcPr>
          <w:p>
            <w:pPr>
              <w:ind w:left="680"/>
              <w:spacing w:after="0"/>
              <w:rPr>
                <w:sz w:val="20"/>
                <w:szCs w:val="20"/>
                <w:color w:val="auto"/>
              </w:rPr>
            </w:pPr>
            <w:r>
              <w:rPr>
                <w:rFonts w:ascii="Arial" w:cs="Arial" w:eastAsia="Arial" w:hAnsi="Arial"/>
                <w:sz w:val="16"/>
                <w:szCs w:val="16"/>
                <w:color w:val="auto"/>
              </w:rPr>
              <w:t>Risk Management</w:t>
            </w:r>
          </w:p>
        </w:tc>
        <w:tc>
          <w:tcPr>
            <w:tcW w:w="240" w:type="dxa"/>
            <w:vAlign w:val="bottom"/>
          </w:tcPr>
          <w:p>
            <w:pPr>
              <w:spacing w:after="0"/>
              <w:rPr>
                <w:sz w:val="24"/>
                <w:szCs w:val="24"/>
                <w:color w:val="auto"/>
              </w:rPr>
            </w:pPr>
          </w:p>
        </w:tc>
        <w:tc>
          <w:tcPr>
            <w:tcW w:w="2800" w:type="dxa"/>
            <w:vAlign w:val="bottom"/>
            <w:shd w:val="clear" w:color="auto" w:fill="ECEBEB"/>
          </w:tcPr>
          <w:p>
            <w:pPr>
              <w:ind w:left="880"/>
              <w:spacing w:after="0"/>
              <w:rPr>
                <w:sz w:val="20"/>
                <w:szCs w:val="20"/>
                <w:color w:val="auto"/>
              </w:rPr>
            </w:pPr>
            <w:r>
              <w:rPr>
                <w:rFonts w:ascii="Arial" w:cs="Arial" w:eastAsia="Arial" w:hAnsi="Arial"/>
                <w:sz w:val="16"/>
                <w:szCs w:val="16"/>
                <w:color w:val="auto"/>
              </w:rPr>
              <w:t>Technology</w:t>
            </w:r>
          </w:p>
        </w:tc>
      </w:tr>
      <w:tr>
        <w:trPr>
          <w:trHeight w:val="608"/>
        </w:trPr>
        <w:tc>
          <w:tcPr>
            <w:tcW w:w="2820" w:type="dxa"/>
            <w:vAlign w:val="bottom"/>
            <w:shd w:val="clear" w:color="auto" w:fill="ECEBEB"/>
          </w:tcPr>
          <w:p>
            <w:pPr>
              <w:ind w:left="660"/>
              <w:spacing w:after="0"/>
              <w:rPr>
                <w:sz w:val="20"/>
                <w:szCs w:val="20"/>
                <w:color w:val="auto"/>
              </w:rPr>
            </w:pPr>
            <w:r>
              <w:rPr>
                <w:rFonts w:ascii="Arial" w:cs="Arial" w:eastAsia="Arial" w:hAnsi="Arial"/>
                <w:sz w:val="43"/>
                <w:szCs w:val="43"/>
                <w:b w:val="1"/>
                <w:bCs w:val="1"/>
                <w:color w:val="0956FF"/>
              </w:rPr>
              <w:t>11 of 11</w:t>
            </w:r>
          </w:p>
        </w:tc>
        <w:tc>
          <w:tcPr>
            <w:tcW w:w="240" w:type="dxa"/>
            <w:vAlign w:val="bottom"/>
          </w:tcPr>
          <w:p>
            <w:pPr>
              <w:spacing w:after="0"/>
              <w:rPr>
                <w:sz w:val="24"/>
                <w:szCs w:val="24"/>
                <w:color w:val="auto"/>
              </w:rPr>
            </w:pPr>
          </w:p>
        </w:tc>
        <w:tc>
          <w:tcPr>
            <w:tcW w:w="2800" w:type="dxa"/>
            <w:vAlign w:val="bottom"/>
            <w:shd w:val="clear" w:color="auto" w:fill="ECEBEB"/>
          </w:tcPr>
          <w:p>
            <w:pPr>
              <w:ind w:left="680"/>
              <w:spacing w:after="0"/>
              <w:rPr>
                <w:sz w:val="20"/>
                <w:szCs w:val="20"/>
                <w:color w:val="auto"/>
              </w:rPr>
            </w:pPr>
            <w:r>
              <w:rPr>
                <w:rFonts w:ascii="Arial" w:cs="Arial" w:eastAsia="Arial" w:hAnsi="Arial"/>
                <w:sz w:val="43"/>
                <w:szCs w:val="43"/>
                <w:b w:val="1"/>
                <w:bCs w:val="1"/>
                <w:color w:val="0956FF"/>
              </w:rPr>
              <w:t>8 of 11</w:t>
            </w:r>
          </w:p>
        </w:tc>
      </w:tr>
      <w:tr>
        <w:trPr>
          <w:trHeight w:val="135"/>
        </w:trPr>
        <w:tc>
          <w:tcPr>
            <w:tcW w:w="2820" w:type="dxa"/>
            <w:vAlign w:val="bottom"/>
            <w:shd w:val="clear" w:color="auto" w:fill="ECEBEB"/>
          </w:tcPr>
          <w:p>
            <w:pPr>
              <w:spacing w:after="0"/>
              <w:rPr>
                <w:sz w:val="11"/>
                <w:szCs w:val="11"/>
                <w:color w:val="auto"/>
              </w:rPr>
            </w:pPr>
          </w:p>
        </w:tc>
        <w:tc>
          <w:tcPr>
            <w:tcW w:w="240" w:type="dxa"/>
            <w:vAlign w:val="bottom"/>
          </w:tcPr>
          <w:p>
            <w:pPr>
              <w:spacing w:after="0"/>
              <w:rPr>
                <w:sz w:val="11"/>
                <w:szCs w:val="11"/>
                <w:color w:val="auto"/>
              </w:rPr>
            </w:pPr>
          </w:p>
        </w:tc>
        <w:tc>
          <w:tcPr>
            <w:tcW w:w="2800" w:type="dxa"/>
            <w:vAlign w:val="bottom"/>
            <w:shd w:val="clear" w:color="auto" w:fill="ECEBEB"/>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2">
            <w:col w:w="2300" w:space="20"/>
            <w:col w:w="6760"/>
          </w:cols>
          <w:pgMar w:left="1400" w:top="65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9080"/>
          </w:cols>
          <w:pgMar w:left="1400" w:top="657" w:right="141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Experience and Expertise</w:t>
      </w:r>
    </w:p>
    <w:p>
      <w:pPr>
        <w:spacing w:after="0" w:line="132"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The skills matrix below summarizes certain skills (and qualifications) used by the Governance Committee in their evaluation of director nominees. To supplement this analysis, the Board undertakes an annual self-evaluation to ensure that the Board possesses the requisite skills and expertise to oversee the Company’s opportunities, priorities, and risks. The Governance Committee leads this effort by asking directors to consider their expertise across key subject matter areas identified in the skills key on page 8. Upon the conclusion of the annual evaluation, the Board determined that it continues to maintain strong expertise and possesses a broad range of skills, qualifications, and attributes that will support the Company’s strategy. Results of the Board’s self-evaluation are represented on the skills matrix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Cyber</w:t>
            </w:r>
          </w:p>
        </w:tc>
        <w:tc>
          <w:tcPr>
            <w:tcW w:w="1160" w:type="dxa"/>
            <w:vAlign w:val="bottom"/>
          </w:tcPr>
          <w:p>
            <w:pPr>
              <w:spacing w:after="0"/>
              <w:rPr>
                <w:sz w:val="19"/>
                <w:szCs w:val="19"/>
                <w:color w:val="auto"/>
              </w:rPr>
            </w:pP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19"/>
                <w:szCs w:val="19"/>
                <w:color w:val="auto"/>
              </w:rPr>
            </w:pP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Environmental</w:t>
            </w:r>
          </w:p>
        </w:tc>
        <w:tc>
          <w:tcPr>
            <w:tcW w:w="1160" w:type="dxa"/>
            <w:vAlign w:val="bottom"/>
          </w:tcPr>
          <w:p>
            <w:pPr>
              <w:spacing w:after="0"/>
              <w:rPr>
                <w:sz w:val="24"/>
                <w:szCs w:val="24"/>
                <w:color w:val="auto"/>
              </w:rPr>
            </w:pP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Finance</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Global</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Governance</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Industry</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Manufacturing</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24"/>
                <w:szCs w:val="24"/>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Marketing</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24"/>
                <w:szCs w:val="24"/>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spacing w:after="0"/>
              <w:rPr>
                <w:sz w:val="24"/>
                <w:szCs w:val="24"/>
                <w:color w:val="auto"/>
              </w:rPr>
            </w:pP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Public Company CEO</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Risk Management</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Social</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r>
      <w:tr>
        <w:trPr>
          <w:trHeight w:val="183"/>
        </w:trPr>
        <w:tc>
          <w:tcPr>
            <w:tcW w:w="3220" w:type="dxa"/>
            <w:vAlign w:val="bottom"/>
            <w:tcBorders>
              <w:bottom w:val="single" w:sz="8" w:color="D8D7D7"/>
            </w:tcBorders>
          </w:tcPr>
          <w:p>
            <w:pPr>
              <w:spacing w:after="0"/>
              <w:rPr>
                <w:sz w:val="15"/>
                <w:szCs w:val="15"/>
                <w:color w:val="auto"/>
              </w:rPr>
            </w:pPr>
          </w:p>
        </w:tc>
        <w:tc>
          <w:tcPr>
            <w:tcW w:w="1160" w:type="dxa"/>
            <w:vAlign w:val="bottom"/>
            <w:tcBorders>
              <w:bottom w:val="single" w:sz="8" w:color="D8D7D7"/>
            </w:tcBorders>
          </w:tcPr>
          <w:p>
            <w:pPr>
              <w:spacing w:after="0"/>
              <w:rPr>
                <w:sz w:val="15"/>
                <w:szCs w:val="15"/>
                <w:color w:val="auto"/>
              </w:rPr>
            </w:pPr>
          </w:p>
        </w:tc>
        <w:tc>
          <w:tcPr>
            <w:tcW w:w="520" w:type="dxa"/>
            <w:vAlign w:val="bottom"/>
            <w:tcBorders>
              <w:bottom w:val="single" w:sz="8" w:color="D8D7D7"/>
            </w:tcBorders>
          </w:tcPr>
          <w:p>
            <w:pPr>
              <w:spacing w:after="0"/>
              <w:rPr>
                <w:sz w:val="15"/>
                <w:szCs w:val="15"/>
                <w:color w:val="auto"/>
              </w:rPr>
            </w:pPr>
          </w:p>
        </w:tc>
        <w:tc>
          <w:tcPr>
            <w:tcW w:w="50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8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c>
          <w:tcPr>
            <w:tcW w:w="440" w:type="dxa"/>
            <w:vAlign w:val="bottom"/>
            <w:tcBorders>
              <w:bottom w:val="single" w:sz="8" w:color="D8D7D7"/>
            </w:tcBorders>
          </w:tcPr>
          <w:p>
            <w:pPr>
              <w:spacing w:after="0"/>
              <w:rPr>
                <w:sz w:val="15"/>
                <w:szCs w:val="15"/>
                <w:color w:val="auto"/>
              </w:rPr>
            </w:pPr>
          </w:p>
        </w:tc>
        <w:tc>
          <w:tcPr>
            <w:tcW w:w="460" w:type="dxa"/>
            <w:vAlign w:val="bottom"/>
            <w:tcBorders>
              <w:bottom w:val="single" w:sz="8" w:color="D8D7D7"/>
            </w:tcBorders>
          </w:tcPr>
          <w:p>
            <w:pPr>
              <w:spacing w:after="0"/>
              <w:rPr>
                <w:sz w:val="15"/>
                <w:szCs w:val="15"/>
                <w:color w:val="auto"/>
              </w:rPr>
            </w:pPr>
          </w:p>
        </w:tc>
      </w:tr>
      <w:tr>
        <w:trPr>
          <w:trHeight w:val="445"/>
        </w:trPr>
        <w:tc>
          <w:tcPr>
            <w:tcW w:w="3220" w:type="dxa"/>
            <w:vAlign w:val="bottom"/>
          </w:tcPr>
          <w:p>
            <w:pPr>
              <w:ind w:left="680"/>
              <w:spacing w:after="0"/>
              <w:rPr>
                <w:sz w:val="20"/>
                <w:szCs w:val="20"/>
                <w:color w:val="auto"/>
              </w:rPr>
            </w:pPr>
            <w:r>
              <w:rPr>
                <w:rFonts w:ascii="Arial" w:cs="Arial" w:eastAsia="Arial" w:hAnsi="Arial"/>
                <w:sz w:val="16"/>
                <w:szCs w:val="16"/>
                <w:b w:val="1"/>
                <w:bCs w:val="1"/>
                <w:color w:val="0956FF"/>
              </w:rPr>
              <w:t>Technology</w:t>
            </w:r>
          </w:p>
        </w:tc>
        <w:tc>
          <w:tcPr>
            <w:tcW w:w="11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c>
          <w:tcPr>
            <w:tcW w:w="520" w:type="dxa"/>
            <w:vAlign w:val="bottom"/>
          </w:tcPr>
          <w:p>
            <w:pPr>
              <w:jc w:val="right"/>
              <w:ind w:right="141"/>
              <w:spacing w:after="0"/>
              <w:rPr>
                <w:sz w:val="20"/>
                <w:szCs w:val="20"/>
                <w:color w:val="auto"/>
              </w:rPr>
            </w:pPr>
            <w:r>
              <w:rPr>
                <w:rFonts w:ascii="Arial" w:cs="Arial" w:eastAsia="Arial" w:hAnsi="Arial"/>
                <w:sz w:val="12"/>
                <w:szCs w:val="12"/>
                <w:b w:val="1"/>
                <w:bCs w:val="1"/>
                <w:color w:val="0956FF"/>
              </w:rPr>
              <w:t>¢</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80" w:type="dxa"/>
            <w:vAlign w:val="bottom"/>
          </w:tcPr>
          <w:p>
            <w:pPr>
              <w:jc w:val="right"/>
              <w:ind w:right="12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spacing w:after="0"/>
              <w:rPr>
                <w:sz w:val="24"/>
                <w:szCs w:val="24"/>
                <w:color w:val="auto"/>
              </w:rPr>
            </w:pPr>
          </w:p>
        </w:tc>
        <w:tc>
          <w:tcPr>
            <w:tcW w:w="440" w:type="dxa"/>
            <w:vAlign w:val="bottom"/>
          </w:tcPr>
          <w:p>
            <w:pPr>
              <w:jc w:val="right"/>
              <w:ind w:right="81"/>
              <w:spacing w:after="0"/>
              <w:rPr>
                <w:sz w:val="20"/>
                <w:szCs w:val="20"/>
                <w:color w:val="auto"/>
              </w:rPr>
            </w:pPr>
            <w:r>
              <w:rPr>
                <w:rFonts w:ascii="Arial" w:cs="Arial" w:eastAsia="Arial" w:hAnsi="Arial"/>
                <w:sz w:val="12"/>
                <w:szCs w:val="12"/>
                <w:b w:val="1"/>
                <w:bCs w:val="1"/>
                <w:color w:val="0956FF"/>
              </w:rPr>
              <w:t>¢</w:t>
            </w:r>
          </w:p>
        </w:tc>
        <w:tc>
          <w:tcPr>
            <w:tcW w:w="460" w:type="dxa"/>
            <w:vAlign w:val="bottom"/>
          </w:tcPr>
          <w:p>
            <w:pPr>
              <w:jc w:val="right"/>
              <w:ind w:right="101"/>
              <w:spacing w:after="0"/>
              <w:rPr>
                <w:sz w:val="20"/>
                <w:szCs w:val="20"/>
                <w:color w:val="auto"/>
              </w:rPr>
            </w:pPr>
            <w:r>
              <w:rPr>
                <w:rFonts w:ascii="Arial" w:cs="Arial" w:eastAsia="Arial" w:hAnsi="Arial"/>
                <w:sz w:val="12"/>
                <w:szCs w:val="12"/>
                <w:b w:val="1"/>
                <w:bCs w:val="1"/>
                <w:color w:val="0956FF"/>
              </w:rPr>
              <w:t>¢</w:t>
            </w:r>
          </w:p>
        </w:tc>
      </w:tr>
      <w:tr>
        <w:trPr>
          <w:trHeight w:val="183"/>
        </w:trPr>
        <w:tc>
          <w:tcPr>
            <w:tcW w:w="3220" w:type="dxa"/>
            <w:vAlign w:val="bottom"/>
            <w:tcBorders>
              <w:bottom w:val="single" w:sz="8" w:color="0956FF"/>
            </w:tcBorders>
          </w:tcPr>
          <w:p>
            <w:pPr>
              <w:spacing w:after="0"/>
              <w:rPr>
                <w:sz w:val="15"/>
                <w:szCs w:val="15"/>
                <w:color w:val="auto"/>
              </w:rPr>
            </w:pPr>
          </w:p>
        </w:tc>
        <w:tc>
          <w:tcPr>
            <w:tcW w:w="1160" w:type="dxa"/>
            <w:vAlign w:val="bottom"/>
            <w:tcBorders>
              <w:bottom w:val="single" w:sz="8" w:color="0956FF"/>
            </w:tcBorders>
          </w:tcPr>
          <w:p>
            <w:pPr>
              <w:spacing w:after="0"/>
              <w:rPr>
                <w:sz w:val="15"/>
                <w:szCs w:val="15"/>
                <w:color w:val="auto"/>
              </w:rPr>
            </w:pPr>
          </w:p>
        </w:tc>
        <w:tc>
          <w:tcPr>
            <w:tcW w:w="520" w:type="dxa"/>
            <w:vAlign w:val="bottom"/>
            <w:tcBorders>
              <w:bottom w:val="single" w:sz="8" w:color="0956FF"/>
            </w:tcBorders>
          </w:tcPr>
          <w:p>
            <w:pPr>
              <w:spacing w:after="0"/>
              <w:rPr>
                <w:sz w:val="15"/>
                <w:szCs w:val="15"/>
                <w:color w:val="auto"/>
              </w:rPr>
            </w:pPr>
          </w:p>
        </w:tc>
        <w:tc>
          <w:tcPr>
            <w:tcW w:w="500" w:type="dxa"/>
            <w:vAlign w:val="bottom"/>
            <w:tcBorders>
              <w:bottom w:val="single" w:sz="8" w:color="0956FF"/>
            </w:tcBorders>
          </w:tcPr>
          <w:p>
            <w:pPr>
              <w:spacing w:after="0"/>
              <w:rPr>
                <w:sz w:val="15"/>
                <w:szCs w:val="15"/>
                <w:color w:val="auto"/>
              </w:rPr>
            </w:pPr>
          </w:p>
        </w:tc>
        <w:tc>
          <w:tcPr>
            <w:tcW w:w="460" w:type="dxa"/>
            <w:vAlign w:val="bottom"/>
            <w:tcBorders>
              <w:bottom w:val="single" w:sz="8" w:color="0956FF"/>
            </w:tcBorders>
          </w:tcPr>
          <w:p>
            <w:pPr>
              <w:spacing w:after="0"/>
              <w:rPr>
                <w:sz w:val="15"/>
                <w:szCs w:val="15"/>
                <w:color w:val="auto"/>
              </w:rPr>
            </w:pPr>
          </w:p>
        </w:tc>
        <w:tc>
          <w:tcPr>
            <w:tcW w:w="480" w:type="dxa"/>
            <w:vAlign w:val="bottom"/>
            <w:tcBorders>
              <w:bottom w:val="single" w:sz="8" w:color="0956FF"/>
            </w:tcBorders>
          </w:tcPr>
          <w:p>
            <w:pPr>
              <w:spacing w:after="0"/>
              <w:rPr>
                <w:sz w:val="15"/>
                <w:szCs w:val="15"/>
                <w:color w:val="auto"/>
              </w:rPr>
            </w:pPr>
          </w:p>
        </w:tc>
        <w:tc>
          <w:tcPr>
            <w:tcW w:w="480" w:type="dxa"/>
            <w:vAlign w:val="bottom"/>
            <w:tcBorders>
              <w:bottom w:val="single" w:sz="8" w:color="0956FF"/>
            </w:tcBorders>
          </w:tcPr>
          <w:p>
            <w:pPr>
              <w:spacing w:after="0"/>
              <w:rPr>
                <w:sz w:val="15"/>
                <w:szCs w:val="15"/>
                <w:color w:val="auto"/>
              </w:rPr>
            </w:pPr>
          </w:p>
        </w:tc>
        <w:tc>
          <w:tcPr>
            <w:tcW w:w="460" w:type="dxa"/>
            <w:vAlign w:val="bottom"/>
            <w:tcBorders>
              <w:bottom w:val="single" w:sz="8" w:color="0956FF"/>
            </w:tcBorders>
          </w:tcPr>
          <w:p>
            <w:pPr>
              <w:spacing w:after="0"/>
              <w:rPr>
                <w:sz w:val="15"/>
                <w:szCs w:val="15"/>
                <w:color w:val="auto"/>
              </w:rPr>
            </w:pPr>
          </w:p>
        </w:tc>
        <w:tc>
          <w:tcPr>
            <w:tcW w:w="440" w:type="dxa"/>
            <w:vAlign w:val="bottom"/>
            <w:tcBorders>
              <w:bottom w:val="single" w:sz="8" w:color="0956FF"/>
            </w:tcBorders>
          </w:tcPr>
          <w:p>
            <w:pPr>
              <w:spacing w:after="0"/>
              <w:rPr>
                <w:sz w:val="15"/>
                <w:szCs w:val="15"/>
                <w:color w:val="auto"/>
              </w:rPr>
            </w:pPr>
          </w:p>
        </w:tc>
        <w:tc>
          <w:tcPr>
            <w:tcW w:w="460" w:type="dxa"/>
            <w:vAlign w:val="bottom"/>
            <w:tcBorders>
              <w:bottom w:val="single" w:sz="8" w:color="0956FF"/>
            </w:tcBorders>
          </w:tcPr>
          <w:p>
            <w:pPr>
              <w:spacing w:after="0"/>
              <w:rPr>
                <w:sz w:val="15"/>
                <w:szCs w:val="15"/>
                <w:color w:val="auto"/>
              </w:rPr>
            </w:pPr>
          </w:p>
        </w:tc>
        <w:tc>
          <w:tcPr>
            <w:tcW w:w="440" w:type="dxa"/>
            <w:vAlign w:val="bottom"/>
            <w:tcBorders>
              <w:bottom w:val="single" w:sz="8" w:color="0956FF"/>
            </w:tcBorders>
          </w:tcPr>
          <w:p>
            <w:pPr>
              <w:spacing w:after="0"/>
              <w:rPr>
                <w:sz w:val="15"/>
                <w:szCs w:val="15"/>
                <w:color w:val="auto"/>
              </w:rPr>
            </w:pPr>
          </w:p>
        </w:tc>
        <w:tc>
          <w:tcPr>
            <w:tcW w:w="460" w:type="dxa"/>
            <w:vAlign w:val="bottom"/>
            <w:tcBorders>
              <w:bottom w:val="single" w:sz="8" w:color="0956FF"/>
            </w:tcBorders>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20"/>
        <w:spacing w:after="0"/>
        <w:tabs>
          <w:tab w:leader="none" w:pos="89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7</w:t>
      </w:r>
    </w:p>
    <w:p>
      <w:pPr>
        <w:sectPr>
          <w:pgSz w:w="11900" w:h="16838" w:orient="portrait"/>
          <w:cols w:equalWidth="0" w:num="1">
            <w:col w:w="9100"/>
          </w:cols>
          <w:pgMar w:left="1400" w:top="657" w:right="13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Skills Key</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Cyber</w:t>
            </w:r>
          </w:p>
        </w:tc>
        <w:tc>
          <w:tcPr>
            <w:tcW w:w="7200" w:type="dxa"/>
            <w:vAlign w:val="bottom"/>
          </w:tcPr>
          <w:p>
            <w:pPr>
              <w:ind w:left="140"/>
              <w:spacing w:after="0"/>
              <w:rPr>
                <w:sz w:val="20"/>
                <w:szCs w:val="20"/>
                <w:color w:val="auto"/>
              </w:rPr>
            </w:pPr>
            <w:r>
              <w:rPr>
                <w:rFonts w:ascii="Arial" w:cs="Arial" w:eastAsia="Arial" w:hAnsi="Arial"/>
                <w:sz w:val="16"/>
                <w:szCs w:val="16"/>
                <w:color w:val="auto"/>
              </w:rPr>
              <w:t>Experience managing cybersecurity security risks or understanding the cybersecurity</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threat landscape</w:t>
            </w:r>
          </w:p>
        </w:tc>
      </w:tr>
      <w:tr>
        <w:trPr>
          <w:trHeight w:val="56"/>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0"/>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Environmental</w:t>
            </w:r>
          </w:p>
        </w:tc>
        <w:tc>
          <w:tcPr>
            <w:tcW w:w="7200" w:type="dxa"/>
            <w:vAlign w:val="bottom"/>
          </w:tcPr>
          <w:p>
            <w:pPr>
              <w:ind w:left="140"/>
              <w:spacing w:after="0"/>
              <w:rPr>
                <w:sz w:val="20"/>
                <w:szCs w:val="20"/>
                <w:color w:val="auto"/>
              </w:rPr>
            </w:pPr>
            <w:r>
              <w:rPr>
                <w:rFonts w:ascii="Arial" w:cs="Arial" w:eastAsia="Arial" w:hAnsi="Arial"/>
                <w:sz w:val="16"/>
                <w:szCs w:val="16"/>
                <w:color w:val="auto"/>
              </w:rPr>
              <w:t>Expertise with environmental matters, including greenhouse gas (“GHG”) emissions, raw</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material sources, waste and hazardous materials management, product design and lifecycle</w:t>
            </w:r>
          </w:p>
        </w:tc>
      </w:tr>
      <w:tr>
        <w:trPr>
          <w:trHeight w:val="216"/>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management, water and wastewater management, and/or energy efficiency management</w:t>
            </w:r>
          </w:p>
        </w:tc>
      </w:tr>
      <w:tr>
        <w:trPr>
          <w:trHeight w:val="56"/>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0"/>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Finance</w:t>
            </w:r>
          </w:p>
        </w:tc>
        <w:tc>
          <w:tcPr>
            <w:tcW w:w="7200" w:type="dxa"/>
            <w:vAlign w:val="bottom"/>
          </w:tcPr>
          <w:p>
            <w:pPr>
              <w:ind w:left="140"/>
              <w:spacing w:after="0"/>
              <w:rPr>
                <w:sz w:val="20"/>
                <w:szCs w:val="20"/>
                <w:color w:val="auto"/>
              </w:rPr>
            </w:pPr>
            <w:r>
              <w:rPr>
                <w:rFonts w:ascii="Arial" w:cs="Arial" w:eastAsia="Arial" w:hAnsi="Arial"/>
                <w:sz w:val="16"/>
                <w:szCs w:val="16"/>
                <w:color w:val="auto"/>
              </w:rPr>
              <w:t>Expertise in complex financial and/or accounting matters to evaluate financial statements,</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capital structure and allocation, and business plans</w:t>
            </w:r>
          </w:p>
        </w:tc>
      </w:tr>
      <w:tr>
        <w:trPr>
          <w:trHeight w:val="56"/>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7"/>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Global</w:t>
            </w:r>
          </w:p>
        </w:tc>
        <w:tc>
          <w:tcPr>
            <w:tcW w:w="7200" w:type="dxa"/>
            <w:vAlign w:val="bottom"/>
          </w:tcPr>
          <w:p>
            <w:pPr>
              <w:ind w:left="140"/>
              <w:spacing w:after="0"/>
              <w:rPr>
                <w:sz w:val="20"/>
                <w:szCs w:val="20"/>
                <w:color w:val="auto"/>
              </w:rPr>
            </w:pPr>
            <w:r>
              <w:rPr>
                <w:rFonts w:ascii="Arial" w:cs="Arial" w:eastAsia="Arial" w:hAnsi="Arial"/>
                <w:sz w:val="16"/>
                <w:szCs w:val="16"/>
                <w:color w:val="auto"/>
              </w:rPr>
              <w:t>Relevant experience with business and cultural perspectives</w:t>
            </w:r>
          </w:p>
        </w:tc>
      </w:tr>
      <w:tr>
        <w:trPr>
          <w:trHeight w:val="48"/>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0"/>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Governance</w:t>
            </w:r>
          </w:p>
        </w:tc>
        <w:tc>
          <w:tcPr>
            <w:tcW w:w="7200" w:type="dxa"/>
            <w:vAlign w:val="bottom"/>
          </w:tcPr>
          <w:p>
            <w:pPr>
              <w:ind w:left="140"/>
              <w:spacing w:after="0"/>
              <w:rPr>
                <w:sz w:val="20"/>
                <w:szCs w:val="20"/>
                <w:color w:val="auto"/>
              </w:rPr>
            </w:pPr>
            <w:r>
              <w:rPr>
                <w:rFonts w:ascii="Arial" w:cs="Arial" w:eastAsia="Arial" w:hAnsi="Arial"/>
                <w:sz w:val="16"/>
                <w:szCs w:val="16"/>
                <w:color w:val="auto"/>
              </w:rPr>
              <w:t>Experience with public company board governance, legal and regulatory matters, executive</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compensation, compliance and business ethics, anti-competitive practices, risk management,</w:t>
            </w:r>
          </w:p>
        </w:tc>
      </w:tr>
      <w:tr>
        <w:trPr>
          <w:trHeight w:val="216"/>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and/or reporting principles and frameworks</w:t>
            </w:r>
          </w:p>
        </w:tc>
      </w:tr>
      <w:tr>
        <w:trPr>
          <w:trHeight w:val="56"/>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0"/>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Industry</w:t>
            </w:r>
          </w:p>
        </w:tc>
        <w:tc>
          <w:tcPr>
            <w:tcW w:w="7200" w:type="dxa"/>
            <w:vAlign w:val="bottom"/>
          </w:tcPr>
          <w:p>
            <w:pPr>
              <w:ind w:left="140"/>
              <w:spacing w:after="0"/>
              <w:rPr>
                <w:sz w:val="20"/>
                <w:szCs w:val="20"/>
                <w:color w:val="auto"/>
              </w:rPr>
            </w:pPr>
            <w:r>
              <w:rPr>
                <w:rFonts w:ascii="Arial" w:cs="Arial" w:eastAsia="Arial" w:hAnsi="Arial"/>
                <w:sz w:val="16"/>
                <w:szCs w:val="16"/>
                <w:color w:val="auto"/>
              </w:rPr>
              <w:t>Expertise in key businesses and proven knowledge of key customers and risks associated with</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the automotive industry</w:t>
            </w:r>
          </w:p>
        </w:tc>
      </w:tr>
      <w:tr>
        <w:trPr>
          <w:trHeight w:val="56"/>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0"/>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Manufacturing</w:t>
            </w:r>
          </w:p>
        </w:tc>
        <w:tc>
          <w:tcPr>
            <w:tcW w:w="7200" w:type="dxa"/>
            <w:vAlign w:val="bottom"/>
          </w:tcPr>
          <w:p>
            <w:pPr>
              <w:ind w:left="140"/>
              <w:spacing w:after="0"/>
              <w:rPr>
                <w:sz w:val="20"/>
                <w:szCs w:val="20"/>
                <w:color w:val="auto"/>
              </w:rPr>
            </w:pPr>
            <w:r>
              <w:rPr>
                <w:rFonts w:ascii="Arial" w:cs="Arial" w:eastAsia="Arial" w:hAnsi="Arial"/>
                <w:sz w:val="16"/>
                <w:szCs w:val="16"/>
                <w:color w:val="auto"/>
              </w:rPr>
              <w:t>Experience in, or experience in a senior management position responsible for, significant</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manufacturing operations</w:t>
            </w:r>
          </w:p>
        </w:tc>
      </w:tr>
      <w:tr>
        <w:trPr>
          <w:trHeight w:val="56"/>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0"/>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Marketing</w:t>
            </w:r>
          </w:p>
        </w:tc>
        <w:tc>
          <w:tcPr>
            <w:tcW w:w="7200" w:type="dxa"/>
            <w:vAlign w:val="bottom"/>
          </w:tcPr>
          <w:p>
            <w:pPr>
              <w:ind w:left="140"/>
              <w:spacing w:after="0"/>
              <w:rPr>
                <w:sz w:val="20"/>
                <w:szCs w:val="20"/>
                <w:color w:val="auto"/>
              </w:rPr>
            </w:pPr>
            <w:r>
              <w:rPr>
                <w:rFonts w:ascii="Arial" w:cs="Arial" w:eastAsia="Arial" w:hAnsi="Arial"/>
                <w:sz w:val="16"/>
                <w:szCs w:val="16"/>
                <w:color w:val="auto"/>
              </w:rPr>
              <w:t>Expertise regarding brand maintenance and expansion, product awareness, customer</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engagement, digital marketing, and/or social media experience</w:t>
            </w:r>
          </w:p>
        </w:tc>
      </w:tr>
      <w:tr>
        <w:trPr>
          <w:trHeight w:val="56"/>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0"/>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Public Company CEO</w:t>
            </w:r>
          </w:p>
        </w:tc>
        <w:tc>
          <w:tcPr>
            <w:tcW w:w="7200" w:type="dxa"/>
            <w:vAlign w:val="bottom"/>
          </w:tcPr>
          <w:p>
            <w:pPr>
              <w:ind w:left="140"/>
              <w:spacing w:after="0"/>
              <w:rPr>
                <w:sz w:val="20"/>
                <w:szCs w:val="20"/>
                <w:color w:val="auto"/>
              </w:rPr>
            </w:pPr>
            <w:r>
              <w:rPr>
                <w:rFonts w:ascii="Arial" w:cs="Arial" w:eastAsia="Arial" w:hAnsi="Arial"/>
                <w:sz w:val="16"/>
                <w:szCs w:val="16"/>
                <w:color w:val="auto"/>
              </w:rPr>
              <w:t>Experience over an extended period, especially as CEO, extraordinary leadership qualities, and</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the ability to identify and develop those qualities in others</w:t>
            </w:r>
          </w:p>
        </w:tc>
      </w:tr>
      <w:tr>
        <w:trPr>
          <w:trHeight w:val="56"/>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7"/>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Risk Management</w:t>
            </w:r>
          </w:p>
        </w:tc>
        <w:tc>
          <w:tcPr>
            <w:tcW w:w="7200" w:type="dxa"/>
            <w:vAlign w:val="bottom"/>
          </w:tcPr>
          <w:p>
            <w:pPr>
              <w:ind w:left="140"/>
              <w:spacing w:after="0"/>
              <w:rPr>
                <w:sz w:val="20"/>
                <w:szCs w:val="20"/>
                <w:color w:val="auto"/>
              </w:rPr>
            </w:pPr>
            <w:r>
              <w:rPr>
                <w:rFonts w:ascii="Arial" w:cs="Arial" w:eastAsia="Arial" w:hAnsi="Arial"/>
                <w:sz w:val="16"/>
                <w:szCs w:val="16"/>
                <w:color w:val="auto"/>
              </w:rPr>
              <w:t>Relevant experience in risk management and oversight</w:t>
            </w:r>
          </w:p>
        </w:tc>
      </w:tr>
      <w:tr>
        <w:trPr>
          <w:trHeight w:val="61"/>
        </w:trPr>
        <w:tc>
          <w:tcPr>
            <w:tcW w:w="1880" w:type="dxa"/>
            <w:vAlign w:val="bottom"/>
            <w:tcBorders>
              <w:bottom w:val="single" w:sz="8" w:color="D8D7D7"/>
            </w:tcBorders>
          </w:tcPr>
          <w:p>
            <w:pPr>
              <w:spacing w:after="0"/>
              <w:rPr>
                <w:sz w:val="5"/>
                <w:szCs w:val="5"/>
                <w:color w:val="auto"/>
              </w:rPr>
            </w:pPr>
          </w:p>
        </w:tc>
        <w:tc>
          <w:tcPr>
            <w:tcW w:w="7200" w:type="dxa"/>
            <w:vAlign w:val="bottom"/>
            <w:tcBorders>
              <w:bottom w:val="single" w:sz="8" w:color="D8D7D7"/>
            </w:tcBorders>
          </w:tcPr>
          <w:p>
            <w:pPr>
              <w:spacing w:after="0"/>
              <w:rPr>
                <w:sz w:val="5"/>
                <w:szCs w:val="5"/>
                <w:color w:val="auto"/>
              </w:rPr>
            </w:pPr>
          </w:p>
        </w:tc>
      </w:tr>
      <w:tr>
        <w:trPr>
          <w:trHeight w:val="290"/>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Social</w:t>
            </w:r>
          </w:p>
        </w:tc>
        <w:tc>
          <w:tcPr>
            <w:tcW w:w="7200" w:type="dxa"/>
            <w:vAlign w:val="bottom"/>
          </w:tcPr>
          <w:p>
            <w:pPr>
              <w:ind w:left="140"/>
              <w:spacing w:after="0"/>
              <w:rPr>
                <w:sz w:val="20"/>
                <w:szCs w:val="20"/>
                <w:color w:val="auto"/>
              </w:rPr>
            </w:pPr>
            <w:r>
              <w:rPr>
                <w:rFonts w:ascii="Arial" w:cs="Arial" w:eastAsia="Arial" w:hAnsi="Arial"/>
                <w:sz w:val="16"/>
                <w:szCs w:val="16"/>
                <w:color w:val="auto"/>
              </w:rPr>
              <w:t>Expertise with data privacy, human rights, community relations, workplace health and safety,</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supply chain management, human capital management, consumer privacy, product quality and</w:t>
            </w:r>
          </w:p>
        </w:tc>
      </w:tr>
      <w:tr>
        <w:trPr>
          <w:trHeight w:val="216"/>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safety, and/or labor practices</w:t>
            </w:r>
          </w:p>
        </w:tc>
      </w:tr>
      <w:tr>
        <w:trPr>
          <w:trHeight w:val="56"/>
        </w:trPr>
        <w:tc>
          <w:tcPr>
            <w:tcW w:w="1880" w:type="dxa"/>
            <w:vAlign w:val="bottom"/>
            <w:tcBorders>
              <w:bottom w:val="single" w:sz="8" w:color="D8D7D7"/>
            </w:tcBorders>
          </w:tcPr>
          <w:p>
            <w:pPr>
              <w:spacing w:after="0"/>
              <w:rPr>
                <w:sz w:val="4"/>
                <w:szCs w:val="4"/>
                <w:color w:val="auto"/>
              </w:rPr>
            </w:pPr>
          </w:p>
        </w:tc>
        <w:tc>
          <w:tcPr>
            <w:tcW w:w="7200" w:type="dxa"/>
            <w:vAlign w:val="bottom"/>
            <w:tcBorders>
              <w:bottom w:val="single" w:sz="8" w:color="D8D7D7"/>
            </w:tcBorders>
          </w:tcPr>
          <w:p>
            <w:pPr>
              <w:spacing w:after="0"/>
              <w:rPr>
                <w:sz w:val="4"/>
                <w:szCs w:val="4"/>
                <w:color w:val="auto"/>
              </w:rPr>
            </w:pPr>
          </w:p>
        </w:tc>
      </w:tr>
      <w:tr>
        <w:trPr>
          <w:trHeight w:val="290"/>
        </w:trPr>
        <w:tc>
          <w:tcPr>
            <w:tcW w:w="1880" w:type="dxa"/>
            <w:vAlign w:val="bottom"/>
          </w:tcPr>
          <w:p>
            <w:pPr>
              <w:ind w:left="60"/>
              <w:spacing w:after="0"/>
              <w:rPr>
                <w:sz w:val="20"/>
                <w:szCs w:val="20"/>
                <w:color w:val="auto"/>
              </w:rPr>
            </w:pPr>
            <w:r>
              <w:rPr>
                <w:rFonts w:ascii="Arial" w:cs="Arial" w:eastAsia="Arial" w:hAnsi="Arial"/>
                <w:sz w:val="16"/>
                <w:szCs w:val="16"/>
                <w:b w:val="1"/>
                <w:bCs w:val="1"/>
                <w:color w:val="0956FF"/>
              </w:rPr>
              <w:t>Technology</w:t>
            </w:r>
          </w:p>
        </w:tc>
        <w:tc>
          <w:tcPr>
            <w:tcW w:w="7200" w:type="dxa"/>
            <w:vAlign w:val="bottom"/>
          </w:tcPr>
          <w:p>
            <w:pPr>
              <w:ind w:left="140"/>
              <w:spacing w:after="0"/>
              <w:rPr>
                <w:sz w:val="20"/>
                <w:szCs w:val="20"/>
                <w:color w:val="auto"/>
              </w:rPr>
            </w:pPr>
            <w:r>
              <w:rPr>
                <w:rFonts w:ascii="Arial" w:cs="Arial" w:eastAsia="Arial" w:hAnsi="Arial"/>
                <w:sz w:val="16"/>
                <w:szCs w:val="16"/>
                <w:color w:val="auto"/>
              </w:rPr>
              <w:t>Expertise in, or understanding of, technology and innovation gained either through academia or</w:t>
            </w:r>
          </w:p>
        </w:tc>
      </w:tr>
      <w:tr>
        <w:trPr>
          <w:trHeight w:val="215"/>
        </w:trPr>
        <w:tc>
          <w:tcPr>
            <w:tcW w:w="188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6"/>
                <w:szCs w:val="16"/>
                <w:color w:val="auto"/>
              </w:rPr>
              <w:t>industry experience</w:t>
            </w:r>
          </w:p>
        </w:tc>
      </w:tr>
      <w:tr>
        <w:trPr>
          <w:trHeight w:val="56"/>
        </w:trPr>
        <w:tc>
          <w:tcPr>
            <w:tcW w:w="1880" w:type="dxa"/>
            <w:vAlign w:val="bottom"/>
            <w:tcBorders>
              <w:bottom w:val="single" w:sz="8" w:color="0956FF"/>
            </w:tcBorders>
          </w:tcPr>
          <w:p>
            <w:pPr>
              <w:spacing w:after="0"/>
              <w:rPr>
                <w:sz w:val="4"/>
                <w:szCs w:val="4"/>
                <w:color w:val="auto"/>
              </w:rPr>
            </w:pPr>
          </w:p>
        </w:tc>
        <w:tc>
          <w:tcPr>
            <w:tcW w:w="7200" w:type="dxa"/>
            <w:vAlign w:val="bottom"/>
            <w:tcBorders>
              <w:bottom w:val="single" w:sz="8" w:color="0956FF"/>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9080"/>
          </w:cols>
          <w:pgMar w:left="1400" w:top="657" w:right="141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43" w:lineRule="exact"/>
        <w:rPr>
          <w:sz w:val="20"/>
          <w:szCs w:val="20"/>
          <w:color w:val="auto"/>
        </w:rPr>
      </w:pPr>
    </w:p>
    <w:p>
      <w:pPr>
        <w:jc w:val="center"/>
        <w:ind w:right="3400"/>
        <w:spacing w:after="0"/>
        <w:rPr>
          <w:sz w:val="20"/>
          <w:szCs w:val="20"/>
          <w:color w:val="auto"/>
        </w:rPr>
      </w:pPr>
      <w:r>
        <w:rPr>
          <w:rFonts w:ascii="Arial" w:cs="Arial" w:eastAsia="Arial" w:hAnsi="Arial"/>
          <w:sz w:val="39"/>
          <w:szCs w:val="39"/>
          <w:b w:val="1"/>
          <w:bCs w:val="1"/>
          <w:color w:val="0956FF"/>
        </w:rPr>
        <w:t>Director Nominee Biographies</w:t>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956FF"/>
        </w:rPr>
        <w:t xml:space="preserve">Mary T. Barra </w:t>
      </w:r>
      <w:r>
        <w:rPr>
          <w:rFonts w:ascii="Arial" w:cs="Arial" w:eastAsia="Arial" w:hAnsi="Arial"/>
          <w:sz w:val="17"/>
          <w:szCs w:val="17"/>
          <w:b w:val="1"/>
          <w:bCs w:val="1"/>
          <w:color w:val="000000"/>
        </w:rPr>
        <w:t>|</w:t>
      </w:r>
      <w:r>
        <w:rPr>
          <w:rFonts w:ascii="Arial" w:cs="Arial" w:eastAsia="Arial" w:hAnsi="Arial"/>
          <w:sz w:val="25"/>
          <w:szCs w:val="25"/>
          <w:b w:val="1"/>
          <w:bCs w:val="1"/>
          <w:color w:val="0956FF"/>
        </w:rPr>
        <w:t xml:space="preserve"> </w:t>
      </w:r>
      <w:r>
        <w:rPr>
          <w:rFonts w:ascii="Arial" w:cs="Arial" w:eastAsia="Arial" w:hAnsi="Arial"/>
          <w:sz w:val="25"/>
          <w:szCs w:val="25"/>
          <w:b w:val="1"/>
          <w:bCs w:val="1"/>
          <w:color w:val="000000"/>
        </w:rPr>
        <w:t>64</w:t>
      </w:r>
    </w:p>
    <w:p>
      <w:pPr>
        <w:spacing w:after="0" w:line="61"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Chair and CEO, General Motors Company</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2014</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Committees:</w:t>
      </w:r>
    </w:p>
    <w:p>
      <w:pPr>
        <w:ind w:left="60"/>
        <w:spacing w:after="0"/>
        <w:rPr>
          <w:sz w:val="20"/>
          <w:szCs w:val="20"/>
          <w:color w:val="auto"/>
        </w:rPr>
      </w:pPr>
      <w:r>
        <w:rPr>
          <w:rFonts w:ascii="Arial" w:cs="Arial" w:eastAsia="Arial" w:hAnsi="Arial"/>
          <w:sz w:val="14"/>
          <w:szCs w:val="14"/>
          <w:color w:val="auto"/>
        </w:rPr>
        <w:t>Executive (Chair)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0956FF"/>
        </w:rPr>
        <w:t>Favorite GM Vehicle</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GMC Sierra LD</w:t>
      </w:r>
    </w:p>
    <w:p>
      <w:pPr>
        <w:spacing w:after="0" w:line="4"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75787A"/>
        </w:rPr>
        <w:t>Coming Soon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Skillset: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w:t>
      </w:r>
    </w:p>
    <w:p>
      <w:pPr>
        <w:ind w:left="60"/>
        <w:spacing w:after="0" w:line="222" w:lineRule="auto"/>
        <w:rPr>
          <w:sz w:val="20"/>
          <w:szCs w:val="20"/>
          <w:color w:val="auto"/>
        </w:rPr>
      </w:pPr>
      <w:r>
        <w:rPr>
          <w:rFonts w:ascii="Arial" w:cs="Arial" w:eastAsia="Arial" w:hAnsi="Arial"/>
          <w:sz w:val="14"/>
          <w:szCs w:val="14"/>
          <w:color w:val="auto"/>
        </w:rPr>
        <w:t>Global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Industry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Manufacturing</w:t>
      </w:r>
    </w:p>
    <w:p>
      <w:pPr>
        <w:ind w:left="60"/>
        <w:spacing w:after="0" w:line="222" w:lineRule="auto"/>
        <w:rPr>
          <w:sz w:val="20"/>
          <w:szCs w:val="20"/>
          <w:color w:val="auto"/>
        </w:rPr>
      </w:pPr>
      <w:r>
        <w:rPr>
          <w:rFonts w:ascii="Arial" w:cs="Arial" w:eastAsia="Arial" w:hAnsi="Arial"/>
          <w:sz w:val="14"/>
          <w:szCs w:val="14"/>
          <w:color w:val="auto"/>
        </w:rPr>
        <w:t>Public Company CEO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Ms. Barra is Chair and CEO of General</w:t>
      </w:r>
    </w:p>
    <w:p>
      <w:pPr>
        <w:spacing w:after="0" w:line="8" w:lineRule="exact"/>
        <w:rPr>
          <w:sz w:val="20"/>
          <w:szCs w:val="20"/>
          <w:color w:val="auto"/>
        </w:rPr>
      </w:pPr>
    </w:p>
    <w:p>
      <w:pPr>
        <w:ind w:right="280"/>
        <w:spacing w:after="0" w:line="220" w:lineRule="auto"/>
        <w:rPr>
          <w:sz w:val="20"/>
          <w:szCs w:val="20"/>
          <w:color w:val="auto"/>
        </w:rPr>
      </w:pPr>
      <w:r>
        <w:rPr>
          <w:rFonts w:ascii="Arial" w:cs="Arial" w:eastAsia="Arial" w:hAnsi="Arial"/>
          <w:sz w:val="16"/>
          <w:szCs w:val="16"/>
          <w:color w:val="auto"/>
        </w:rPr>
        <w:t>Motors. She has served as Chair of the Board since January 2016 and has served as CEO since January</w:t>
      </w:r>
    </w:p>
    <w:p>
      <w:pPr>
        <w:spacing w:after="0" w:line="229" w:lineRule="auto"/>
        <w:rPr>
          <w:sz w:val="20"/>
          <w:szCs w:val="20"/>
          <w:color w:val="auto"/>
        </w:rPr>
      </w:pPr>
      <w:r>
        <w:rPr>
          <w:rFonts w:ascii="Arial" w:cs="Arial" w:eastAsia="Arial" w:hAnsi="Arial"/>
          <w:sz w:val="16"/>
          <w:szCs w:val="16"/>
          <w:color w:val="auto"/>
        </w:rPr>
        <w:t>2014. Prior to becoming CEO, Ms. Barra served as GM’s</w:t>
      </w:r>
    </w:p>
    <w:p>
      <w:pPr>
        <w:ind w:right="80"/>
        <w:spacing w:after="0" w:line="220" w:lineRule="auto"/>
        <w:rPr>
          <w:sz w:val="20"/>
          <w:szCs w:val="20"/>
          <w:color w:val="auto"/>
        </w:rPr>
      </w:pPr>
      <w:r>
        <w:rPr>
          <w:rFonts w:ascii="Arial" w:cs="Arial" w:eastAsia="Arial" w:hAnsi="Arial"/>
          <w:sz w:val="16"/>
          <w:szCs w:val="16"/>
          <w:color w:val="auto"/>
        </w:rPr>
        <w:t>Executive Vice President, Global Product Development, Purchasing and Supply Chain from 2013 to 2014;</w:t>
      </w:r>
    </w:p>
    <w:p>
      <w:pPr>
        <w:ind w:right="360"/>
        <w:spacing w:after="0" w:line="220" w:lineRule="auto"/>
        <w:rPr>
          <w:sz w:val="20"/>
          <w:szCs w:val="20"/>
          <w:color w:val="auto"/>
        </w:rPr>
      </w:pPr>
      <w:r>
        <w:rPr>
          <w:rFonts w:ascii="Arial" w:cs="Arial" w:eastAsia="Arial" w:hAnsi="Arial"/>
          <w:sz w:val="16"/>
          <w:szCs w:val="16"/>
          <w:color w:val="auto"/>
        </w:rPr>
        <w:t>Senior Vice President, Global Product Development from 2011 to 2013; Vice President, Global Human</w:t>
      </w:r>
    </w:p>
    <w:p>
      <w:pPr>
        <w:ind w:right="220"/>
        <w:spacing w:after="0" w:line="248" w:lineRule="auto"/>
        <w:rPr>
          <w:sz w:val="20"/>
          <w:szCs w:val="20"/>
          <w:color w:val="auto"/>
        </w:rPr>
      </w:pPr>
      <w:r>
        <w:rPr>
          <w:rFonts w:ascii="Arial" w:cs="Arial" w:eastAsia="Arial" w:hAnsi="Arial"/>
          <w:sz w:val="16"/>
          <w:szCs w:val="16"/>
          <w:color w:val="auto"/>
        </w:rPr>
        <w:t>Resources from 2009 to 2011; and Vice President, Global Manufacturing Engineering from 2008 to 2009.</w:t>
      </w:r>
    </w:p>
    <w:p>
      <w:pPr>
        <w:spacing w:after="0" w:line="36" w:lineRule="exact"/>
        <w:rPr>
          <w:sz w:val="20"/>
          <w:szCs w:val="20"/>
          <w:color w:val="auto"/>
        </w:rPr>
      </w:pPr>
    </w:p>
    <w:p>
      <w:pPr>
        <w:ind w:right="220"/>
        <w:spacing w:after="0" w:line="230"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Ms. Barra has in-depth</w:t>
      </w:r>
      <w:r>
        <w:rPr>
          <w:rFonts w:ascii="Arial" w:cs="Arial" w:eastAsia="Arial" w:hAnsi="Arial"/>
          <w:sz w:val="16"/>
          <w:szCs w:val="16"/>
          <w:b w:val="1"/>
          <w:bCs w:val="1"/>
          <w:color w:val="0956FF"/>
        </w:rPr>
        <w:t xml:space="preserve"> </w:t>
      </w:r>
      <w:r>
        <w:rPr>
          <w:rFonts w:ascii="Arial" w:cs="Arial" w:eastAsia="Arial" w:hAnsi="Arial"/>
          <w:sz w:val="16"/>
          <w:szCs w:val="16"/>
          <w:color w:val="000000"/>
        </w:rPr>
        <w:t>knowledge of the Company and the global automotive</w:t>
      </w:r>
    </w:p>
    <w:p>
      <w:pPr>
        <w:spacing w:after="0" w:line="230" w:lineRule="auto"/>
        <w:rPr>
          <w:sz w:val="20"/>
          <w:szCs w:val="20"/>
          <w:color w:val="auto"/>
        </w:rPr>
      </w:pPr>
      <w:r>
        <w:rPr>
          <w:rFonts w:ascii="Arial" w:cs="Arial" w:eastAsia="Arial" w:hAnsi="Arial"/>
          <w:sz w:val="16"/>
          <w:szCs w:val="16"/>
          <w:color w:val="auto"/>
        </w:rPr>
        <w:t>industry; extensive senior leadership, strategic</w:t>
      </w:r>
    </w:p>
    <w:p>
      <w:pPr>
        <w:ind w:right="200"/>
        <w:spacing w:after="0" w:line="220" w:lineRule="auto"/>
        <w:rPr>
          <w:sz w:val="20"/>
          <w:szCs w:val="20"/>
          <w:color w:val="auto"/>
        </w:rPr>
      </w:pPr>
      <w:r>
        <w:rPr>
          <w:rFonts w:ascii="Arial" w:cs="Arial" w:eastAsia="Arial" w:hAnsi="Arial"/>
          <w:sz w:val="16"/>
          <w:szCs w:val="16"/>
          <w:color w:val="auto"/>
        </w:rPr>
        <w:t>planning, operational, and business experience; and a strong engineering background with experience in</w:t>
      </w:r>
    </w:p>
    <w:p>
      <w:pPr>
        <w:ind w:right="200"/>
        <w:spacing w:after="0" w:line="220" w:lineRule="auto"/>
        <w:rPr>
          <w:sz w:val="20"/>
          <w:szCs w:val="20"/>
          <w:color w:val="auto"/>
        </w:rPr>
      </w:pPr>
      <w:r>
        <w:rPr>
          <w:rFonts w:ascii="Arial" w:cs="Arial" w:eastAsia="Arial" w:hAnsi="Arial"/>
          <w:sz w:val="16"/>
          <w:szCs w:val="16"/>
          <w:color w:val="auto"/>
        </w:rPr>
        <w:t>global product development. She has spearheaded many initiatives to align the Company’s culture with its</w:t>
      </w:r>
    </w:p>
    <w:p>
      <w:pPr>
        <w:spacing w:after="0" w:line="229" w:lineRule="auto"/>
        <w:rPr>
          <w:sz w:val="20"/>
          <w:szCs w:val="20"/>
          <w:color w:val="auto"/>
        </w:rPr>
      </w:pPr>
      <w:r>
        <w:rPr>
          <w:rFonts w:ascii="Arial" w:cs="Arial" w:eastAsia="Arial" w:hAnsi="Arial"/>
          <w:sz w:val="16"/>
          <w:szCs w:val="16"/>
          <w:color w:val="auto"/>
        </w:rPr>
        <w:t>transformation efforts and holds herself and the</w:t>
      </w:r>
    </w:p>
    <w:p>
      <w:pPr>
        <w:jc w:val="both"/>
        <w:ind w:right="380"/>
        <w:spacing w:after="0" w:line="235" w:lineRule="auto"/>
        <w:rPr>
          <w:sz w:val="20"/>
          <w:szCs w:val="20"/>
          <w:color w:val="auto"/>
        </w:rPr>
      </w:pPr>
      <w:r>
        <w:rPr>
          <w:rFonts w:ascii="Arial" w:cs="Arial" w:eastAsia="Arial" w:hAnsi="Arial"/>
          <w:sz w:val="16"/>
          <w:szCs w:val="16"/>
          <w:color w:val="auto"/>
        </w:rPr>
        <w:t>leadership team accountable for driving a culture of safety for customers, employees, and communities.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Other Public Company Directorships:</w:t>
      </w:r>
      <w:r>
        <w:rPr>
          <w:rFonts w:ascii="Arial" w:cs="Arial" w:eastAsia="Arial" w:hAnsi="Arial"/>
          <w:sz w:val="16"/>
          <w:szCs w:val="16"/>
          <w:color w:val="000000"/>
        </w:rPr>
        <w:t>The Walt Disney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43" w:lineRule="exact"/>
        <w:rPr>
          <w:sz w:val="20"/>
          <w:szCs w:val="20"/>
          <w:color w:val="auto"/>
        </w:rPr>
      </w:pPr>
    </w:p>
    <w:p>
      <w:pPr>
        <w:ind w:right="1300"/>
        <w:spacing w:after="0" w:line="296" w:lineRule="auto"/>
        <w:rPr>
          <w:sz w:val="20"/>
          <w:szCs w:val="20"/>
          <w:color w:val="auto"/>
        </w:rPr>
      </w:pPr>
      <w:r>
        <w:rPr>
          <w:rFonts w:ascii="Arial" w:cs="Arial" w:eastAsia="Arial" w:hAnsi="Arial"/>
          <w:sz w:val="16"/>
          <w:szCs w:val="16"/>
          <w:b w:val="1"/>
          <w:bCs w:val="1"/>
          <w:color w:val="0956FF"/>
        </w:rPr>
        <w:t xml:space="preserve">Prior Public Company Directorships (Past Five Years):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334" w:right="220" w:hanging="334"/>
        <w:spacing w:after="0" w:line="189" w:lineRule="auto"/>
        <w:tabs>
          <w:tab w:leader="none" w:pos="334" w:val="left"/>
        </w:tabs>
        <w:numPr>
          <w:ilvl w:val="0"/>
          <w:numId w:val="9"/>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auto"/>
        </w:rPr>
        <w:t>In 2025, how was the Company able to achieve its highest full-year market share in a decade?</w:t>
      </w:r>
    </w:p>
    <w:p>
      <w:pPr>
        <w:spacing w:after="0" w:line="90" w:lineRule="exact"/>
        <w:rPr>
          <w:sz w:val="20"/>
          <w:szCs w:val="20"/>
          <w:color w:val="auto"/>
        </w:rPr>
      </w:pPr>
    </w:p>
    <w:p>
      <w:pPr>
        <w:ind w:left="334" w:right="340" w:hanging="333"/>
        <w:spacing w:after="0" w:line="180" w:lineRule="auto"/>
        <w:tabs>
          <w:tab w:leader="none" w:pos="334" w:val="left"/>
        </w:tabs>
        <w:numPr>
          <w:ilvl w:val="0"/>
          <w:numId w:val="10"/>
        </w:numPr>
        <w:rPr>
          <w:rFonts w:ascii="Arial" w:cs="Arial" w:eastAsia="Arial" w:hAnsi="Arial"/>
          <w:sz w:val="32"/>
          <w:szCs w:val="32"/>
          <w:b w:val="1"/>
          <w:bCs w:val="1"/>
          <w:color w:val="auto"/>
          <w:vertAlign w:val="subscript"/>
        </w:rPr>
      </w:pPr>
      <w:r>
        <w:rPr>
          <w:rFonts w:ascii="Arial" w:cs="Arial" w:eastAsia="Arial" w:hAnsi="Arial"/>
          <w:sz w:val="15"/>
          <w:szCs w:val="15"/>
          <w:color w:val="auto"/>
        </w:rPr>
        <w:t>It starts with having great products that customers love</w:t>
      </w:r>
    </w:p>
    <w:p>
      <w:pPr>
        <w:spacing w:after="0" w:line="2" w:lineRule="exact"/>
        <w:rPr>
          <w:sz w:val="20"/>
          <w:szCs w:val="20"/>
          <w:color w:val="auto"/>
        </w:rPr>
      </w:pPr>
    </w:p>
    <w:p>
      <w:pPr>
        <w:ind w:left="334" w:right="340"/>
        <w:spacing w:after="0" w:line="259" w:lineRule="auto"/>
        <w:rPr>
          <w:sz w:val="20"/>
          <w:szCs w:val="20"/>
          <w:color w:val="auto"/>
        </w:rPr>
      </w:pPr>
      <w:r>
        <w:rPr>
          <w:rFonts w:ascii="Arial" w:cs="Arial" w:eastAsia="Arial" w:hAnsi="Arial"/>
          <w:sz w:val="16"/>
          <w:szCs w:val="16"/>
          <w:color w:val="auto"/>
        </w:rPr>
        <w:t>— and I believe our current vehicle portfolio is the best that it’s ever been. The management team has also been laser focused on keeping inventory and incentives low, which, when combined with strong pricing and demand, has driven strong profitability in our core business. With our compelling vehicles, technology-driven services, and operating discipline, 2026 should be an even better year for GM.</w:t>
      </w:r>
    </w:p>
    <w:p>
      <w:pPr>
        <w:spacing w:after="0" w:line="201" w:lineRule="exact"/>
        <w:rPr>
          <w:sz w:val="20"/>
          <w:szCs w:val="20"/>
          <w:color w:val="auto"/>
        </w:rPr>
      </w:pPr>
    </w:p>
    <w:p>
      <w:pPr>
        <w:sectPr>
          <w:pgSz w:w="11900" w:h="16838" w:orient="portrait"/>
          <w:cols w:equalWidth="0" w:num="3">
            <w:col w:w="1460" w:space="440"/>
            <w:col w:w="4080" w:space="386"/>
            <w:col w:w="2734"/>
          </w:cols>
          <w:pgMar w:left="1400" w:top="657" w:right="1399" w:bottom="1440" w:gutter="0" w:footer="0" w:header="0"/>
          <w:type w:val="continuous"/>
        </w:sectPr>
      </w:pPr>
    </w:p>
    <w:p>
      <w:pPr>
        <w:spacing w:after="0" w:line="133" w:lineRule="exact"/>
        <w:rPr>
          <w:sz w:val="20"/>
          <w:szCs w:val="20"/>
          <w:color w:val="auto"/>
        </w:rPr>
      </w:pPr>
    </w:p>
    <w:p>
      <w:pPr>
        <w:ind w:left="1900"/>
        <w:spacing w:after="0"/>
        <w:rPr>
          <w:sz w:val="20"/>
          <w:szCs w:val="20"/>
          <w:color w:val="auto"/>
        </w:rPr>
      </w:pPr>
      <w:r>
        <w:rPr>
          <w:rFonts w:ascii="Arial" w:cs="Arial" w:eastAsia="Arial" w:hAnsi="Arial"/>
          <w:sz w:val="24"/>
          <w:szCs w:val="24"/>
          <w:b w:val="1"/>
          <w:bCs w:val="1"/>
          <w:color w:val="0956FF"/>
        </w:rPr>
        <w:t xml:space="preserve">Patricia F. Russo </w:t>
      </w:r>
      <w:r>
        <w:rPr>
          <w:rFonts w:ascii="Arial" w:cs="Arial" w:eastAsia="Arial" w:hAnsi="Arial"/>
          <w:sz w:val="33"/>
          <w:szCs w:val="33"/>
          <w:b w:val="1"/>
          <w:bCs w:val="1"/>
          <w:color w:val="000000"/>
          <w:vertAlign w:val="superscript"/>
        </w:rPr>
        <w:t>|</w:t>
      </w:r>
      <w:r>
        <w:rPr>
          <w:rFonts w:ascii="Arial" w:cs="Arial" w:eastAsia="Arial" w:hAnsi="Arial"/>
          <w:sz w:val="24"/>
          <w:szCs w:val="24"/>
          <w:b w:val="1"/>
          <w:bCs w:val="1"/>
          <w:color w:val="0956FF"/>
        </w:rPr>
        <w:t xml:space="preserve"> </w:t>
      </w:r>
      <w:r>
        <w:rPr>
          <w:rFonts w:ascii="Arial" w:cs="Arial" w:eastAsia="Arial" w:hAnsi="Arial"/>
          <w:sz w:val="24"/>
          <w:szCs w:val="24"/>
          <w:b w:val="1"/>
          <w:bCs w:val="1"/>
          <w:color w:val="000000"/>
        </w:rPr>
        <w:t xml:space="preserve">73 </w:t>
      </w:r>
      <w:r>
        <w:rPr>
          <w:sz w:val="1"/>
          <w:szCs w:val="1"/>
          <w:color w:val="auto"/>
        </w:rPr>
        <w:drawing>
          <wp:inline distT="0" distB="0" distL="0" distR="0">
            <wp:extent cx="1062990" cy="939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2990" cy="93980"/>
                    </a:xfrm>
                    <a:prstGeom prst="rect">
                      <a:avLst/>
                    </a:prstGeom>
                    <a:noFill/>
                    <a:ln>
                      <a:noFill/>
                    </a:ln>
                  </pic:spPr>
                </pic:pic>
              </a:graphicData>
            </a:graphic>
          </wp:inline>
        </w:drawing>
      </w:r>
    </w:p>
    <w:p>
      <w:pPr>
        <w:ind w:left="1900"/>
        <w:spacing w:after="0"/>
        <w:rPr>
          <w:sz w:val="20"/>
          <w:szCs w:val="20"/>
          <w:color w:val="auto"/>
        </w:rPr>
      </w:pPr>
      <w:r>
        <w:rPr>
          <w:rFonts w:ascii="Arial" w:cs="Arial" w:eastAsia="Arial" w:hAnsi="Arial"/>
          <w:sz w:val="14"/>
          <w:szCs w:val="14"/>
          <w:b w:val="1"/>
          <w:bCs w:val="1"/>
          <w:color w:val="auto"/>
        </w:rPr>
        <w:t>Chair, Hewlett Packard Enterprise Company</w:t>
      </w:r>
    </w:p>
    <w:p>
      <w:pPr>
        <w:sectPr>
          <w:pgSz w:w="11900" w:h="16838" w:orient="portrait"/>
          <w:cols w:equalWidth="0" w:num="1">
            <w:col w:w="9100"/>
          </w:cols>
          <w:pgMar w:left="140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2009</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Committees:</w:t>
      </w:r>
    </w:p>
    <w:p>
      <w:pPr>
        <w:ind w:left="60"/>
        <w:spacing w:after="0"/>
        <w:rPr>
          <w:sz w:val="20"/>
          <w:szCs w:val="20"/>
          <w:color w:val="auto"/>
        </w:rPr>
      </w:pPr>
      <w:r>
        <w:rPr>
          <w:rFonts w:ascii="Arial" w:cs="Arial" w:eastAsia="Arial" w:hAnsi="Arial"/>
          <w:sz w:val="14"/>
          <w:szCs w:val="14"/>
          <w:color w:val="auto"/>
        </w:rPr>
        <w:t>Compensation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Executive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Governance (Chair)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100"/>
        <w:spacing w:after="0"/>
        <w:rPr>
          <w:sz w:val="20"/>
          <w:szCs w:val="20"/>
          <w:color w:val="auto"/>
        </w:rPr>
      </w:pPr>
      <w:r>
        <w:rPr>
          <w:rFonts w:ascii="Arial" w:cs="Arial" w:eastAsia="Arial" w:hAnsi="Arial"/>
          <w:sz w:val="10"/>
          <w:szCs w:val="10"/>
          <w:b w:val="1"/>
          <w:bCs w:val="1"/>
          <w:color w:val="0956FF"/>
        </w:rPr>
        <w:t>Favorite Current GM Vehicle</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Cadillac Vistiq</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Skillset: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w:t>
      </w:r>
    </w:p>
    <w:p>
      <w:pPr>
        <w:ind w:left="60"/>
        <w:spacing w:after="0" w:line="222" w:lineRule="auto"/>
        <w:rPr>
          <w:sz w:val="20"/>
          <w:szCs w:val="20"/>
          <w:color w:val="auto"/>
        </w:rPr>
      </w:pPr>
      <w:r>
        <w:rPr>
          <w:rFonts w:ascii="Arial" w:cs="Arial" w:eastAsia="Arial" w:hAnsi="Arial"/>
          <w:sz w:val="14"/>
          <w:szCs w:val="14"/>
          <w:color w:val="auto"/>
        </w:rPr>
        <w:t>Global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Marketing</w:t>
      </w:r>
    </w:p>
    <w:p>
      <w:pPr>
        <w:ind w:left="60"/>
        <w:spacing w:after="0" w:line="222" w:lineRule="auto"/>
        <w:rPr>
          <w:sz w:val="20"/>
          <w:szCs w:val="20"/>
          <w:color w:val="auto"/>
        </w:rPr>
      </w:pPr>
      <w:r>
        <w:rPr>
          <w:rFonts w:ascii="Arial" w:cs="Arial" w:eastAsia="Arial" w:hAnsi="Arial"/>
          <w:sz w:val="14"/>
          <w:szCs w:val="14"/>
          <w:color w:val="auto"/>
        </w:rPr>
        <w:t>Public Company CEO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Ms. Russo has served as the Chair of the</w:t>
      </w:r>
      <w:r>
        <w:rPr>
          <w:rFonts w:ascii="Arial" w:cs="Arial" w:eastAsia="Arial" w:hAnsi="Arial"/>
          <w:sz w:val="16"/>
          <w:szCs w:val="16"/>
          <w:b w:val="1"/>
          <w:bCs w:val="1"/>
          <w:color w:val="0956FF"/>
        </w:rPr>
        <w:t xml:space="preserve"> </w:t>
      </w:r>
      <w:r>
        <w:rPr>
          <w:rFonts w:ascii="Arial" w:cs="Arial" w:eastAsia="Arial" w:hAnsi="Arial"/>
          <w:sz w:val="16"/>
          <w:szCs w:val="16"/>
          <w:color w:val="000000"/>
        </w:rPr>
        <w:t>Hewlett Packard Enterprise Company’s (“HPE”) board of directors since 2015. She also served as Lead Director of HPE from 2014 to 2015. Ms. Russo was GM’s Independent Lead Director from March 2010 to January 2014, and in 2021 she was re-appointed to that role. She served as CEO of Alcatel-Lucent S.A. from 2006 to 2008; Chairman and CEO of Lucent Technologies, Inc. from 2003 to 2006; and President and CEO of Lucent Technologies from 2002 to 2006.</w:t>
      </w:r>
    </w:p>
    <w:p>
      <w:pPr>
        <w:spacing w:after="0" w:line="46" w:lineRule="exact"/>
        <w:rPr>
          <w:sz w:val="20"/>
          <w:szCs w:val="20"/>
          <w:color w:val="auto"/>
        </w:rPr>
      </w:pPr>
    </w:p>
    <w:p>
      <w:pPr>
        <w:spacing w:after="0" w:line="236"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Ms. Russo has extensive</w:t>
      </w:r>
      <w:r>
        <w:rPr>
          <w:rFonts w:ascii="Arial" w:cs="Arial" w:eastAsia="Arial" w:hAnsi="Arial"/>
          <w:sz w:val="16"/>
          <w:szCs w:val="16"/>
          <w:b w:val="1"/>
          <w:bCs w:val="1"/>
          <w:color w:val="0956FF"/>
        </w:rPr>
        <w:t xml:space="preserve"> </w:t>
      </w:r>
      <w:r>
        <w:rPr>
          <w:rFonts w:ascii="Arial" w:cs="Arial" w:eastAsia="Arial" w:hAnsi="Arial"/>
          <w:sz w:val="16"/>
          <w:szCs w:val="16"/>
          <w:color w:val="000000"/>
        </w:rPr>
        <w:t>senior leadership experience in corporate strategy, finance, sales and marketing, technology, and leadership development, as well as experience managing business-critical technology disruptions. Through her deep governance expertise — in particular, board governance — she works with management to develop enhanced disclosures and be responsive to shareholder feedback.</w:t>
      </w:r>
    </w:p>
    <w:p>
      <w:pPr>
        <w:spacing w:after="0" w:line="46" w:lineRule="exact"/>
        <w:rPr>
          <w:sz w:val="20"/>
          <w:szCs w:val="20"/>
          <w:color w:val="auto"/>
        </w:rPr>
      </w:pPr>
    </w:p>
    <w:p>
      <w:pPr>
        <w:spacing w:after="0"/>
        <w:tabs>
          <w:tab w:leader="none" w:pos="3460" w:val="left"/>
        </w:tabs>
        <w:rPr>
          <w:sz w:val="20"/>
          <w:szCs w:val="20"/>
          <w:color w:val="auto"/>
        </w:rPr>
      </w:pPr>
      <w:r>
        <w:rPr>
          <w:rFonts w:ascii="Arial" w:cs="Arial" w:eastAsia="Arial" w:hAnsi="Arial"/>
          <w:sz w:val="16"/>
          <w:szCs w:val="16"/>
          <w:b w:val="1"/>
          <w:bCs w:val="1"/>
          <w:color w:val="0956FF"/>
        </w:rPr>
        <w:t>Other Public Company Directorships:</w:t>
      </w:r>
      <w:r>
        <w:rPr>
          <w:sz w:val="20"/>
          <w:szCs w:val="20"/>
          <w:color w:val="auto"/>
        </w:rPr>
        <w:tab/>
      </w:r>
      <w:r>
        <w:rPr>
          <w:rFonts w:ascii="Arial" w:cs="Arial" w:eastAsia="Arial" w:hAnsi="Arial"/>
          <w:sz w:val="16"/>
          <w:szCs w:val="16"/>
          <w:color w:val="auto"/>
        </w:rPr>
        <w:t>Hewlett</w:t>
      </w:r>
    </w:p>
    <w:p>
      <w:pPr>
        <w:spacing w:after="0" w:line="8"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Packard Enterprise Company (Chair), KKR &amp; Co. Inc., and Merck &amp; Co., Inc.</w:t>
      </w:r>
    </w:p>
    <w:p>
      <w:pPr>
        <w:spacing w:after="0" w:line="36" w:lineRule="exact"/>
        <w:rPr>
          <w:sz w:val="20"/>
          <w:szCs w:val="20"/>
          <w:color w:val="auto"/>
        </w:rPr>
      </w:pPr>
    </w:p>
    <w:p>
      <w:pPr>
        <w:ind w:right="1240"/>
        <w:spacing w:after="0" w:line="296" w:lineRule="auto"/>
        <w:rPr>
          <w:sz w:val="20"/>
          <w:szCs w:val="20"/>
          <w:color w:val="auto"/>
        </w:rPr>
      </w:pPr>
      <w:r>
        <w:rPr>
          <w:rFonts w:ascii="Arial" w:cs="Arial" w:eastAsia="Arial" w:hAnsi="Arial"/>
          <w:sz w:val="16"/>
          <w:szCs w:val="16"/>
          <w:b w:val="1"/>
          <w:bCs w:val="1"/>
          <w:color w:val="0956FF"/>
        </w:rPr>
        <w:t xml:space="preserve">Prior Public Company Directorships (Past Five Years):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34" w:right="180" w:hanging="334"/>
        <w:spacing w:after="0" w:line="181" w:lineRule="auto"/>
        <w:tabs>
          <w:tab w:leader="none" w:pos="334" w:val="left"/>
        </w:tabs>
        <w:numPr>
          <w:ilvl w:val="0"/>
          <w:numId w:val="12"/>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auto"/>
        </w:rPr>
        <w:t>As Independent Lead Director, how do you help channel effective lines of communication between management and the Board?</w:t>
      </w:r>
    </w:p>
    <w:p>
      <w:pPr>
        <w:spacing w:after="0" w:line="159" w:lineRule="exact"/>
        <w:rPr>
          <w:sz w:val="20"/>
          <w:szCs w:val="20"/>
          <w:color w:val="auto"/>
        </w:rPr>
      </w:pPr>
    </w:p>
    <w:p>
      <w:pPr>
        <w:ind w:left="334" w:right="200" w:hanging="333"/>
        <w:spacing w:after="0"/>
        <w:tabs>
          <w:tab w:leader="none" w:pos="334" w:val="left"/>
        </w:tabs>
        <w:numPr>
          <w:ilvl w:val="0"/>
          <w:numId w:val="13"/>
        </w:numPr>
        <w:rPr>
          <w:rFonts w:ascii="Arial" w:cs="Arial" w:eastAsia="Arial" w:hAnsi="Arial"/>
          <w:sz w:val="36"/>
          <w:szCs w:val="36"/>
          <w:b w:val="1"/>
          <w:bCs w:val="1"/>
          <w:color w:val="auto"/>
          <w:vertAlign w:val="subscript"/>
        </w:rPr>
      </w:pPr>
      <w:r>
        <w:rPr>
          <w:rFonts w:ascii="Arial" w:cs="Arial" w:eastAsia="Arial" w:hAnsi="Arial"/>
          <w:sz w:val="16"/>
          <w:szCs w:val="16"/>
          <w:color w:val="auto"/>
        </w:rPr>
        <w:t>One example of how I foster collaborative but direct communication is by leading executive sessions at each Board meeting, where I gather feedback from my colleagues and then take that collective feedback and ensure alignment with management by meeting 1:1 with Mary, our Chair and CEO. These exchanges help shape our meeting agendas and the Company’s strategic priorities.</w:t>
      </w:r>
    </w:p>
    <w:p>
      <w:pPr>
        <w:spacing w:after="0" w:line="1043" w:lineRule="exact"/>
        <w:rPr>
          <w:sz w:val="20"/>
          <w:szCs w:val="20"/>
          <w:color w:val="auto"/>
        </w:rPr>
      </w:pPr>
    </w:p>
    <w:p>
      <w:pPr>
        <w:sectPr>
          <w:pgSz w:w="11900" w:h="16838" w:orient="portrait"/>
          <w:cols w:equalWidth="0" w:num="3">
            <w:col w:w="1620" w:space="280"/>
            <w:col w:w="4020" w:space="446"/>
            <w:col w:w="2734"/>
          </w:cols>
          <w:pgMar w:left="1400" w:top="657" w:right="1399" w:bottom="1440" w:gutter="0" w:footer="0" w:header="0"/>
          <w:type w:val="continuous"/>
        </w:sectPr>
      </w:pPr>
    </w:p>
    <w:p>
      <w:pPr>
        <w:spacing w:after="0" w:line="200" w:lineRule="exact"/>
        <w:rPr>
          <w:sz w:val="20"/>
          <w:szCs w:val="20"/>
          <w:color w:val="auto"/>
        </w:rPr>
      </w:pPr>
    </w:p>
    <w:p>
      <w:pPr>
        <w:spacing w:after="0" w:line="289" w:lineRule="exact"/>
        <w:rPr>
          <w:sz w:val="20"/>
          <w:szCs w:val="20"/>
          <w:color w:val="auto"/>
        </w:rPr>
      </w:pPr>
    </w:p>
    <w:p>
      <w:pPr>
        <w:ind w:left="7020"/>
        <w:spacing w:after="0"/>
        <w:tabs>
          <w:tab w:leader="none" w:pos="892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9</w:t>
      </w:r>
    </w:p>
    <w:p>
      <w:pPr>
        <w:sectPr>
          <w:pgSz w:w="11900" w:h="16838" w:orient="portrait"/>
          <w:cols w:equalWidth="0" w:num="1">
            <w:col w:w="9100"/>
          </w:cols>
          <w:pgMar w:left="1400" w:top="657" w:right="13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71"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956FF"/>
        </w:rPr>
        <w:t>Wesley G. Bush</w:t>
      </w:r>
      <w:r>
        <w:rPr>
          <w:rFonts w:ascii="Arial" w:cs="Arial" w:eastAsia="Arial" w:hAnsi="Arial"/>
          <w:sz w:val="35"/>
          <w:szCs w:val="35"/>
          <w:b w:val="1"/>
          <w:bCs w:val="1"/>
          <w:color w:val="000000"/>
          <w:vertAlign w:val="superscript"/>
        </w:rPr>
        <w:t>|</w:t>
      </w:r>
      <w:r>
        <w:rPr>
          <w:rFonts w:ascii="Arial" w:cs="Arial" w:eastAsia="Arial" w:hAnsi="Arial"/>
          <w:sz w:val="25"/>
          <w:szCs w:val="25"/>
          <w:b w:val="1"/>
          <w:bCs w:val="1"/>
          <w:color w:val="0956FF"/>
        </w:rPr>
        <w:t xml:space="preserve"> </w:t>
      </w:r>
      <w:r>
        <w:rPr>
          <w:rFonts w:ascii="Arial" w:cs="Arial" w:eastAsia="Arial" w:hAnsi="Arial"/>
          <w:sz w:val="25"/>
          <w:szCs w:val="25"/>
          <w:b w:val="1"/>
          <w:bCs w:val="1"/>
          <w:color w:val="000000"/>
        </w:rPr>
        <w:t>65</w:t>
      </w:r>
    </w:p>
    <w:p>
      <w:pPr>
        <w:jc w:val="right"/>
        <w:ind w:right="3039"/>
        <w:spacing w:after="0"/>
        <w:rPr>
          <w:sz w:val="20"/>
          <w:szCs w:val="20"/>
          <w:color w:val="auto"/>
        </w:rPr>
      </w:pPr>
      <w:r>
        <w:rPr>
          <w:rFonts w:ascii="Arial" w:cs="Arial" w:eastAsia="Arial" w:hAnsi="Arial"/>
          <w:sz w:val="14"/>
          <w:szCs w:val="14"/>
          <w:b w:val="1"/>
          <w:bCs w:val="1"/>
          <w:color w:val="auto"/>
        </w:rPr>
        <w:t>Retired Chairman and CEO, Northrop Grumman Corporation</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2019</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Committees:</w:t>
      </w:r>
    </w:p>
    <w:p>
      <w:pPr>
        <w:ind w:left="60"/>
        <w:spacing w:after="0"/>
        <w:rPr>
          <w:sz w:val="20"/>
          <w:szCs w:val="20"/>
          <w:color w:val="auto"/>
        </w:rPr>
      </w:pPr>
      <w:r>
        <w:rPr>
          <w:rFonts w:ascii="Arial" w:cs="Arial" w:eastAsia="Arial" w:hAnsi="Arial"/>
          <w:sz w:val="14"/>
          <w:szCs w:val="14"/>
          <w:color w:val="auto"/>
        </w:rPr>
        <w:t>Audit (Chair)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Compensation</w:t>
      </w:r>
    </w:p>
    <w:p>
      <w:pPr>
        <w:ind w:left="60"/>
        <w:spacing w:after="0" w:line="222" w:lineRule="auto"/>
        <w:rPr>
          <w:sz w:val="20"/>
          <w:szCs w:val="20"/>
          <w:color w:val="auto"/>
        </w:rPr>
      </w:pPr>
      <w:r>
        <w:rPr>
          <w:rFonts w:ascii="Arial" w:cs="Arial" w:eastAsia="Arial" w:hAnsi="Arial"/>
          <w:sz w:val="14"/>
          <w:szCs w:val="14"/>
          <w:color w:val="auto"/>
        </w:rPr>
        <w:t>Executive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956FF"/>
        </w:rPr>
        <w:t>Favorite Current GM Vehicle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Chevrolet Suburban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Skillset: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Cyber</w:t>
      </w:r>
    </w:p>
    <w:p>
      <w:pPr>
        <w:ind w:left="60"/>
        <w:spacing w:after="0"/>
        <w:rPr>
          <w:sz w:val="20"/>
          <w:szCs w:val="20"/>
          <w:color w:val="auto"/>
        </w:rPr>
      </w:pPr>
      <w:r>
        <w:rPr>
          <w:rFonts w:ascii="Arial" w:cs="Arial" w:eastAsia="Arial" w:hAnsi="Arial"/>
          <w:sz w:val="14"/>
          <w:szCs w:val="14"/>
          <w:color w:val="auto"/>
        </w:rPr>
        <w:t>Environmental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Global</w:t>
      </w:r>
    </w:p>
    <w:p>
      <w:pPr>
        <w:ind w:left="60"/>
        <w:spacing w:after="0" w:line="222" w:lineRule="auto"/>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Public Company CEO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Risk Management</w:t>
      </w:r>
    </w:p>
    <w:p>
      <w:pPr>
        <w:ind w:left="60"/>
        <w:spacing w:after="0" w:line="222" w:lineRule="auto"/>
        <w:rPr>
          <w:sz w:val="20"/>
          <w:szCs w:val="20"/>
          <w:color w:val="auto"/>
        </w:rPr>
      </w:pPr>
      <w:r>
        <w:rPr>
          <w:rFonts w:ascii="Arial" w:cs="Arial" w:eastAsia="Arial" w:hAnsi="Arial"/>
          <w:sz w:val="14"/>
          <w:szCs w:val="14"/>
          <w:color w:val="auto"/>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80"/>
        <w:spacing w:after="0" w:line="218"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Mr. Bush served as Chairman of Northrop</w:t>
      </w:r>
      <w:r>
        <w:rPr>
          <w:rFonts w:ascii="Arial" w:cs="Arial" w:eastAsia="Arial" w:hAnsi="Arial"/>
          <w:sz w:val="16"/>
          <w:szCs w:val="16"/>
          <w:b w:val="1"/>
          <w:bCs w:val="1"/>
          <w:color w:val="0956FF"/>
        </w:rPr>
        <w:t xml:space="preserve"> </w:t>
      </w:r>
      <w:r>
        <w:rPr>
          <w:rFonts w:ascii="Arial" w:cs="Arial" w:eastAsia="Arial" w:hAnsi="Arial"/>
          <w:sz w:val="16"/>
          <w:szCs w:val="16"/>
          <w:color w:val="000000"/>
        </w:rPr>
        <w:t>Grumman’s board of directors from 2011 to 2019 and as the CEO from 2010 to 2018. Prior to that, Mr. Bush served in numerous leadership roles at Northrop Grumman, including President and Chief Operating Officer, CFO, and President of the Space Technology sector. He also served in a variety of leadership positions at TRW, Inc. before it was acquired by Northrop Grumman in 2002.</w:t>
      </w:r>
    </w:p>
    <w:p>
      <w:pPr>
        <w:spacing w:after="0" w:line="48" w:lineRule="exact"/>
        <w:rPr>
          <w:sz w:val="20"/>
          <w:szCs w:val="20"/>
          <w:color w:val="auto"/>
        </w:rPr>
      </w:pPr>
    </w:p>
    <w:p>
      <w:pPr>
        <w:ind w:right="120"/>
        <w:spacing w:after="0" w:line="218"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Mr. Bush has valuable</w:t>
      </w:r>
      <w:r>
        <w:rPr>
          <w:rFonts w:ascii="Arial" w:cs="Arial" w:eastAsia="Arial" w:hAnsi="Arial"/>
          <w:sz w:val="16"/>
          <w:szCs w:val="16"/>
          <w:b w:val="1"/>
          <w:bCs w:val="1"/>
          <w:color w:val="0956FF"/>
        </w:rPr>
        <w:t xml:space="preserve"> </w:t>
      </w:r>
      <w:r>
        <w:rPr>
          <w:rFonts w:ascii="Arial" w:cs="Arial" w:eastAsia="Arial" w:hAnsi="Arial"/>
          <w:sz w:val="16"/>
          <w:szCs w:val="16"/>
          <w:color w:val="000000"/>
        </w:rPr>
        <w:t>experience in leading a manufacturing enterprise known for its advanced engineering and technology. He also has strong financial acumen gained through his finance leadership roles and has experience managing key governance issues, including risk management and executive compensation plan design. Mr. Bush maintains his science and technology expertise, which benefits the Company, as a member of the National Academy of Engineering.</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Other Public Company Directorships:</w:t>
      </w:r>
      <w:r>
        <w:rPr>
          <w:rFonts w:ascii="Arial" w:cs="Arial" w:eastAsia="Arial" w:hAnsi="Arial"/>
          <w:sz w:val="16"/>
          <w:szCs w:val="16"/>
          <w:color w:val="000000"/>
        </w:rPr>
        <w:t>Dow Inc. and GE</w:t>
      </w:r>
    </w:p>
    <w:p>
      <w:pPr>
        <w:spacing w:after="0"/>
        <w:rPr>
          <w:sz w:val="20"/>
          <w:szCs w:val="20"/>
          <w:color w:val="auto"/>
        </w:rPr>
      </w:pPr>
      <w:r>
        <w:rPr>
          <w:rFonts w:ascii="Arial" w:cs="Arial" w:eastAsia="Arial" w:hAnsi="Arial"/>
          <w:sz w:val="16"/>
          <w:szCs w:val="16"/>
          <w:color w:val="auto"/>
        </w:rPr>
        <w:t>Aerospace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Prior Public Company Directorships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 xml:space="preserve">(Past Five Years): </w:t>
      </w:r>
      <w:r>
        <w:rPr>
          <w:rFonts w:ascii="Arial" w:cs="Arial" w:eastAsia="Arial" w:hAnsi="Arial"/>
          <w:sz w:val="16"/>
          <w:szCs w:val="16"/>
          <w:color w:val="000000"/>
        </w:rPr>
        <w:t>Cisco Systems, Inc.</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34" w:right="159" w:hanging="334"/>
        <w:spacing w:after="0" w:line="189" w:lineRule="auto"/>
        <w:tabs>
          <w:tab w:leader="none" w:pos="334" w:val="left"/>
        </w:tabs>
        <w:numPr>
          <w:ilvl w:val="0"/>
          <w:numId w:val="14"/>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auto"/>
        </w:rPr>
        <w:t>What are examples of actions the Audit Committee takes to ensure robust oversight for shareholders?</w:t>
      </w:r>
    </w:p>
    <w:p>
      <w:pPr>
        <w:spacing w:after="0" w:line="144" w:lineRule="exact"/>
        <w:rPr>
          <w:sz w:val="20"/>
          <w:szCs w:val="20"/>
          <w:color w:val="auto"/>
        </w:rPr>
      </w:pPr>
    </w:p>
    <w:p>
      <w:pPr>
        <w:ind w:left="334" w:right="179" w:hanging="333"/>
        <w:spacing w:after="0" w:line="241" w:lineRule="auto"/>
        <w:tabs>
          <w:tab w:leader="none" w:pos="334" w:val="left"/>
        </w:tabs>
        <w:numPr>
          <w:ilvl w:val="0"/>
          <w:numId w:val="15"/>
        </w:numPr>
        <w:rPr>
          <w:rFonts w:ascii="Arial" w:cs="Arial" w:eastAsia="Arial" w:hAnsi="Arial"/>
          <w:sz w:val="36"/>
          <w:szCs w:val="36"/>
          <w:b w:val="1"/>
          <w:bCs w:val="1"/>
          <w:color w:val="auto"/>
          <w:vertAlign w:val="subscript"/>
        </w:rPr>
      </w:pPr>
      <w:r>
        <w:rPr>
          <w:rFonts w:ascii="Arial" w:cs="Arial" w:eastAsia="Arial" w:hAnsi="Arial"/>
          <w:sz w:val="16"/>
          <w:szCs w:val="16"/>
          <w:color w:val="auto"/>
        </w:rPr>
        <w:t>As a Committee, we regularly provide our feedback on financial disclosures with the expectation that the Company will be clear and transparent in providing important information to our shareholders. We also meet in private sessions with our external auditor, and management, including leaders from Controllership, Audit Services, and Compliance, to ensure we stay closely informed on internal controls and key functional areas.</w:t>
      </w:r>
    </w:p>
    <w:p>
      <w:pPr>
        <w:spacing w:after="0" w:line="923" w:lineRule="exact"/>
        <w:rPr>
          <w:sz w:val="20"/>
          <w:szCs w:val="20"/>
          <w:color w:val="auto"/>
        </w:rPr>
      </w:pPr>
    </w:p>
    <w:p>
      <w:pPr>
        <w:sectPr>
          <w:pgSz w:w="11900" w:h="16838" w:orient="portrait"/>
          <w:cols w:equalWidth="0" w:num="3">
            <w:col w:w="1620" w:space="280"/>
            <w:col w:w="4100" w:space="366"/>
            <w:col w:w="2693"/>
          </w:cols>
          <w:pgMar w:left="1400" w:top="657" w:right="1440" w:bottom="1440" w:gutter="0" w:footer="0" w:header="0"/>
          <w:type w:val="continuous"/>
        </w:sectPr>
      </w:pPr>
    </w:p>
    <w:p>
      <w:pPr>
        <w:spacing w:after="0" w:line="101"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956FF"/>
        </w:rPr>
        <w:t>Joanne C. Crevoiserat</w:t>
      </w:r>
      <w:r>
        <w:rPr>
          <w:rFonts w:ascii="Arial" w:cs="Arial" w:eastAsia="Arial" w:hAnsi="Arial"/>
          <w:sz w:val="35"/>
          <w:szCs w:val="35"/>
          <w:b w:val="1"/>
          <w:bCs w:val="1"/>
          <w:color w:val="000000"/>
          <w:vertAlign w:val="superscript"/>
        </w:rPr>
        <w:t>|</w:t>
      </w:r>
      <w:r>
        <w:rPr>
          <w:rFonts w:ascii="Arial" w:cs="Arial" w:eastAsia="Arial" w:hAnsi="Arial"/>
          <w:sz w:val="25"/>
          <w:szCs w:val="25"/>
          <w:b w:val="1"/>
          <w:bCs w:val="1"/>
          <w:color w:val="0956FF"/>
        </w:rPr>
        <w:t xml:space="preserve"> </w:t>
      </w:r>
      <w:r>
        <w:rPr>
          <w:rFonts w:ascii="Arial" w:cs="Arial" w:eastAsia="Arial" w:hAnsi="Arial"/>
          <w:sz w:val="25"/>
          <w:szCs w:val="25"/>
          <w:b w:val="1"/>
          <w:bCs w:val="1"/>
          <w:color w:val="000000"/>
        </w:rPr>
        <w:t>62</w:t>
      </w:r>
    </w:p>
    <w:p>
      <w:pPr>
        <w:ind w:left="1900"/>
        <w:spacing w:after="0"/>
        <w:rPr>
          <w:sz w:val="20"/>
          <w:szCs w:val="20"/>
          <w:color w:val="auto"/>
        </w:rPr>
      </w:pPr>
      <w:r>
        <w:rPr>
          <w:rFonts w:ascii="Arial" w:cs="Arial" w:eastAsia="Arial" w:hAnsi="Arial"/>
          <w:sz w:val="14"/>
          <w:szCs w:val="14"/>
          <w:b w:val="1"/>
          <w:bCs w:val="1"/>
          <w:color w:val="auto"/>
        </w:rPr>
        <w:t>CEO, Tapestry, Inc.</w:t>
      </w:r>
    </w:p>
    <w:p>
      <w:pPr>
        <w:sectPr>
          <w:pgSz w:w="11900" w:h="16838" w:orient="portrait"/>
          <w:cols w:equalWidth="0" w:num="1">
            <w:col w:w="9059"/>
          </w:cols>
          <w:pgMar w:left="140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2022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Audit</w:t>
      </w:r>
    </w:p>
    <w:p>
      <w:pPr>
        <w:ind w:left="60"/>
        <w:spacing w:after="0" w:line="222" w:lineRule="auto"/>
        <w:rPr>
          <w:sz w:val="20"/>
          <w:szCs w:val="20"/>
          <w:color w:val="auto"/>
        </w:rPr>
      </w:pPr>
      <w:r>
        <w:rPr>
          <w:rFonts w:ascii="Arial" w:cs="Arial" w:eastAsia="Arial" w:hAnsi="Arial"/>
          <w:sz w:val="14"/>
          <w:szCs w:val="14"/>
          <w:color w:val="auto"/>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Governance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956FF"/>
        </w:rPr>
        <w:t>Favorite Current GM Vehicle</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Cadillac Lyriq V</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Skillset: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auto"/>
        </w:rPr>
        <w:t>Environmental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Global</w:t>
      </w:r>
    </w:p>
    <w:p>
      <w:pPr>
        <w:ind w:left="60"/>
        <w:spacing w:after="0" w:line="222" w:lineRule="auto"/>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Marketing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Public Company CEO</w:t>
      </w:r>
    </w:p>
    <w:p>
      <w:pPr>
        <w:ind w:left="60"/>
        <w:spacing w:after="0" w:line="222" w:lineRule="auto"/>
        <w:rPr>
          <w:sz w:val="20"/>
          <w:szCs w:val="20"/>
          <w:color w:val="auto"/>
        </w:rPr>
      </w:pPr>
      <w:r>
        <w:rPr>
          <w:rFonts w:ascii="Arial" w:cs="Arial" w:eastAsia="Arial" w:hAnsi="Arial"/>
          <w:sz w:val="14"/>
          <w:szCs w:val="14"/>
          <w:color w:val="auto"/>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Social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22"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Since October 2020, Ms. Crevoiserat has</w:t>
      </w:r>
      <w:r>
        <w:rPr>
          <w:rFonts w:ascii="Arial" w:cs="Arial" w:eastAsia="Arial" w:hAnsi="Arial"/>
          <w:sz w:val="16"/>
          <w:szCs w:val="16"/>
          <w:b w:val="1"/>
          <w:bCs w:val="1"/>
          <w:color w:val="0956FF"/>
        </w:rPr>
        <w:t xml:space="preserve"> </w:t>
      </w:r>
      <w:r>
        <w:rPr>
          <w:rFonts w:ascii="Arial" w:cs="Arial" w:eastAsia="Arial" w:hAnsi="Arial"/>
          <w:sz w:val="16"/>
          <w:szCs w:val="16"/>
          <w:color w:val="000000"/>
        </w:rPr>
        <w:t>been CEO and a member of the board of Tapestry, Inc. Prior to her appointment as interim CEO in July 2020, she served as the CFO. She also previously served in senior roles at Abercrombie &amp; Fitch Co., Kohl’s Inc., Wal-Mart Stores, Inc., and May Department Stores.</w:t>
      </w:r>
    </w:p>
    <w:p>
      <w:pPr>
        <w:spacing w:after="0" w:line="32" w:lineRule="exact"/>
        <w:rPr>
          <w:sz w:val="20"/>
          <w:szCs w:val="20"/>
          <w:color w:val="auto"/>
        </w:rPr>
      </w:pPr>
    </w:p>
    <w:p>
      <w:pPr>
        <w:spacing w:after="0" w:line="216"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Ms. Crevoiserat has</w:t>
      </w:r>
      <w:r>
        <w:rPr>
          <w:rFonts w:ascii="Arial" w:cs="Arial" w:eastAsia="Arial" w:hAnsi="Arial"/>
          <w:sz w:val="16"/>
          <w:szCs w:val="16"/>
          <w:b w:val="1"/>
          <w:bCs w:val="1"/>
          <w:color w:val="0956FF"/>
        </w:rPr>
        <w:t xml:space="preserve"> </w:t>
      </w:r>
      <w:r>
        <w:rPr>
          <w:rFonts w:ascii="Arial" w:cs="Arial" w:eastAsia="Arial" w:hAnsi="Arial"/>
          <w:sz w:val="16"/>
          <w:szCs w:val="16"/>
          <w:color w:val="000000"/>
        </w:rPr>
        <w:t>cultivated an extensive background in financial expertise and brand development. Her leadership capabilities, demonstrated through her various senior leadership retail positions, help the Company as it grows its global consumer brands through consumer-centric, digital, and data-driven initiatives. Ms. Crevoiserat also has expertise in overseeing complex global supply chains and navigating geopolitical, trade, and environmental risks, which she has gained through her experience in the retail industry and which allows her to provide unique oversight of supply chain governance and sustainable material sourcing.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Other Public Company Directorships:</w:t>
      </w:r>
      <w:r>
        <w:rPr>
          <w:rFonts w:ascii="Arial" w:cs="Arial" w:eastAsia="Arial" w:hAnsi="Arial"/>
          <w:sz w:val="16"/>
          <w:szCs w:val="16"/>
          <w:color w:val="000000"/>
        </w:rPr>
        <w:t>Tapestry,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Prior Public Company Directorships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 xml:space="preserve">(Past Five Years):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34" w:right="119" w:hanging="334"/>
        <w:spacing w:after="0" w:line="182" w:lineRule="auto"/>
        <w:tabs>
          <w:tab w:leader="none" w:pos="334" w:val="left"/>
        </w:tabs>
        <w:numPr>
          <w:ilvl w:val="0"/>
          <w:numId w:val="16"/>
        </w:numPr>
        <w:rPr>
          <w:rFonts w:ascii="Arial" w:cs="Arial" w:eastAsia="Arial" w:hAnsi="Arial"/>
          <w:sz w:val="28"/>
          <w:szCs w:val="28"/>
          <w:b w:val="1"/>
          <w:bCs w:val="1"/>
          <w:color w:val="FFFFFF"/>
          <w:vertAlign w:val="subscript"/>
        </w:rPr>
      </w:pPr>
      <w:r>
        <w:rPr>
          <w:rFonts w:ascii="Arial" w:cs="Arial" w:eastAsia="Arial" w:hAnsi="Arial"/>
          <w:sz w:val="14"/>
          <w:szCs w:val="14"/>
          <w:b w:val="1"/>
          <w:bCs w:val="1"/>
          <w:color w:val="auto"/>
        </w:rPr>
        <w:t>How does the Board help shape the Company’s supply</w:t>
      </w:r>
    </w:p>
    <w:p>
      <w:pPr>
        <w:spacing w:after="0" w:line="1" w:lineRule="exact"/>
        <w:rPr>
          <w:sz w:val="20"/>
          <w:szCs w:val="20"/>
          <w:color w:val="auto"/>
        </w:rPr>
      </w:pPr>
    </w:p>
    <w:p>
      <w:pPr>
        <w:ind w:left="334"/>
        <w:spacing w:after="0"/>
        <w:rPr>
          <w:sz w:val="20"/>
          <w:szCs w:val="20"/>
          <w:color w:val="auto"/>
        </w:rPr>
      </w:pPr>
      <w:r>
        <w:rPr>
          <w:rFonts w:ascii="Arial" w:cs="Arial" w:eastAsia="Arial" w:hAnsi="Arial"/>
          <w:sz w:val="16"/>
          <w:szCs w:val="16"/>
          <w:b w:val="1"/>
          <w:bCs w:val="1"/>
          <w:color w:val="auto"/>
        </w:rPr>
        <w:t>chain initiatives?</w:t>
      </w:r>
    </w:p>
    <w:p>
      <w:pPr>
        <w:spacing w:after="0" w:line="165" w:lineRule="exact"/>
        <w:rPr>
          <w:sz w:val="20"/>
          <w:szCs w:val="20"/>
          <w:color w:val="auto"/>
        </w:rPr>
      </w:pPr>
    </w:p>
    <w:p>
      <w:pPr>
        <w:ind w:left="334" w:right="299" w:hanging="333"/>
        <w:spacing w:after="0" w:line="214" w:lineRule="auto"/>
        <w:tabs>
          <w:tab w:leader="none" w:pos="334" w:val="left"/>
        </w:tabs>
        <w:numPr>
          <w:ilvl w:val="0"/>
          <w:numId w:val="17"/>
        </w:numPr>
        <w:rPr>
          <w:rFonts w:ascii="Arial" w:cs="Arial" w:eastAsia="Arial" w:hAnsi="Arial"/>
          <w:sz w:val="36"/>
          <w:szCs w:val="36"/>
          <w:b w:val="1"/>
          <w:bCs w:val="1"/>
          <w:color w:val="auto"/>
          <w:vertAlign w:val="subscript"/>
        </w:rPr>
      </w:pPr>
      <w:r>
        <w:rPr>
          <w:rFonts w:ascii="Arial" w:cs="Arial" w:eastAsia="Arial" w:hAnsi="Arial"/>
          <w:sz w:val="16"/>
          <w:szCs w:val="16"/>
          <w:color w:val="auto"/>
        </w:rPr>
        <w:t>The Board frequently discusses aspects related to the Company’s supply chain, including material costs, logistics, and resiliency. As part of the Governance Committee’s oversight, the Committee regularly discusses sustainability strategy focused on how it can improve business performance across GM’s footprint — even down to considerations around sourcing alternative materials.</w:t>
      </w:r>
    </w:p>
    <w:p>
      <w:pPr>
        <w:spacing w:after="0" w:line="1248" w:lineRule="exact"/>
        <w:rPr>
          <w:sz w:val="20"/>
          <w:szCs w:val="20"/>
          <w:color w:val="auto"/>
        </w:rPr>
      </w:pPr>
    </w:p>
    <w:p>
      <w:pPr>
        <w:sectPr>
          <w:pgSz w:w="11900" w:h="16838" w:orient="portrait"/>
          <w:cols w:equalWidth="0" w:num="3">
            <w:col w:w="1620" w:space="280"/>
            <w:col w:w="3960" w:space="506"/>
            <w:col w:w="2693"/>
          </w:cols>
          <w:pgMar w:left="1400" w:top="657" w:right="1440"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9059"/>
          </w:cols>
          <w:pgMar w:left="1400" w:top="657" w:right="1440"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71"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956FF"/>
        </w:rPr>
        <w:t xml:space="preserve">Joseph Jimenez </w:t>
      </w:r>
      <w:r>
        <w:rPr>
          <w:rFonts w:ascii="Arial" w:cs="Arial" w:eastAsia="Arial" w:hAnsi="Arial"/>
          <w:sz w:val="35"/>
          <w:szCs w:val="35"/>
          <w:b w:val="1"/>
          <w:bCs w:val="1"/>
          <w:color w:val="000000"/>
          <w:vertAlign w:val="superscript"/>
        </w:rPr>
        <w:t>|</w:t>
      </w:r>
      <w:r>
        <w:rPr>
          <w:rFonts w:ascii="Arial" w:cs="Arial" w:eastAsia="Arial" w:hAnsi="Arial"/>
          <w:sz w:val="25"/>
          <w:szCs w:val="25"/>
          <w:b w:val="1"/>
          <w:bCs w:val="1"/>
          <w:color w:val="0956FF"/>
        </w:rPr>
        <w:t xml:space="preserve"> </w:t>
      </w:r>
      <w:r>
        <w:rPr>
          <w:rFonts w:ascii="Arial" w:cs="Arial" w:eastAsia="Arial" w:hAnsi="Arial"/>
          <w:sz w:val="25"/>
          <w:szCs w:val="25"/>
          <w:b w:val="1"/>
          <w:bCs w:val="1"/>
          <w:color w:val="000000"/>
        </w:rPr>
        <w:t>66</w:t>
      </w:r>
    </w:p>
    <w:p>
      <w:pPr>
        <w:ind w:left="1860"/>
        <w:spacing w:after="0"/>
        <w:rPr>
          <w:sz w:val="20"/>
          <w:szCs w:val="20"/>
          <w:color w:val="auto"/>
        </w:rPr>
      </w:pPr>
      <w:r>
        <w:rPr>
          <w:rFonts w:ascii="Arial" w:cs="Arial" w:eastAsia="Arial" w:hAnsi="Arial"/>
          <w:sz w:val="14"/>
          <w:szCs w:val="14"/>
          <w:b w:val="1"/>
          <w:bCs w:val="1"/>
          <w:color w:val="auto"/>
        </w:rPr>
        <w:t>Co-Founder and Managing Director, Aditum Bio</w:t>
      </w:r>
    </w:p>
    <w:p>
      <w:pPr>
        <w:sectPr>
          <w:pgSz w:w="11900" w:h="16838" w:orient="portrait"/>
          <w:cols w:equalWidth="0" w:num="1">
            <w:col w:w="9060"/>
          </w:cols>
          <w:pgMar w:left="144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2015</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Committees:</w:t>
      </w:r>
    </w:p>
    <w:p>
      <w:pPr>
        <w:ind w:left="20"/>
        <w:spacing w:after="0"/>
        <w:rPr>
          <w:sz w:val="20"/>
          <w:szCs w:val="20"/>
          <w:color w:val="auto"/>
        </w:rPr>
      </w:pPr>
      <w:r>
        <w:rPr>
          <w:rFonts w:ascii="Arial" w:cs="Arial" w:eastAsia="Arial" w:hAnsi="Arial"/>
          <w:sz w:val="14"/>
          <w:szCs w:val="14"/>
          <w:color w:val="auto"/>
        </w:rPr>
        <w:t>Compensation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Executive</w:t>
      </w:r>
    </w:p>
    <w:p>
      <w:pPr>
        <w:ind w:left="20"/>
        <w:spacing w:after="0" w:line="222" w:lineRule="auto"/>
        <w:rPr>
          <w:sz w:val="20"/>
          <w:szCs w:val="20"/>
          <w:color w:val="auto"/>
        </w:rPr>
      </w:pPr>
      <w:r>
        <w:rPr>
          <w:rFonts w:ascii="Arial" w:cs="Arial" w:eastAsia="Arial" w:hAnsi="Arial"/>
          <w:sz w:val="14"/>
          <w:szCs w:val="14"/>
          <w:color w:val="auto"/>
        </w:rPr>
        <w:t>Finance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 and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10"/>
          <w:szCs w:val="10"/>
          <w:b w:val="1"/>
          <w:bCs w:val="1"/>
          <w:color w:val="0956FF"/>
        </w:rPr>
        <w:t>Favorite Current GM Vehicle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Cadillac Escalade IQ</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Skillset: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Environmental</w:t>
      </w:r>
    </w:p>
    <w:p>
      <w:pPr>
        <w:ind w:left="20"/>
        <w:spacing w:after="0"/>
        <w:rPr>
          <w:sz w:val="20"/>
          <w:szCs w:val="20"/>
          <w:color w:val="auto"/>
        </w:rPr>
      </w:pPr>
      <w:r>
        <w:rPr>
          <w:rFonts w:ascii="Arial" w:cs="Arial" w:eastAsia="Arial" w:hAnsi="Arial"/>
          <w:sz w:val="14"/>
          <w:szCs w:val="14"/>
          <w:color w:val="auto"/>
        </w:rPr>
        <w:t>Finance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Global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Governance</w:t>
      </w:r>
    </w:p>
    <w:p>
      <w:pPr>
        <w:ind w:left="20"/>
        <w:spacing w:after="0" w:line="222" w:lineRule="auto"/>
        <w:rPr>
          <w:sz w:val="20"/>
          <w:szCs w:val="20"/>
          <w:color w:val="auto"/>
        </w:rPr>
      </w:pPr>
      <w:r>
        <w:rPr>
          <w:rFonts w:ascii="Arial" w:cs="Arial" w:eastAsia="Arial" w:hAnsi="Arial"/>
          <w:sz w:val="14"/>
          <w:szCs w:val="14"/>
          <w:color w:val="auto"/>
        </w:rPr>
        <w:t>Manufacturing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Marketing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Public Company CEO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 Management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0"/>
        <w:spacing w:after="0" w:line="217"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Since 2019, Mr. Jimenez has served as</w:t>
      </w:r>
      <w:r>
        <w:rPr>
          <w:rFonts w:ascii="Arial" w:cs="Arial" w:eastAsia="Arial" w:hAnsi="Arial"/>
          <w:sz w:val="16"/>
          <w:szCs w:val="16"/>
          <w:b w:val="1"/>
          <w:bCs w:val="1"/>
          <w:color w:val="0956FF"/>
        </w:rPr>
        <w:t xml:space="preserve"> </w:t>
      </w:r>
      <w:r>
        <w:rPr>
          <w:rFonts w:ascii="Arial" w:cs="Arial" w:eastAsia="Arial" w:hAnsi="Arial"/>
          <w:sz w:val="16"/>
          <w:szCs w:val="16"/>
          <w:color w:val="000000"/>
        </w:rPr>
        <w:t>Co-Founder and Managing Director of Aditum Bio, a biotechnology-focused venture capital firm. Prior to that, he served as CEO of Novartis AG from 2010 until his retirement in 2018. Mr. Jimenez led Novartis’ Pharmaceuticals Division from October 2007 to 2010 and its Consumer Health Division in 2007. From 2006 to 2007, he served as Advisor to the Blackstone Group L.P. Mr. Jimenez was also Executive Vice President, President, and CEO of Heinz Europe from 2002 to 2006; and President and CEO of H.J. Heinz Company North America from 1999 to 2002.</w:t>
      </w:r>
    </w:p>
    <w:p>
      <w:pPr>
        <w:spacing w:after="0" w:line="42" w:lineRule="exact"/>
        <w:rPr>
          <w:sz w:val="20"/>
          <w:szCs w:val="20"/>
          <w:color w:val="auto"/>
        </w:rPr>
      </w:pPr>
    </w:p>
    <w:p>
      <w:pPr>
        <w:ind w:right="20"/>
        <w:spacing w:after="0" w:line="168" w:lineRule="exact"/>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Mr. Jimenez has served as</w:t>
      </w:r>
      <w:r>
        <w:rPr>
          <w:rFonts w:ascii="Arial" w:cs="Arial" w:eastAsia="Arial" w:hAnsi="Arial"/>
          <w:sz w:val="16"/>
          <w:szCs w:val="16"/>
          <w:b w:val="1"/>
          <w:bCs w:val="1"/>
          <w:color w:val="0956FF"/>
        </w:rPr>
        <w:t xml:space="preserve"> </w:t>
      </w:r>
      <w:r>
        <w:rPr>
          <w:rFonts w:ascii="Arial" w:cs="Arial" w:eastAsia="Arial" w:hAnsi="Arial"/>
          <w:sz w:val="16"/>
          <w:szCs w:val="16"/>
          <w:color w:val="000000"/>
        </w:rPr>
        <w:t>the CEO of a global company with significant research and development and capital spending in a highly regulated environment. He also has significant experience in finance, strategic planning, and consumer branding and marketing, which he utilizes to lead oversight of capital allocation decisions, helping to ensure disciplined investment and long</w:t>
      </w:r>
      <w:r>
        <w:rPr>
          <w:rFonts w:ascii="MS PGothic" w:cs="MS PGothic" w:eastAsia="MS PGothic" w:hAnsi="MS PGothic"/>
          <w:sz w:val="16"/>
          <w:szCs w:val="16"/>
          <w:color w:val="000000"/>
        </w:rPr>
        <w:t>‑</w:t>
      </w:r>
      <w:r>
        <w:rPr>
          <w:rFonts w:ascii="Arial" w:cs="Arial" w:eastAsia="Arial" w:hAnsi="Arial"/>
          <w:sz w:val="16"/>
          <w:szCs w:val="16"/>
          <w:color w:val="000000"/>
        </w:rPr>
        <w:t>term value creation.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 xml:space="preserve">Other Public Company Directorships: </w:t>
      </w:r>
      <w:r>
        <w:rPr>
          <w:rFonts w:ascii="Arial" w:cs="Arial" w:eastAsia="Arial" w:hAnsi="Arial"/>
          <w:sz w:val="16"/>
          <w:szCs w:val="16"/>
          <w:color w:val="000000"/>
        </w:rPr>
        <w:t>The Procter &amp;</w:t>
      </w:r>
    </w:p>
    <w:p>
      <w:pPr>
        <w:spacing w:after="0"/>
        <w:rPr>
          <w:sz w:val="20"/>
          <w:szCs w:val="20"/>
          <w:color w:val="auto"/>
        </w:rPr>
      </w:pPr>
      <w:r>
        <w:rPr>
          <w:rFonts w:ascii="Arial" w:cs="Arial" w:eastAsia="Arial" w:hAnsi="Arial"/>
          <w:sz w:val="16"/>
          <w:szCs w:val="16"/>
          <w:color w:val="auto"/>
        </w:rPr>
        <w:t>Gamble Company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Prior Public Company Directorships</w:t>
      </w:r>
    </w:p>
    <w:p>
      <w:pPr>
        <w:spacing w:after="0" w:line="21"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b w:val="1"/>
          <w:bCs w:val="1"/>
          <w:color w:val="0956FF"/>
        </w:rPr>
        <w:t xml:space="preserve">(Past Five Years): </w:t>
      </w:r>
      <w:r>
        <w:rPr>
          <w:rFonts w:ascii="Arial" w:cs="Arial" w:eastAsia="Arial" w:hAnsi="Arial"/>
          <w:sz w:val="16"/>
          <w:szCs w:val="16"/>
          <w:color w:val="000000"/>
        </w:rPr>
        <w:t>Century Therapeutics, Inc. and</w:t>
      </w:r>
      <w:r>
        <w:rPr>
          <w:rFonts w:ascii="Arial" w:cs="Arial" w:eastAsia="Arial" w:hAnsi="Arial"/>
          <w:sz w:val="16"/>
          <w:szCs w:val="16"/>
          <w:b w:val="1"/>
          <w:bCs w:val="1"/>
          <w:color w:val="0956FF"/>
        </w:rPr>
        <w:t xml:space="preserve"> </w:t>
      </w:r>
      <w:r>
        <w:rPr>
          <w:rFonts w:ascii="Arial" w:cs="Arial" w:eastAsia="Arial" w:hAnsi="Arial"/>
          <w:sz w:val="16"/>
          <w:szCs w:val="16"/>
          <w:color w:val="000000"/>
        </w:rPr>
        <w:t>Graphite Bio</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34" w:right="180" w:hanging="334"/>
        <w:spacing w:after="0" w:line="189" w:lineRule="auto"/>
        <w:tabs>
          <w:tab w:leader="none" w:pos="334" w:val="left"/>
        </w:tabs>
        <w:numPr>
          <w:ilvl w:val="0"/>
          <w:numId w:val="18"/>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auto"/>
        </w:rPr>
        <w:t>How does the Finance Committee help oversee the Company’s capital allocation strategy?</w:t>
      </w:r>
    </w:p>
    <w:p>
      <w:pPr>
        <w:spacing w:after="0" w:line="157" w:lineRule="exact"/>
        <w:rPr>
          <w:sz w:val="20"/>
          <w:szCs w:val="20"/>
          <w:color w:val="auto"/>
        </w:rPr>
      </w:pPr>
    </w:p>
    <w:p>
      <w:pPr>
        <w:ind w:left="334" w:right="320" w:hanging="333"/>
        <w:spacing w:after="0" w:line="214" w:lineRule="auto"/>
        <w:tabs>
          <w:tab w:leader="none" w:pos="334" w:val="left"/>
        </w:tabs>
        <w:numPr>
          <w:ilvl w:val="0"/>
          <w:numId w:val="19"/>
        </w:numPr>
        <w:rPr>
          <w:rFonts w:ascii="Arial" w:cs="Arial" w:eastAsia="Arial" w:hAnsi="Arial"/>
          <w:sz w:val="36"/>
          <w:szCs w:val="36"/>
          <w:b w:val="1"/>
          <w:bCs w:val="1"/>
          <w:color w:val="auto"/>
          <w:vertAlign w:val="subscript"/>
        </w:rPr>
      </w:pPr>
      <w:r>
        <w:rPr>
          <w:rFonts w:ascii="Arial" w:cs="Arial" w:eastAsia="Arial" w:hAnsi="Arial"/>
          <w:sz w:val="16"/>
          <w:szCs w:val="16"/>
          <w:color w:val="auto"/>
        </w:rPr>
        <w:t>The Finance Committee evaluates capital expenditures that require Board approval, including vehicle programs, to ensure they continue to yield strong financial returns. Our oversight has helped the Company develop a capital allocation framework with a commitment to return excess cash to shareholders — and under that framework we have returned over</w:t>
      </w:r>
    </w:p>
    <w:p>
      <w:pPr>
        <w:spacing w:after="0" w:line="11" w:lineRule="exact"/>
        <w:rPr>
          <w:rFonts w:ascii="Arial" w:cs="Arial" w:eastAsia="Arial" w:hAnsi="Arial"/>
          <w:sz w:val="36"/>
          <w:szCs w:val="36"/>
          <w:b w:val="1"/>
          <w:bCs w:val="1"/>
          <w:color w:val="auto"/>
          <w:vertAlign w:val="subscript"/>
        </w:rPr>
      </w:pPr>
    </w:p>
    <w:p>
      <w:pPr>
        <w:ind w:left="334" w:right="420"/>
        <w:spacing w:after="0" w:line="238" w:lineRule="auto"/>
        <w:rPr>
          <w:rFonts w:ascii="Arial" w:cs="Arial" w:eastAsia="Arial" w:hAnsi="Arial"/>
          <w:sz w:val="36"/>
          <w:szCs w:val="36"/>
          <w:b w:val="1"/>
          <w:bCs w:val="1"/>
          <w:color w:val="auto"/>
          <w:vertAlign w:val="subscript"/>
        </w:rPr>
      </w:pPr>
      <w:r>
        <w:rPr>
          <w:rFonts w:ascii="Arial" w:cs="Arial" w:eastAsia="Arial" w:hAnsi="Arial"/>
          <w:sz w:val="16"/>
          <w:szCs w:val="16"/>
          <w:color w:val="auto"/>
        </w:rPr>
        <w:t>$26 billion, through share repurchases and dividends, since 2023.</w:t>
      </w:r>
    </w:p>
    <w:p>
      <w:pPr>
        <w:spacing w:after="0" w:line="883" w:lineRule="exact"/>
        <w:rPr>
          <w:sz w:val="20"/>
          <w:szCs w:val="20"/>
          <w:color w:val="auto"/>
        </w:rPr>
      </w:pPr>
    </w:p>
    <w:p>
      <w:pPr>
        <w:sectPr>
          <w:pgSz w:w="11900" w:h="16838" w:orient="portrait"/>
          <w:cols w:equalWidth="0" w:num="3">
            <w:col w:w="1580" w:space="280"/>
            <w:col w:w="3960" w:space="506"/>
            <w:col w:w="2734"/>
          </w:cols>
          <w:pgMar w:left="1440" w:top="657" w:right="1399" w:bottom="1440" w:gutter="0" w:footer="0" w:header="0"/>
          <w:type w:val="continuous"/>
        </w:sectPr>
      </w:pPr>
    </w:p>
    <w:p>
      <w:pPr>
        <w:spacing w:after="0" w:line="110" w:lineRule="exact"/>
        <w:rPr>
          <w:sz w:val="20"/>
          <w:szCs w:val="20"/>
          <w:color w:val="auto"/>
        </w:rPr>
      </w:pPr>
    </w:p>
    <w:p>
      <w:pPr>
        <w:ind w:left="1860"/>
        <w:spacing w:after="0"/>
        <w:rPr>
          <w:sz w:val="20"/>
          <w:szCs w:val="20"/>
          <w:color w:val="auto"/>
        </w:rPr>
      </w:pPr>
      <w:r>
        <w:rPr>
          <w:rFonts w:ascii="Arial" w:cs="Arial" w:eastAsia="Arial" w:hAnsi="Arial"/>
          <w:sz w:val="24"/>
          <w:szCs w:val="24"/>
          <w:b w:val="1"/>
          <w:bCs w:val="1"/>
          <w:color w:val="0956FF"/>
        </w:rPr>
        <w:t xml:space="preserve">Alfred F. Kelly, Jr. </w:t>
      </w:r>
      <w:r>
        <w:rPr>
          <w:rFonts w:ascii="Arial" w:cs="Arial" w:eastAsia="Arial" w:hAnsi="Arial"/>
          <w:sz w:val="33"/>
          <w:szCs w:val="33"/>
          <w:b w:val="1"/>
          <w:bCs w:val="1"/>
          <w:color w:val="000000"/>
          <w:vertAlign w:val="superscript"/>
        </w:rPr>
        <w:t>|</w:t>
      </w:r>
      <w:r>
        <w:rPr>
          <w:rFonts w:ascii="Arial" w:cs="Arial" w:eastAsia="Arial" w:hAnsi="Arial"/>
          <w:sz w:val="24"/>
          <w:szCs w:val="24"/>
          <w:b w:val="1"/>
          <w:bCs w:val="1"/>
          <w:color w:val="0956FF"/>
        </w:rPr>
        <w:t xml:space="preserve"> </w:t>
      </w:r>
      <w:r>
        <w:rPr>
          <w:rFonts w:ascii="Arial" w:cs="Arial" w:eastAsia="Arial" w:hAnsi="Arial"/>
          <w:sz w:val="24"/>
          <w:szCs w:val="24"/>
          <w:b w:val="1"/>
          <w:bCs w:val="1"/>
          <w:color w:val="000000"/>
        </w:rPr>
        <w:t>67</w:t>
      </w:r>
    </w:p>
    <w:p>
      <w:pPr>
        <w:ind w:left="1860"/>
        <w:spacing w:after="0"/>
        <w:rPr>
          <w:sz w:val="20"/>
          <w:szCs w:val="20"/>
          <w:color w:val="auto"/>
        </w:rPr>
      </w:pPr>
      <w:r>
        <w:rPr>
          <w:rFonts w:ascii="Arial" w:cs="Arial" w:eastAsia="Arial" w:hAnsi="Arial"/>
          <w:sz w:val="14"/>
          <w:szCs w:val="14"/>
          <w:b w:val="1"/>
          <w:bCs w:val="1"/>
          <w:color w:val="auto"/>
        </w:rPr>
        <w:t>Advisory Director, Berkshire Partners</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Retired CEO and Chairman, Visa Inc.</w:t>
      </w:r>
    </w:p>
    <w:p>
      <w:pPr>
        <w:sectPr>
          <w:pgSz w:w="11900" w:h="16838" w:orient="portrait"/>
          <w:cols w:equalWidth="0" w:num="1">
            <w:col w:w="9060"/>
          </w:cols>
          <w:pgMar w:left="144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2024</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Committees:</w:t>
      </w:r>
    </w:p>
    <w:p>
      <w:pPr>
        <w:ind w:left="20"/>
        <w:spacing w:after="0" w:line="222" w:lineRule="auto"/>
        <w:rPr>
          <w:sz w:val="20"/>
          <w:szCs w:val="20"/>
          <w:color w:val="auto"/>
        </w:rPr>
      </w:pPr>
      <w:r>
        <w:rPr>
          <w:rFonts w:ascii="Arial" w:cs="Arial" w:eastAsia="Arial" w:hAnsi="Arial"/>
          <w:sz w:val="14"/>
          <w:szCs w:val="14"/>
          <w:color w:val="auto"/>
        </w:rPr>
        <w:t>Audit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 and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60"/>
        <w:spacing w:after="0"/>
        <w:rPr>
          <w:sz w:val="20"/>
          <w:szCs w:val="20"/>
          <w:color w:val="auto"/>
        </w:rPr>
      </w:pPr>
      <w:r>
        <w:rPr>
          <w:rFonts w:ascii="Arial" w:cs="Arial" w:eastAsia="Arial" w:hAnsi="Arial"/>
          <w:sz w:val="10"/>
          <w:szCs w:val="10"/>
          <w:b w:val="1"/>
          <w:bCs w:val="1"/>
          <w:color w:val="0956FF"/>
        </w:rPr>
        <w:t>Favorite Current GM Vehicle</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GMC Acadia</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Skillset: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Cyber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Finance</w:t>
      </w:r>
    </w:p>
    <w:p>
      <w:pPr>
        <w:ind w:left="20"/>
        <w:spacing w:after="0" w:line="222" w:lineRule="auto"/>
        <w:rPr>
          <w:sz w:val="20"/>
          <w:szCs w:val="20"/>
          <w:color w:val="auto"/>
        </w:rPr>
      </w:pPr>
      <w:r>
        <w:rPr>
          <w:rFonts w:ascii="Arial" w:cs="Arial" w:eastAsia="Arial" w:hAnsi="Arial"/>
          <w:sz w:val="14"/>
          <w:szCs w:val="14"/>
          <w:color w:val="auto"/>
        </w:rPr>
        <w:t>Global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Marketing</w:t>
      </w:r>
    </w:p>
    <w:p>
      <w:pPr>
        <w:ind w:left="20"/>
        <w:spacing w:after="0" w:line="222" w:lineRule="auto"/>
        <w:rPr>
          <w:sz w:val="20"/>
          <w:szCs w:val="20"/>
          <w:color w:val="auto"/>
        </w:rPr>
      </w:pPr>
      <w:r>
        <w:rPr>
          <w:rFonts w:ascii="Arial" w:cs="Arial" w:eastAsia="Arial" w:hAnsi="Arial"/>
          <w:sz w:val="14"/>
          <w:szCs w:val="14"/>
          <w:color w:val="auto"/>
        </w:rPr>
        <w:t>Public Company CEO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 Management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Social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20"/>
        <w:spacing w:after="0" w:line="221"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Mr. Kelly served as the CEO of Visa Inc.</w:t>
      </w:r>
      <w:r>
        <w:rPr>
          <w:rFonts w:ascii="Arial" w:cs="Arial" w:eastAsia="Arial" w:hAnsi="Arial"/>
          <w:sz w:val="16"/>
          <w:szCs w:val="16"/>
          <w:b w:val="1"/>
          <w:bCs w:val="1"/>
          <w:color w:val="0956FF"/>
        </w:rPr>
        <w:t xml:space="preserve"> </w:t>
      </w:r>
      <w:r>
        <w:rPr>
          <w:rFonts w:ascii="Arial" w:cs="Arial" w:eastAsia="Arial" w:hAnsi="Arial"/>
          <w:sz w:val="16"/>
          <w:szCs w:val="16"/>
          <w:color w:val="000000"/>
        </w:rPr>
        <w:t>from 2016 to 2023 and was Chairman of Visa’s Board from 2019 to 2024. Prior to Visa, he served in numerous leadership roles, including at American Express, where he was President when he left in 2010, and with the New York–New Jersey Super Bowl Host Committee, where he was President and CEO.</w:t>
      </w:r>
    </w:p>
    <w:p>
      <w:pPr>
        <w:spacing w:after="0" w:line="43" w:lineRule="exact"/>
        <w:rPr>
          <w:sz w:val="20"/>
          <w:szCs w:val="20"/>
          <w:color w:val="auto"/>
        </w:rPr>
      </w:pPr>
    </w:p>
    <w:p>
      <w:pPr>
        <w:spacing w:after="0" w:line="218"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Mr. Kelly has extensive</w:t>
      </w:r>
      <w:r>
        <w:rPr>
          <w:rFonts w:ascii="Arial" w:cs="Arial" w:eastAsia="Arial" w:hAnsi="Arial"/>
          <w:sz w:val="16"/>
          <w:szCs w:val="16"/>
          <w:b w:val="1"/>
          <w:bCs w:val="1"/>
          <w:color w:val="0956FF"/>
        </w:rPr>
        <w:t xml:space="preserve"> </w:t>
      </w:r>
      <w:r>
        <w:rPr>
          <w:rFonts w:ascii="Arial" w:cs="Arial" w:eastAsia="Arial" w:hAnsi="Arial"/>
          <w:sz w:val="16"/>
          <w:szCs w:val="16"/>
          <w:color w:val="000000"/>
        </w:rPr>
        <w:t>expertise in industry disruption, which has been instrumental in driving innovation and competitive advantage. His strong financial acumen ensures robust fiscal oversight and strategic financial planning. Additionally, Mr. Kelly’s global leadership experience provides valuable insights into international markets and enhances the Board’s ability to navigate complex global challenges.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Other Public Company Directorships:</w:t>
      </w:r>
      <w:r>
        <w:rPr>
          <w:rFonts w:ascii="Arial" w:cs="Arial" w:eastAsia="Arial" w:hAnsi="Arial"/>
          <w:sz w:val="16"/>
          <w:szCs w:val="16"/>
          <w:color w:val="000000"/>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Prior Public Company Directorships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 xml:space="preserve">(Past Five Years): </w:t>
      </w:r>
      <w:r>
        <w:rPr>
          <w:rFonts w:ascii="Arial" w:cs="Arial" w:eastAsia="Arial" w:hAnsi="Arial"/>
          <w:sz w:val="16"/>
          <w:szCs w:val="16"/>
          <w:color w:val="000000"/>
        </w:rPr>
        <w:t>Visa Inc.</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34" w:right="600" w:hanging="334"/>
        <w:spacing w:after="0" w:line="189" w:lineRule="auto"/>
        <w:tabs>
          <w:tab w:leader="none" w:pos="334" w:val="left"/>
        </w:tabs>
        <w:numPr>
          <w:ilvl w:val="0"/>
          <w:numId w:val="20"/>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auto"/>
        </w:rPr>
        <w:t>How does the Audit Committee oversee the Company’s compliance culture?</w:t>
      </w:r>
    </w:p>
    <w:p>
      <w:pPr>
        <w:spacing w:after="0" w:line="117" w:lineRule="exact"/>
        <w:rPr>
          <w:sz w:val="20"/>
          <w:szCs w:val="20"/>
          <w:color w:val="auto"/>
        </w:rPr>
      </w:pPr>
    </w:p>
    <w:p>
      <w:pPr>
        <w:ind w:left="334" w:right="280" w:hanging="333"/>
        <w:spacing w:after="0" w:line="220" w:lineRule="auto"/>
        <w:tabs>
          <w:tab w:leader="none" w:pos="334" w:val="left"/>
        </w:tabs>
        <w:numPr>
          <w:ilvl w:val="0"/>
          <w:numId w:val="21"/>
        </w:numPr>
        <w:rPr>
          <w:rFonts w:ascii="Arial" w:cs="Arial" w:eastAsia="Arial" w:hAnsi="Arial"/>
          <w:sz w:val="36"/>
          <w:szCs w:val="36"/>
          <w:b w:val="1"/>
          <w:bCs w:val="1"/>
          <w:color w:val="auto"/>
          <w:vertAlign w:val="subscript"/>
        </w:rPr>
      </w:pPr>
      <w:r>
        <w:rPr>
          <w:rFonts w:ascii="Arial" w:cs="Arial" w:eastAsia="Arial" w:hAnsi="Arial"/>
          <w:sz w:val="16"/>
          <w:szCs w:val="16"/>
          <w:color w:val="auto"/>
        </w:rPr>
        <w:t>The Committee regularly reviews the Company’s compliance program and ethical culture. We engage with management on key compliance matters and the effectiveness of the Company’s approach to ethics and integrity across the organization. This is evident through Ethisphere recognizing GM for the seventh consecutive year as one of the World’s Most Ethical Companies, and our recent modernization and comprehensive refresh to the Company’s Code of Conduct.</w:t>
      </w:r>
    </w:p>
    <w:p>
      <w:pPr>
        <w:spacing w:after="0" w:line="481" w:lineRule="exact"/>
        <w:rPr>
          <w:sz w:val="20"/>
          <w:szCs w:val="20"/>
          <w:color w:val="auto"/>
        </w:rPr>
      </w:pPr>
    </w:p>
    <w:p>
      <w:pPr>
        <w:sectPr>
          <w:pgSz w:w="11900" w:h="16838" w:orient="portrait"/>
          <w:cols w:equalWidth="0" w:num="3">
            <w:col w:w="1580" w:space="280"/>
            <w:col w:w="3960" w:space="506"/>
            <w:col w:w="2734"/>
          </w:cols>
          <w:pgMar w:left="144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98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2"/>
          <w:szCs w:val="12"/>
          <w:b w:val="1"/>
          <w:bCs w:val="1"/>
          <w:color w:val="auto"/>
        </w:rPr>
        <w:t>11</w:t>
      </w:r>
    </w:p>
    <w:p>
      <w:pPr>
        <w:sectPr>
          <w:pgSz w:w="11900" w:h="16838" w:orient="portrait"/>
          <w:cols w:equalWidth="0" w:num="1">
            <w:col w:w="9060"/>
          </w:cols>
          <w:pgMar w:left="1440" w:top="657" w:right="13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71" w:lineRule="exact"/>
        <w:rPr>
          <w:sz w:val="20"/>
          <w:szCs w:val="20"/>
          <w:color w:val="auto"/>
        </w:rPr>
      </w:pPr>
    </w:p>
    <w:p>
      <w:pPr>
        <w:jc w:val="right"/>
        <w:ind w:right="4619"/>
        <w:spacing w:after="0"/>
        <w:rPr>
          <w:sz w:val="20"/>
          <w:szCs w:val="20"/>
          <w:color w:val="auto"/>
        </w:rPr>
      </w:pPr>
      <w:r>
        <w:rPr>
          <w:rFonts w:ascii="Arial" w:cs="Arial" w:eastAsia="Arial" w:hAnsi="Arial"/>
          <w:sz w:val="25"/>
          <w:szCs w:val="25"/>
          <w:b w:val="1"/>
          <w:bCs w:val="1"/>
          <w:color w:val="0956FF"/>
        </w:rPr>
        <w:t xml:space="preserve">Jonathan McNeill </w:t>
      </w:r>
      <w:r>
        <w:rPr>
          <w:rFonts w:ascii="Arial" w:cs="Arial" w:eastAsia="Arial" w:hAnsi="Arial"/>
          <w:sz w:val="35"/>
          <w:szCs w:val="35"/>
          <w:b w:val="1"/>
          <w:bCs w:val="1"/>
          <w:color w:val="000000"/>
          <w:vertAlign w:val="superscript"/>
        </w:rPr>
        <w:t>|</w:t>
      </w:r>
      <w:r>
        <w:rPr>
          <w:rFonts w:ascii="Arial" w:cs="Arial" w:eastAsia="Arial" w:hAnsi="Arial"/>
          <w:sz w:val="25"/>
          <w:szCs w:val="25"/>
          <w:b w:val="1"/>
          <w:bCs w:val="1"/>
          <w:color w:val="0956FF"/>
        </w:rPr>
        <w:t xml:space="preserve"> </w:t>
      </w:r>
      <w:r>
        <w:rPr>
          <w:rFonts w:ascii="Arial" w:cs="Arial" w:eastAsia="Arial" w:hAnsi="Arial"/>
          <w:sz w:val="25"/>
          <w:szCs w:val="25"/>
          <w:b w:val="1"/>
          <w:bCs w:val="1"/>
          <w:color w:val="000000"/>
        </w:rPr>
        <w:t>58</w:t>
      </w:r>
    </w:p>
    <w:p>
      <w:pPr>
        <w:ind w:left="1900"/>
        <w:spacing w:after="0"/>
        <w:rPr>
          <w:sz w:val="20"/>
          <w:szCs w:val="20"/>
          <w:color w:val="auto"/>
        </w:rPr>
      </w:pPr>
      <w:r>
        <w:rPr>
          <w:rFonts w:ascii="Arial" w:cs="Arial" w:eastAsia="Arial" w:hAnsi="Arial"/>
          <w:sz w:val="14"/>
          <w:szCs w:val="14"/>
          <w:b w:val="1"/>
          <w:bCs w:val="1"/>
          <w:color w:val="auto"/>
        </w:rPr>
        <w:t>Co-Founder and CEO, DVx Ventures</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2022</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Committees:</w:t>
      </w:r>
    </w:p>
    <w:p>
      <w:pPr>
        <w:ind w:left="60"/>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Risk and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956FF"/>
        </w:rPr>
        <w:t>Favorite Current GM Vehicle</w:t>
      </w:r>
    </w:p>
    <w:p>
      <w:pPr>
        <w:spacing w:after="0" w:line="43"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Chevrolet Silverado EV</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Trail Boss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Skillset: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Cyber</w:t>
      </w:r>
    </w:p>
    <w:p>
      <w:pPr>
        <w:ind w:left="60"/>
        <w:spacing w:after="0"/>
        <w:rPr>
          <w:sz w:val="20"/>
          <w:szCs w:val="20"/>
          <w:color w:val="auto"/>
        </w:rPr>
      </w:pPr>
      <w:r>
        <w:rPr>
          <w:rFonts w:ascii="Arial" w:cs="Arial" w:eastAsia="Arial" w:hAnsi="Arial"/>
          <w:sz w:val="14"/>
          <w:szCs w:val="14"/>
          <w:color w:val="auto"/>
        </w:rPr>
        <w:t>Environmental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Global</w:t>
      </w:r>
    </w:p>
    <w:p>
      <w:pPr>
        <w:ind w:left="60"/>
        <w:spacing w:after="0" w:line="222" w:lineRule="auto"/>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Industry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Manufacturing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Marketing</w:t>
      </w:r>
    </w:p>
    <w:p>
      <w:pPr>
        <w:ind w:left="60"/>
        <w:spacing w:after="0" w:line="222" w:lineRule="auto"/>
        <w:rPr>
          <w:sz w:val="20"/>
          <w:szCs w:val="20"/>
          <w:color w:val="auto"/>
        </w:rPr>
      </w:pPr>
      <w:r>
        <w:rPr>
          <w:rFonts w:ascii="Arial" w:cs="Arial" w:eastAsia="Arial" w:hAnsi="Arial"/>
          <w:sz w:val="14"/>
          <w:szCs w:val="14"/>
          <w:color w:val="auto"/>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40"/>
        <w:spacing w:after="0" w:line="214"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Since 2020, Mr. McNeill has served as</w:t>
      </w:r>
      <w:r>
        <w:rPr>
          <w:rFonts w:ascii="Arial" w:cs="Arial" w:eastAsia="Arial" w:hAnsi="Arial"/>
          <w:sz w:val="16"/>
          <w:szCs w:val="16"/>
          <w:b w:val="1"/>
          <w:bCs w:val="1"/>
          <w:color w:val="0956FF"/>
        </w:rPr>
        <w:t xml:space="preserve"> </w:t>
      </w:r>
      <w:r>
        <w:rPr>
          <w:rFonts w:ascii="Arial" w:cs="Arial" w:eastAsia="Arial" w:hAnsi="Arial"/>
          <w:sz w:val="16"/>
          <w:szCs w:val="16"/>
          <w:color w:val="000000"/>
        </w:rPr>
        <w:t>CEO of DVx Ventures, a venture company focused on early-stage startups. Prior to founding DVx Ventures, he served as Chief Operating Officer of Lyft, Inc. from 2018 to 2019. From 2015 to 2018, he also served as President, global sales, delivery and service of Tesla, Inc., where he led the team to grow revenue from</w:t>
      </w:r>
    </w:p>
    <w:p>
      <w:pPr>
        <w:spacing w:after="0" w:line="2" w:lineRule="exact"/>
        <w:rPr>
          <w:sz w:val="20"/>
          <w:szCs w:val="20"/>
          <w:color w:val="auto"/>
        </w:rPr>
      </w:pPr>
    </w:p>
    <w:p>
      <w:pPr>
        <w:ind w:right="900"/>
        <w:spacing w:after="0" w:line="235" w:lineRule="auto"/>
        <w:rPr>
          <w:sz w:val="20"/>
          <w:szCs w:val="20"/>
          <w:color w:val="auto"/>
        </w:rPr>
      </w:pPr>
      <w:r>
        <w:rPr>
          <w:rFonts w:ascii="Arial" w:cs="Arial" w:eastAsia="Arial" w:hAnsi="Arial"/>
          <w:sz w:val="16"/>
          <w:szCs w:val="16"/>
          <w:color w:val="auto"/>
        </w:rPr>
        <w:t>$2 billion to over $20 billion annually across 33 countries.</w:t>
      </w:r>
    </w:p>
    <w:p>
      <w:pPr>
        <w:spacing w:after="0" w:line="42" w:lineRule="exact"/>
        <w:rPr>
          <w:sz w:val="20"/>
          <w:szCs w:val="20"/>
          <w:color w:val="auto"/>
        </w:rPr>
      </w:pPr>
    </w:p>
    <w:p>
      <w:pPr>
        <w:ind w:right="140"/>
        <w:spacing w:after="0" w:line="213"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Mr. McNeill has deep</w:t>
      </w:r>
      <w:r>
        <w:rPr>
          <w:rFonts w:ascii="Arial" w:cs="Arial" w:eastAsia="Arial" w:hAnsi="Arial"/>
          <w:sz w:val="16"/>
          <w:szCs w:val="16"/>
          <w:b w:val="1"/>
          <w:bCs w:val="1"/>
          <w:color w:val="0956FF"/>
        </w:rPr>
        <w:t xml:space="preserve"> </w:t>
      </w:r>
      <w:r>
        <w:rPr>
          <w:rFonts w:ascii="Arial" w:cs="Arial" w:eastAsia="Arial" w:hAnsi="Arial"/>
          <w:sz w:val="16"/>
          <w:szCs w:val="16"/>
          <w:color w:val="000000"/>
        </w:rPr>
        <w:t>experience as both an entrepreneur and as an executive at companies of significant scale. He is a demonstrated leader in the EV space with expertise in new business models, software architecture, and cybersecurity. Through his experience in positions of senior leadership, he has founded and scaled multiple technology and retail companies. In addition,</w:t>
      </w:r>
    </w:p>
    <w:p>
      <w:pPr>
        <w:spacing w:after="0" w:line="6" w:lineRule="exact"/>
        <w:rPr>
          <w:sz w:val="20"/>
          <w:szCs w:val="20"/>
          <w:color w:val="auto"/>
        </w:rPr>
      </w:pPr>
    </w:p>
    <w:p>
      <w:pPr>
        <w:spacing w:after="0" w:line="227" w:lineRule="auto"/>
        <w:rPr>
          <w:sz w:val="20"/>
          <w:szCs w:val="20"/>
          <w:color w:val="auto"/>
        </w:rPr>
      </w:pPr>
      <w:r>
        <w:rPr>
          <w:rFonts w:ascii="Arial" w:cs="Arial" w:eastAsia="Arial" w:hAnsi="Arial"/>
          <w:sz w:val="16"/>
          <w:szCs w:val="16"/>
          <w:color w:val="auto"/>
        </w:rPr>
        <w:t>Mr. McNeill has emissions, product design, and lifecycle management experience, which he gained through years of advocacy for EV adoption.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Other Public Company Directorships:</w:t>
      </w:r>
      <w:r>
        <w:rPr>
          <w:rFonts w:ascii="Arial" w:cs="Arial" w:eastAsia="Arial" w:hAnsi="Arial"/>
          <w:sz w:val="16"/>
          <w:szCs w:val="16"/>
          <w:color w:val="000000"/>
        </w:rPr>
        <w:t>Lululemon</w:t>
      </w:r>
    </w:p>
    <w:p>
      <w:pPr>
        <w:spacing w:after="0"/>
        <w:rPr>
          <w:sz w:val="20"/>
          <w:szCs w:val="20"/>
          <w:color w:val="auto"/>
        </w:rPr>
      </w:pPr>
      <w:r>
        <w:rPr>
          <w:rFonts w:ascii="Arial" w:cs="Arial" w:eastAsia="Arial" w:hAnsi="Arial"/>
          <w:sz w:val="16"/>
          <w:szCs w:val="16"/>
          <w:color w:val="auto"/>
        </w:rPr>
        <w:t>Athletica Inc.</w:t>
      </w:r>
    </w:p>
    <w:p>
      <w:pPr>
        <w:spacing w:after="0" w:line="30" w:lineRule="exact"/>
        <w:rPr>
          <w:sz w:val="20"/>
          <w:szCs w:val="20"/>
          <w:color w:val="auto"/>
        </w:rPr>
      </w:pPr>
    </w:p>
    <w:p>
      <w:pPr>
        <w:ind w:right="1240"/>
        <w:spacing w:after="0" w:line="296" w:lineRule="auto"/>
        <w:rPr>
          <w:sz w:val="20"/>
          <w:szCs w:val="20"/>
          <w:color w:val="auto"/>
        </w:rPr>
      </w:pPr>
      <w:r>
        <w:rPr>
          <w:rFonts w:ascii="Arial" w:cs="Arial" w:eastAsia="Arial" w:hAnsi="Arial"/>
          <w:sz w:val="16"/>
          <w:szCs w:val="16"/>
          <w:b w:val="1"/>
          <w:bCs w:val="1"/>
          <w:color w:val="0956FF"/>
        </w:rPr>
        <w:t xml:space="preserve">Prior Public Company Directorships (Past Five Years):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334" w:right="179" w:hanging="334"/>
        <w:spacing w:after="0" w:line="200" w:lineRule="auto"/>
        <w:tabs>
          <w:tab w:leader="none" w:pos="334" w:val="left"/>
        </w:tabs>
        <w:numPr>
          <w:ilvl w:val="0"/>
          <w:numId w:val="22"/>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auto"/>
        </w:rPr>
        <w:t>Emerging businesses like GM Energy are part of the Company’s growth strategy. What drove your decision to install a GM Energy Home System?</w:t>
      </w:r>
    </w:p>
    <w:p>
      <w:pPr>
        <w:spacing w:after="0" w:line="144" w:lineRule="exact"/>
        <w:rPr>
          <w:sz w:val="20"/>
          <w:szCs w:val="20"/>
          <w:color w:val="auto"/>
        </w:rPr>
      </w:pPr>
    </w:p>
    <w:p>
      <w:pPr>
        <w:ind w:left="334" w:right="159" w:hanging="333"/>
        <w:spacing w:after="0"/>
        <w:tabs>
          <w:tab w:leader="none" w:pos="334" w:val="left"/>
        </w:tabs>
        <w:numPr>
          <w:ilvl w:val="0"/>
          <w:numId w:val="23"/>
        </w:numPr>
        <w:rPr>
          <w:rFonts w:ascii="Arial" w:cs="Arial" w:eastAsia="Arial" w:hAnsi="Arial"/>
          <w:sz w:val="36"/>
          <w:szCs w:val="36"/>
          <w:b w:val="1"/>
          <w:bCs w:val="1"/>
          <w:color w:val="auto"/>
          <w:vertAlign w:val="subscript"/>
        </w:rPr>
      </w:pPr>
      <w:r>
        <w:rPr>
          <w:rFonts w:ascii="Arial" w:cs="Arial" w:eastAsia="Arial" w:hAnsi="Arial"/>
          <w:sz w:val="16"/>
          <w:szCs w:val="16"/>
          <w:color w:val="auto"/>
        </w:rPr>
        <w:t>The GM Energy Home System is a great product and the prospect of pulling energy from the grid during low-cost periods, storing it in my vehicle’s battery or GM Energy PowerBank, and then discharging that energy into my home at high-cost periods, was a real differentiator. GM Energy offers a unique set of integrated products and solutions to help make home energy management and EV ownership more reliable and cost effective — and I’m excited about its future growth.</w:t>
      </w:r>
    </w:p>
    <w:p>
      <w:pPr>
        <w:spacing w:after="0" w:line="505" w:lineRule="exact"/>
        <w:rPr>
          <w:sz w:val="20"/>
          <w:szCs w:val="20"/>
          <w:color w:val="auto"/>
        </w:rPr>
      </w:pPr>
    </w:p>
    <w:p>
      <w:pPr>
        <w:sectPr>
          <w:pgSz w:w="11900" w:h="16838" w:orient="portrait"/>
          <w:cols w:equalWidth="0" w:num="3">
            <w:col w:w="1620" w:space="280"/>
            <w:col w:w="4020" w:space="446"/>
            <w:col w:w="2693"/>
          </w:cols>
          <w:pgMar w:left="1400" w:top="657" w:right="1440" w:bottom="1440" w:gutter="0" w:footer="0" w:header="0"/>
          <w:type w:val="continuous"/>
        </w:sectPr>
      </w:pPr>
    </w:p>
    <w:p>
      <w:pPr>
        <w:spacing w:after="0" w:line="101"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956FF"/>
        </w:rPr>
        <w:t xml:space="preserve">Judith A. Miscik </w:t>
      </w:r>
      <w:r>
        <w:rPr>
          <w:rFonts w:ascii="Arial" w:cs="Arial" w:eastAsia="Arial" w:hAnsi="Arial"/>
          <w:sz w:val="35"/>
          <w:szCs w:val="35"/>
          <w:b w:val="1"/>
          <w:bCs w:val="1"/>
          <w:color w:val="000000"/>
          <w:vertAlign w:val="superscript"/>
        </w:rPr>
        <w:t>|</w:t>
      </w:r>
      <w:r>
        <w:rPr>
          <w:rFonts w:ascii="Arial" w:cs="Arial" w:eastAsia="Arial" w:hAnsi="Arial"/>
          <w:sz w:val="25"/>
          <w:szCs w:val="25"/>
          <w:b w:val="1"/>
          <w:bCs w:val="1"/>
          <w:color w:val="0956FF"/>
        </w:rPr>
        <w:t xml:space="preserve"> </w:t>
      </w:r>
      <w:r>
        <w:rPr>
          <w:rFonts w:ascii="Arial" w:cs="Arial" w:eastAsia="Arial" w:hAnsi="Arial"/>
          <w:sz w:val="25"/>
          <w:szCs w:val="25"/>
          <w:b w:val="1"/>
          <w:bCs w:val="1"/>
          <w:color w:val="000000"/>
        </w:rPr>
        <w:t>67</w:t>
      </w:r>
    </w:p>
    <w:p>
      <w:pPr>
        <w:ind w:left="1900"/>
        <w:spacing w:after="0"/>
        <w:rPr>
          <w:sz w:val="20"/>
          <w:szCs w:val="20"/>
          <w:color w:val="auto"/>
        </w:rPr>
      </w:pPr>
      <w:r>
        <w:rPr>
          <w:rFonts w:ascii="Arial" w:cs="Arial" w:eastAsia="Arial" w:hAnsi="Arial"/>
          <w:sz w:val="14"/>
          <w:szCs w:val="14"/>
          <w:b w:val="1"/>
          <w:bCs w:val="1"/>
          <w:color w:val="auto"/>
        </w:rPr>
        <w:t>Senior Advisor, Lazard Geopolitical Advisory Group</w:t>
      </w:r>
    </w:p>
    <w:p>
      <w:pPr>
        <w:sectPr>
          <w:pgSz w:w="11900" w:h="16838" w:orient="portrait"/>
          <w:cols w:equalWidth="0" w:num="1">
            <w:col w:w="9059"/>
          </w:cols>
          <w:pgMar w:left="140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2018</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Committees: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Executive</w:t>
      </w:r>
    </w:p>
    <w:p>
      <w:pPr>
        <w:ind w:left="60"/>
        <w:spacing w:after="0" w:line="222" w:lineRule="auto"/>
        <w:rPr>
          <w:sz w:val="20"/>
          <w:szCs w:val="20"/>
          <w:color w:val="auto"/>
        </w:rPr>
      </w:pPr>
      <w:r>
        <w:rPr>
          <w:rFonts w:ascii="Arial" w:cs="Arial" w:eastAsia="Arial" w:hAnsi="Arial"/>
          <w:sz w:val="14"/>
          <w:szCs w:val="14"/>
          <w:color w:val="auto"/>
        </w:rPr>
        <w:t>Finance</w:t>
      </w:r>
    </w:p>
    <w:p>
      <w:pPr>
        <w:spacing w:after="0" w:line="1" w:lineRule="exact"/>
        <w:rPr>
          <w:sz w:val="20"/>
          <w:szCs w:val="20"/>
          <w:color w:val="auto"/>
        </w:rPr>
      </w:pPr>
    </w:p>
    <w:p>
      <w:pPr>
        <w:ind w:left="60" w:right="80"/>
        <w:spacing w:after="0" w:line="264" w:lineRule="auto"/>
        <w:rPr>
          <w:sz w:val="20"/>
          <w:szCs w:val="20"/>
          <w:color w:val="auto"/>
        </w:rPr>
      </w:pPr>
      <w:r>
        <w:rPr>
          <w:rFonts w:ascii="Arial" w:cs="Arial" w:eastAsia="Arial" w:hAnsi="Arial"/>
          <w:sz w:val="14"/>
          <w:szCs w:val="14"/>
          <w:color w:val="auto"/>
        </w:rPr>
        <w:t>Risk and Cybersecurity (Chair)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100"/>
        <w:spacing w:after="0"/>
        <w:rPr>
          <w:sz w:val="20"/>
          <w:szCs w:val="20"/>
          <w:color w:val="auto"/>
        </w:rPr>
      </w:pPr>
      <w:r>
        <w:rPr>
          <w:rFonts w:ascii="Arial" w:cs="Arial" w:eastAsia="Arial" w:hAnsi="Arial"/>
          <w:sz w:val="10"/>
          <w:szCs w:val="10"/>
          <w:b w:val="1"/>
          <w:bCs w:val="1"/>
          <w:color w:val="0956FF"/>
        </w:rPr>
        <w:t>Favorite Current GM Vehicle</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Cadillac Optiq</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Skillset:</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Global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Governance</w:t>
      </w:r>
    </w:p>
    <w:p>
      <w:pPr>
        <w:ind w:left="60"/>
        <w:spacing w:after="0" w:line="222" w:lineRule="auto"/>
        <w:rPr>
          <w:sz w:val="20"/>
          <w:szCs w:val="20"/>
          <w:color w:val="auto"/>
        </w:rPr>
      </w:pPr>
      <w:r>
        <w:rPr>
          <w:rFonts w:ascii="Arial" w:cs="Arial" w:eastAsia="Arial" w:hAnsi="Arial"/>
          <w:sz w:val="14"/>
          <w:szCs w:val="14"/>
          <w:color w:val="auto"/>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00"/>
        <w:spacing w:after="0" w:line="218"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Ms. Miscik is a Senior Advisor at Lazard</w:t>
      </w:r>
      <w:r>
        <w:rPr>
          <w:rFonts w:ascii="Arial" w:cs="Arial" w:eastAsia="Arial" w:hAnsi="Arial"/>
          <w:sz w:val="16"/>
          <w:szCs w:val="16"/>
          <w:b w:val="1"/>
          <w:bCs w:val="1"/>
          <w:color w:val="0956FF"/>
        </w:rPr>
        <w:t xml:space="preserve"> </w:t>
      </w:r>
      <w:r>
        <w:rPr>
          <w:rFonts w:ascii="Arial" w:cs="Arial" w:eastAsia="Arial" w:hAnsi="Arial"/>
          <w:sz w:val="16"/>
          <w:szCs w:val="16"/>
          <w:color w:val="000000"/>
        </w:rPr>
        <w:t>Geopolitical Advisory Group. Prior to her current role, she served as CEO and Vice Chairman of Kissinger Associates, Inc. from 2017 to 2022 and before that in other senior leadership positions. Prior to joining Kissinger Associates, Ms. Miscik was the Global Head of Sovereign Risk at Lehman Brothers from 2005 to 2008; and from 2002 to 2005, she served as Deputy Director for Intelligence at the U.S. Central Intelligence Agency, where she worked from 1983 to 2005.</w:t>
      </w:r>
    </w:p>
    <w:p>
      <w:pPr>
        <w:spacing w:after="0" w:line="30" w:lineRule="exact"/>
        <w:rPr>
          <w:sz w:val="20"/>
          <w:szCs w:val="20"/>
          <w:color w:val="auto"/>
        </w:rPr>
      </w:pPr>
    </w:p>
    <w:p>
      <w:pPr>
        <w:ind w:right="20"/>
        <w:spacing w:after="0" w:line="218"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Ms. Miscik has a unique and</w:t>
      </w:r>
      <w:r>
        <w:rPr>
          <w:rFonts w:ascii="Arial" w:cs="Arial" w:eastAsia="Arial" w:hAnsi="Arial"/>
          <w:sz w:val="16"/>
          <w:szCs w:val="16"/>
          <w:b w:val="1"/>
          <w:bCs w:val="1"/>
          <w:color w:val="0956FF"/>
        </w:rPr>
        <w:t xml:space="preserve"> </w:t>
      </w:r>
      <w:r>
        <w:rPr>
          <w:rFonts w:ascii="Arial" w:cs="Arial" w:eastAsia="Arial" w:hAnsi="Arial"/>
          <w:sz w:val="16"/>
          <w:szCs w:val="16"/>
          <w:color w:val="000000"/>
        </w:rPr>
        <w:t>extensive background in intelligence, security, government affairs, and risk analysis, bringing valuable experience in assessing and mitigating geopolitical and macroeconomic risks in both the public and the private sectors. Drawing on her deep experience in geopolitical and international affairs, she provides strategic insight on key issues affecting the Company, including global markets and supply chain dynamics.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Other Public Company Directorships:</w:t>
      </w:r>
      <w:r>
        <w:rPr>
          <w:rFonts w:ascii="Arial" w:cs="Arial" w:eastAsia="Arial" w:hAnsi="Arial"/>
          <w:sz w:val="16"/>
          <w:szCs w:val="16"/>
          <w:color w:val="000000"/>
        </w:rPr>
        <w:t>Morgan Stanley</w:t>
      </w:r>
    </w:p>
    <w:p>
      <w:pPr>
        <w:spacing w:after="0"/>
        <w:rPr>
          <w:sz w:val="20"/>
          <w:szCs w:val="20"/>
          <w:color w:val="auto"/>
        </w:rPr>
      </w:pPr>
      <w:r>
        <w:rPr>
          <w:rFonts w:ascii="Arial" w:cs="Arial" w:eastAsia="Arial" w:hAnsi="Arial"/>
          <w:sz w:val="16"/>
          <w:szCs w:val="16"/>
          <w:color w:val="auto"/>
        </w:rPr>
        <w:t>and HP Inc.</w:t>
      </w:r>
    </w:p>
    <w:p>
      <w:pPr>
        <w:spacing w:after="0" w:line="30" w:lineRule="exact"/>
        <w:rPr>
          <w:sz w:val="20"/>
          <w:szCs w:val="20"/>
          <w:color w:val="auto"/>
        </w:rPr>
      </w:pPr>
    </w:p>
    <w:p>
      <w:pPr>
        <w:ind w:right="1240"/>
        <w:spacing w:after="0" w:line="279" w:lineRule="auto"/>
        <w:rPr>
          <w:sz w:val="20"/>
          <w:szCs w:val="20"/>
          <w:color w:val="auto"/>
        </w:rPr>
      </w:pPr>
      <w:r>
        <w:rPr>
          <w:rFonts w:ascii="Arial" w:cs="Arial" w:eastAsia="Arial" w:hAnsi="Arial"/>
          <w:sz w:val="16"/>
          <w:szCs w:val="16"/>
          <w:b w:val="1"/>
          <w:bCs w:val="1"/>
          <w:color w:val="0956FF"/>
        </w:rPr>
        <w:t xml:space="preserve">Prior Public Company Directorships (Past Five Years):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334" w:right="399" w:hanging="334"/>
        <w:spacing w:after="0" w:line="182" w:lineRule="auto"/>
        <w:tabs>
          <w:tab w:leader="none" w:pos="334" w:val="left"/>
        </w:tabs>
        <w:numPr>
          <w:ilvl w:val="0"/>
          <w:numId w:val="24"/>
        </w:numPr>
        <w:rPr>
          <w:rFonts w:ascii="Arial" w:cs="Arial" w:eastAsia="Arial" w:hAnsi="Arial"/>
          <w:sz w:val="28"/>
          <w:szCs w:val="28"/>
          <w:b w:val="1"/>
          <w:bCs w:val="1"/>
          <w:color w:val="FFFFFF"/>
          <w:vertAlign w:val="subscript"/>
        </w:rPr>
      </w:pPr>
      <w:r>
        <w:rPr>
          <w:rFonts w:ascii="Arial" w:cs="Arial" w:eastAsia="Arial" w:hAnsi="Arial"/>
          <w:sz w:val="14"/>
          <w:szCs w:val="14"/>
          <w:b w:val="1"/>
          <w:bCs w:val="1"/>
          <w:color w:val="auto"/>
        </w:rPr>
        <w:t>What are the current priorities for the Risk and</w:t>
      </w:r>
    </w:p>
    <w:p>
      <w:pPr>
        <w:spacing w:after="0" w:line="1" w:lineRule="exact"/>
        <w:rPr>
          <w:sz w:val="20"/>
          <w:szCs w:val="20"/>
          <w:color w:val="auto"/>
        </w:rPr>
      </w:pPr>
    </w:p>
    <w:p>
      <w:pPr>
        <w:ind w:left="334"/>
        <w:spacing w:after="0"/>
        <w:rPr>
          <w:sz w:val="20"/>
          <w:szCs w:val="20"/>
          <w:color w:val="auto"/>
        </w:rPr>
      </w:pPr>
      <w:r>
        <w:rPr>
          <w:rFonts w:ascii="Arial" w:cs="Arial" w:eastAsia="Arial" w:hAnsi="Arial"/>
          <w:sz w:val="16"/>
          <w:szCs w:val="16"/>
          <w:b w:val="1"/>
          <w:bCs w:val="1"/>
          <w:color w:val="auto"/>
        </w:rPr>
        <w:t>Cybersecurity Committee?</w:t>
      </w:r>
    </w:p>
    <w:p>
      <w:pPr>
        <w:spacing w:after="0" w:line="165" w:lineRule="exact"/>
        <w:rPr>
          <w:sz w:val="20"/>
          <w:szCs w:val="20"/>
          <w:color w:val="auto"/>
        </w:rPr>
      </w:pPr>
    </w:p>
    <w:p>
      <w:pPr>
        <w:ind w:left="334" w:right="239" w:hanging="333"/>
        <w:spacing w:after="0" w:line="218" w:lineRule="auto"/>
        <w:tabs>
          <w:tab w:leader="none" w:pos="334" w:val="left"/>
        </w:tabs>
        <w:numPr>
          <w:ilvl w:val="0"/>
          <w:numId w:val="25"/>
        </w:numPr>
        <w:rPr>
          <w:rFonts w:ascii="Arial" w:cs="Arial" w:eastAsia="Arial" w:hAnsi="Arial"/>
          <w:sz w:val="36"/>
          <w:szCs w:val="36"/>
          <w:b w:val="1"/>
          <w:bCs w:val="1"/>
          <w:color w:val="auto"/>
          <w:vertAlign w:val="subscript"/>
        </w:rPr>
      </w:pPr>
      <w:r>
        <w:rPr>
          <w:rFonts w:ascii="Arial" w:cs="Arial" w:eastAsia="Arial" w:hAnsi="Arial"/>
          <w:sz w:val="16"/>
          <w:szCs w:val="16"/>
          <w:color w:val="auto"/>
        </w:rPr>
        <w:t>In 2026, the Committee is focused on risks across our enterprise, including our cyber risk management strategies, product technology, data security, product safety, the global supply chain, and emerging risks on the horizon. Our priorities also include broader risk management updates to ensure GM is equipped with the right processes, talent, and culture to manage risks as we pursue our strategic objectives.</w:t>
      </w:r>
    </w:p>
    <w:p>
      <w:pPr>
        <w:spacing w:after="0" w:line="899" w:lineRule="exact"/>
        <w:rPr>
          <w:sz w:val="20"/>
          <w:szCs w:val="20"/>
          <w:color w:val="auto"/>
        </w:rPr>
      </w:pPr>
    </w:p>
    <w:p>
      <w:pPr>
        <w:sectPr>
          <w:pgSz w:w="11900" w:h="16838" w:orient="portrait"/>
          <w:cols w:equalWidth="0" w:num="3">
            <w:col w:w="1620" w:space="280"/>
            <w:col w:w="4020" w:space="446"/>
            <w:col w:w="2693"/>
          </w:cols>
          <w:pgMar w:left="140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9059"/>
          </w:cols>
          <w:pgMar w:left="1400" w:top="657" w:right="1440"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71"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956FF"/>
        </w:rPr>
        <w:t xml:space="preserve">Mark A. Tatum </w:t>
      </w:r>
      <w:r>
        <w:rPr>
          <w:rFonts w:ascii="Arial" w:cs="Arial" w:eastAsia="Arial" w:hAnsi="Arial"/>
          <w:sz w:val="35"/>
          <w:szCs w:val="35"/>
          <w:b w:val="1"/>
          <w:bCs w:val="1"/>
          <w:color w:val="000000"/>
          <w:vertAlign w:val="superscript"/>
        </w:rPr>
        <w:t>|</w:t>
      </w:r>
      <w:r>
        <w:rPr>
          <w:rFonts w:ascii="Arial" w:cs="Arial" w:eastAsia="Arial" w:hAnsi="Arial"/>
          <w:sz w:val="25"/>
          <w:szCs w:val="25"/>
          <w:b w:val="1"/>
          <w:bCs w:val="1"/>
          <w:color w:val="0956FF"/>
        </w:rPr>
        <w:t xml:space="preserve"> </w:t>
      </w:r>
      <w:r>
        <w:rPr>
          <w:rFonts w:ascii="Arial" w:cs="Arial" w:eastAsia="Arial" w:hAnsi="Arial"/>
          <w:sz w:val="25"/>
          <w:szCs w:val="25"/>
          <w:b w:val="1"/>
          <w:bCs w:val="1"/>
          <w:color w:val="000000"/>
        </w:rPr>
        <w:t>56</w:t>
      </w:r>
    </w:p>
    <w:p>
      <w:pPr>
        <w:ind w:left="1860"/>
        <w:spacing w:after="0"/>
        <w:rPr>
          <w:sz w:val="20"/>
          <w:szCs w:val="20"/>
          <w:color w:val="auto"/>
        </w:rPr>
      </w:pPr>
      <w:r>
        <w:rPr>
          <w:rFonts w:ascii="Arial" w:cs="Arial" w:eastAsia="Arial" w:hAnsi="Arial"/>
          <w:sz w:val="14"/>
          <w:szCs w:val="14"/>
          <w:b w:val="1"/>
          <w:bCs w:val="1"/>
          <w:color w:val="auto"/>
        </w:rPr>
        <w:t>Deputy Commissioner and Chief Operating Officer, National Basketball Association</w:t>
      </w:r>
    </w:p>
    <w:p>
      <w:pPr>
        <w:sectPr>
          <w:pgSz w:w="11900" w:h="16838" w:orient="portrait"/>
          <w:cols w:equalWidth="0" w:num="1">
            <w:col w:w="9060"/>
          </w:cols>
          <w:pgMar w:left="144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2021</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Committees:</w:t>
      </w:r>
    </w:p>
    <w:p>
      <w:pPr>
        <w:ind w:left="20"/>
        <w:spacing w:after="0"/>
        <w:rPr>
          <w:sz w:val="20"/>
          <w:szCs w:val="20"/>
          <w:color w:val="auto"/>
        </w:rPr>
      </w:pPr>
      <w:r>
        <w:rPr>
          <w:rFonts w:ascii="Arial" w:cs="Arial" w:eastAsia="Arial" w:hAnsi="Arial"/>
          <w:sz w:val="14"/>
          <w:szCs w:val="14"/>
          <w:color w:val="auto"/>
        </w:rPr>
        <w:t>Audit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60"/>
        <w:spacing w:after="0"/>
        <w:rPr>
          <w:sz w:val="20"/>
          <w:szCs w:val="20"/>
          <w:color w:val="auto"/>
        </w:rPr>
      </w:pPr>
      <w:r>
        <w:rPr>
          <w:rFonts w:ascii="Arial" w:cs="Arial" w:eastAsia="Arial" w:hAnsi="Arial"/>
          <w:sz w:val="10"/>
          <w:szCs w:val="10"/>
          <w:b w:val="1"/>
          <w:bCs w:val="1"/>
          <w:color w:val="0956FF"/>
        </w:rPr>
        <w:t>Favorite Current GM Vehicle</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Cadillac Vistiq</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Skillset: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color w:val="auto"/>
        </w:rPr>
        <w:t>Global</w:t>
      </w:r>
    </w:p>
    <w:p>
      <w:pPr>
        <w:ind w:left="20"/>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Marketing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 Management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Social</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60"/>
        <w:spacing w:after="0" w:line="218"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Mr. Tatum joined the National Basketball</w:t>
      </w:r>
      <w:r>
        <w:rPr>
          <w:rFonts w:ascii="Arial" w:cs="Arial" w:eastAsia="Arial" w:hAnsi="Arial"/>
          <w:sz w:val="16"/>
          <w:szCs w:val="16"/>
          <w:b w:val="1"/>
          <w:bCs w:val="1"/>
          <w:color w:val="0956FF"/>
        </w:rPr>
        <w:t xml:space="preserve"> </w:t>
      </w:r>
      <w:r>
        <w:rPr>
          <w:rFonts w:ascii="Arial" w:cs="Arial" w:eastAsia="Arial" w:hAnsi="Arial"/>
          <w:sz w:val="16"/>
          <w:szCs w:val="16"/>
          <w:color w:val="000000"/>
        </w:rPr>
        <w:t>Association (NBA) in 1999 and was appointed NBA Deputy Commissioner and Chief Operating Officer in 2014. Prior to that, he served in numerous leadership roles at the NBA, including Executive Vice President of Global Marketing Partnerships; Senior Vice President; Vice President of Business Development; Senior Director and Group Manager of Marketing Properties; and Director of Marketing Partnerships.</w:t>
      </w:r>
    </w:p>
    <w:p>
      <w:pPr>
        <w:spacing w:after="0" w:line="48" w:lineRule="exact"/>
        <w:rPr>
          <w:sz w:val="20"/>
          <w:szCs w:val="20"/>
          <w:color w:val="auto"/>
        </w:rPr>
      </w:pPr>
    </w:p>
    <w:p>
      <w:pPr>
        <w:spacing w:after="0" w:line="221"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Mr. Tatum has extensive</w:t>
      </w:r>
      <w:r>
        <w:rPr>
          <w:rFonts w:ascii="Arial" w:cs="Arial" w:eastAsia="Arial" w:hAnsi="Arial"/>
          <w:sz w:val="16"/>
          <w:szCs w:val="16"/>
          <w:b w:val="1"/>
          <w:bCs w:val="1"/>
          <w:color w:val="0956FF"/>
        </w:rPr>
        <w:t xml:space="preserve"> </w:t>
      </w:r>
      <w:r>
        <w:rPr>
          <w:rFonts w:ascii="Arial" w:cs="Arial" w:eastAsia="Arial" w:hAnsi="Arial"/>
          <w:sz w:val="16"/>
          <w:szCs w:val="16"/>
          <w:color w:val="000000"/>
        </w:rPr>
        <w:t>senior leadership experience in labor relations, brand development, marketing and sales strategy, managing media relationships and global business operations. He also has significant experience driving customer engagement and operations globally through his leadership roles at the NBA.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Other Public Company Directorships:</w:t>
      </w:r>
      <w:r>
        <w:rPr>
          <w:rFonts w:ascii="Arial" w:cs="Arial" w:eastAsia="Arial" w:hAnsi="Arial"/>
          <w:sz w:val="16"/>
          <w:szCs w:val="16"/>
          <w:color w:val="000000"/>
        </w:rPr>
        <w:t>None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Prior Public Company Directorships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 xml:space="preserve">(Past Five Years):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34" w:right="220" w:hanging="334"/>
        <w:spacing w:after="0" w:line="189" w:lineRule="auto"/>
        <w:tabs>
          <w:tab w:leader="none" w:pos="334" w:val="left"/>
        </w:tabs>
        <w:numPr>
          <w:ilvl w:val="0"/>
          <w:numId w:val="26"/>
        </w:numPr>
        <w:rPr>
          <w:rFonts w:ascii="Arial" w:cs="Arial" w:eastAsia="Arial" w:hAnsi="Arial"/>
          <w:sz w:val="26"/>
          <w:szCs w:val="26"/>
          <w:b w:val="1"/>
          <w:bCs w:val="1"/>
          <w:color w:val="FFFFFF"/>
          <w:vertAlign w:val="subscript"/>
        </w:rPr>
      </w:pPr>
      <w:r>
        <w:rPr>
          <w:rFonts w:ascii="Arial" w:cs="Arial" w:eastAsia="Arial" w:hAnsi="Arial"/>
          <w:sz w:val="13"/>
          <w:szCs w:val="13"/>
          <w:b w:val="1"/>
          <w:bCs w:val="1"/>
          <w:color w:val="auto"/>
        </w:rPr>
        <w:t>What role has the Board played in Cadillac’s Formula</w:t>
      </w:r>
    </w:p>
    <w:p>
      <w:pPr>
        <w:ind w:left="334"/>
        <w:spacing w:after="0"/>
        <w:rPr>
          <w:sz w:val="20"/>
          <w:szCs w:val="20"/>
          <w:color w:val="auto"/>
        </w:rPr>
      </w:pPr>
      <w:r>
        <w:rPr>
          <w:rFonts w:ascii="Arial" w:cs="Arial" w:eastAsia="Arial" w:hAnsi="Arial"/>
          <w:sz w:val="16"/>
          <w:szCs w:val="16"/>
          <w:b w:val="1"/>
          <w:bCs w:val="1"/>
          <w:color w:val="auto"/>
        </w:rPr>
        <w:t>1 strategy?</w:t>
      </w:r>
    </w:p>
    <w:p>
      <w:pPr>
        <w:spacing w:after="0" w:line="178" w:lineRule="exact"/>
        <w:rPr>
          <w:sz w:val="20"/>
          <w:szCs w:val="20"/>
          <w:color w:val="auto"/>
        </w:rPr>
      </w:pPr>
    </w:p>
    <w:p>
      <w:pPr>
        <w:ind w:left="334" w:right="260" w:hanging="333"/>
        <w:spacing w:after="0" w:line="222" w:lineRule="auto"/>
        <w:tabs>
          <w:tab w:leader="none" w:pos="334" w:val="left"/>
        </w:tabs>
        <w:numPr>
          <w:ilvl w:val="0"/>
          <w:numId w:val="27"/>
        </w:numPr>
        <w:rPr>
          <w:rFonts w:ascii="Arial" w:cs="Arial" w:eastAsia="Arial" w:hAnsi="Arial"/>
          <w:sz w:val="36"/>
          <w:szCs w:val="36"/>
          <w:b w:val="1"/>
          <w:bCs w:val="1"/>
          <w:color w:val="auto"/>
          <w:vertAlign w:val="subscript"/>
        </w:rPr>
      </w:pPr>
      <w:r>
        <w:rPr>
          <w:rFonts w:ascii="Arial" w:cs="Arial" w:eastAsia="Arial" w:hAnsi="Arial"/>
          <w:sz w:val="16"/>
          <w:szCs w:val="16"/>
          <w:color w:val="auto"/>
        </w:rPr>
        <w:t>A few years ago, we toured the Company’s Motorsports headquarters in North Carolina and the Board has been very excited about the Formula 1 opportunity. Now that we have started racing, Mark Reuss, GM President, provides regular updates to showcase adjacent enterprise and brand integration opportunities that the Formula 1 entry is creating. The Board regularly tracks how the F1 program is performing relative to its goals and benchmarks.</w:t>
      </w:r>
    </w:p>
    <w:p>
      <w:pPr>
        <w:spacing w:after="0" w:line="387" w:lineRule="exact"/>
        <w:rPr>
          <w:sz w:val="20"/>
          <w:szCs w:val="20"/>
          <w:color w:val="auto"/>
        </w:rPr>
      </w:pPr>
    </w:p>
    <w:p>
      <w:pPr>
        <w:sectPr>
          <w:pgSz w:w="11900" w:h="16838" w:orient="portrait"/>
          <w:cols w:equalWidth="0" w:num="3">
            <w:col w:w="1580" w:space="280"/>
            <w:col w:w="3980" w:space="486"/>
            <w:col w:w="2734"/>
          </w:cols>
          <w:pgMar w:left="1440" w:top="657" w:right="1399" w:bottom="1440" w:gutter="0" w:footer="0" w:header="0"/>
          <w:type w:val="continuous"/>
        </w:sectPr>
      </w:pPr>
    </w:p>
    <w:p>
      <w:pPr>
        <w:spacing w:after="0" w:line="101" w:lineRule="exact"/>
        <w:rPr>
          <w:sz w:val="20"/>
          <w:szCs w:val="20"/>
          <w:color w:val="auto"/>
        </w:rPr>
      </w:pPr>
    </w:p>
    <w:p>
      <w:pPr>
        <w:ind w:left="1860"/>
        <w:spacing w:after="0"/>
        <w:rPr>
          <w:sz w:val="20"/>
          <w:szCs w:val="20"/>
          <w:color w:val="auto"/>
        </w:rPr>
      </w:pPr>
      <w:r>
        <w:rPr>
          <w:rFonts w:ascii="Arial" w:cs="Arial" w:eastAsia="Arial" w:hAnsi="Arial"/>
          <w:sz w:val="25"/>
          <w:szCs w:val="25"/>
          <w:b w:val="1"/>
          <w:bCs w:val="1"/>
          <w:color w:val="0956FF"/>
        </w:rPr>
        <w:t xml:space="preserve">Jan E. Tighe </w:t>
      </w:r>
      <w:r>
        <w:rPr>
          <w:rFonts w:ascii="Arial" w:cs="Arial" w:eastAsia="Arial" w:hAnsi="Arial"/>
          <w:sz w:val="35"/>
          <w:szCs w:val="35"/>
          <w:b w:val="1"/>
          <w:bCs w:val="1"/>
          <w:color w:val="000000"/>
          <w:vertAlign w:val="superscript"/>
        </w:rPr>
        <w:t>|</w:t>
      </w:r>
      <w:r>
        <w:rPr>
          <w:rFonts w:ascii="Arial" w:cs="Arial" w:eastAsia="Arial" w:hAnsi="Arial"/>
          <w:sz w:val="25"/>
          <w:szCs w:val="25"/>
          <w:b w:val="1"/>
          <w:bCs w:val="1"/>
          <w:color w:val="0956FF"/>
        </w:rPr>
        <w:t xml:space="preserve"> </w:t>
      </w:r>
      <w:r>
        <w:rPr>
          <w:rFonts w:ascii="Arial" w:cs="Arial" w:eastAsia="Arial" w:hAnsi="Arial"/>
          <w:sz w:val="25"/>
          <w:szCs w:val="25"/>
          <w:b w:val="1"/>
          <w:bCs w:val="1"/>
          <w:color w:val="000000"/>
        </w:rPr>
        <w:t>63</w:t>
      </w:r>
    </w:p>
    <w:p>
      <w:pPr>
        <w:ind w:left="1860"/>
        <w:spacing w:after="0"/>
        <w:rPr>
          <w:sz w:val="20"/>
          <w:szCs w:val="20"/>
          <w:color w:val="auto"/>
        </w:rPr>
      </w:pPr>
      <w:r>
        <w:rPr>
          <w:rFonts w:ascii="Arial" w:cs="Arial" w:eastAsia="Arial" w:hAnsi="Arial"/>
          <w:sz w:val="14"/>
          <w:szCs w:val="14"/>
          <w:b w:val="1"/>
          <w:bCs w:val="1"/>
          <w:color w:val="auto"/>
        </w:rPr>
        <w:t>Retired Vice Admiral, U.S. Navy</w:t>
      </w:r>
    </w:p>
    <w:p>
      <w:pPr>
        <w:sectPr>
          <w:pgSz w:w="11900" w:h="16838" w:orient="portrait"/>
          <w:cols w:equalWidth="0" w:num="1">
            <w:col w:w="9060"/>
          </w:cols>
          <w:pgMar w:left="144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2023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Committees: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Audit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 and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60"/>
        <w:spacing w:after="0"/>
        <w:rPr>
          <w:sz w:val="20"/>
          <w:szCs w:val="20"/>
          <w:color w:val="auto"/>
        </w:rPr>
      </w:pPr>
      <w:r>
        <w:rPr>
          <w:rFonts w:ascii="Arial" w:cs="Arial" w:eastAsia="Arial" w:hAnsi="Arial"/>
          <w:sz w:val="10"/>
          <w:szCs w:val="10"/>
          <w:b w:val="1"/>
          <w:bCs w:val="1"/>
          <w:color w:val="0956FF"/>
        </w:rPr>
        <w:t>Favorite Current GM Vehicle</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Chevrolet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Corvette ZRX1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956FF"/>
        </w:rPr>
        <w:t>Skillset: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Cyber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Global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Governance</w:t>
      </w:r>
    </w:p>
    <w:p>
      <w:pPr>
        <w:ind w:left="20"/>
        <w:spacing w:after="0" w:line="222" w:lineRule="auto"/>
        <w:rPr>
          <w:sz w:val="20"/>
          <w:szCs w:val="20"/>
          <w:color w:val="auto"/>
        </w:rPr>
      </w:pPr>
      <w:r>
        <w:rPr>
          <w:rFonts w:ascii="Arial" w:cs="Arial" w:eastAsia="Arial" w:hAnsi="Arial"/>
          <w:sz w:val="14"/>
          <w:szCs w:val="14"/>
          <w:color w:val="auto"/>
        </w:rPr>
        <w:t>Risk Management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Social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60"/>
        <w:spacing w:after="0" w:line="218"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Vice Admiral Tighe retired from the U.S.</w:t>
      </w:r>
      <w:r>
        <w:rPr>
          <w:rFonts w:ascii="Arial" w:cs="Arial" w:eastAsia="Arial" w:hAnsi="Arial"/>
          <w:sz w:val="16"/>
          <w:szCs w:val="16"/>
          <w:b w:val="1"/>
          <w:bCs w:val="1"/>
          <w:color w:val="0956FF"/>
        </w:rPr>
        <w:t xml:space="preserve"> </w:t>
      </w:r>
      <w:r>
        <w:rPr>
          <w:rFonts w:ascii="Arial" w:cs="Arial" w:eastAsia="Arial" w:hAnsi="Arial"/>
          <w:sz w:val="16"/>
          <w:szCs w:val="16"/>
          <w:color w:val="000000"/>
        </w:rPr>
        <w:t>Navy in 2018, having served as the Deputy Chief of Naval Operations for Information Warfare and Director of Naval Intelligence. Her prior Flag Officer assignments include command of the Navy’s Fleet Cyber Command from 2014 to 2016, President of the Naval Postgraduate School from 2012 to 2013, and Deputy Director of Operations at U.S. Cyber Command from 2010 to 2011.</w:t>
      </w:r>
    </w:p>
    <w:p>
      <w:pPr>
        <w:spacing w:after="0" w:line="35" w:lineRule="exact"/>
        <w:rPr>
          <w:sz w:val="20"/>
          <w:szCs w:val="20"/>
          <w:color w:val="auto"/>
        </w:rPr>
      </w:pPr>
    </w:p>
    <w:p>
      <w:pPr>
        <w:ind w:right="180"/>
        <w:spacing w:after="0" w:line="216"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Vice Admiral Tighe</w:t>
      </w:r>
      <w:r>
        <w:rPr>
          <w:rFonts w:ascii="Arial" w:cs="Arial" w:eastAsia="Arial" w:hAnsi="Arial"/>
          <w:sz w:val="16"/>
          <w:szCs w:val="16"/>
          <w:b w:val="1"/>
          <w:bCs w:val="1"/>
          <w:color w:val="0956FF"/>
        </w:rPr>
        <w:t xml:space="preserve"> </w:t>
      </w:r>
      <w:r>
        <w:rPr>
          <w:rFonts w:ascii="Arial" w:cs="Arial" w:eastAsia="Arial" w:hAnsi="Arial"/>
          <w:sz w:val="16"/>
          <w:szCs w:val="16"/>
          <w:color w:val="000000"/>
        </w:rPr>
        <w:t>cultivated her operational experience in complex cybersecurity matters, including operational technologies, information systems technology, technology risk management, and strategic assessments, while serving in global operations roles for the U.S. Navy and the National Security Agency. Her extensive leadership experience of more than 20 years in the U.S. Navy during a significant period of technological transformation provides valuable insights that are essential to the Company as it continues to make progress on new technologies, like EV, autonomous driving, and software offerings.</w:t>
      </w:r>
    </w:p>
    <w:p>
      <w:pPr>
        <w:spacing w:after="0" w:line="34"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0956FF"/>
        </w:rPr>
        <w:t xml:space="preserve">Other Public Company Directorships: </w:t>
      </w:r>
      <w:r>
        <w:rPr>
          <w:rFonts w:ascii="Arial" w:cs="Arial" w:eastAsia="Arial" w:hAnsi="Arial"/>
          <w:sz w:val="16"/>
          <w:szCs w:val="16"/>
          <w:color w:val="000000"/>
        </w:rPr>
        <w:t>The Goldman</w:t>
      </w:r>
      <w:r>
        <w:rPr>
          <w:rFonts w:ascii="Arial" w:cs="Arial" w:eastAsia="Arial" w:hAnsi="Arial"/>
          <w:sz w:val="16"/>
          <w:szCs w:val="16"/>
          <w:b w:val="1"/>
          <w:bCs w:val="1"/>
          <w:color w:val="0956FF"/>
        </w:rPr>
        <w:t xml:space="preserve"> </w:t>
      </w:r>
      <w:r>
        <w:rPr>
          <w:rFonts w:ascii="Arial" w:cs="Arial" w:eastAsia="Arial" w:hAnsi="Arial"/>
          <w:sz w:val="16"/>
          <w:szCs w:val="16"/>
          <w:color w:val="000000"/>
        </w:rPr>
        <w:t>Sachs Group, Inc. and Huntsman Corporation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Prior Public Company Directorships</w:t>
      </w:r>
    </w:p>
    <w:p>
      <w:pPr>
        <w:spacing w:after="0" w:line="8"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b w:val="1"/>
          <w:bCs w:val="1"/>
          <w:color w:val="0956FF"/>
        </w:rPr>
        <w:t xml:space="preserve">(Past Five Years): </w:t>
      </w:r>
      <w:r>
        <w:rPr>
          <w:rFonts w:ascii="Arial" w:cs="Arial" w:eastAsia="Arial" w:hAnsi="Arial"/>
          <w:sz w:val="16"/>
          <w:szCs w:val="16"/>
          <w:color w:val="000000"/>
        </w:rPr>
        <w:t>The Progressive Corporation and</w:t>
      </w:r>
      <w:r>
        <w:rPr>
          <w:rFonts w:ascii="Arial" w:cs="Arial" w:eastAsia="Arial" w:hAnsi="Arial"/>
          <w:sz w:val="16"/>
          <w:szCs w:val="16"/>
          <w:b w:val="1"/>
          <w:bCs w:val="1"/>
          <w:color w:val="0956FF"/>
        </w:rPr>
        <w:t xml:space="preserve"> </w:t>
      </w:r>
      <w:r>
        <w:rPr>
          <w:rFonts w:ascii="Arial" w:cs="Arial" w:eastAsia="Arial" w:hAnsi="Arial"/>
          <w:sz w:val="16"/>
          <w:szCs w:val="16"/>
          <w:color w:val="000000"/>
        </w:rPr>
        <w:t>IronNet, Inc.</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34" w:right="140" w:hanging="334"/>
        <w:spacing w:after="0" w:line="195" w:lineRule="auto"/>
        <w:tabs>
          <w:tab w:leader="none" w:pos="334" w:val="left"/>
        </w:tabs>
        <w:numPr>
          <w:ilvl w:val="0"/>
          <w:numId w:val="28"/>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auto"/>
        </w:rPr>
        <w:t>The Company made changes to its manufacturing footprint last year and invested in its U.S. plants. As a Board member, how do you help oversee the manufacturing process?</w:t>
      </w:r>
    </w:p>
    <w:p>
      <w:pPr>
        <w:spacing w:after="0" w:line="171" w:lineRule="exact"/>
        <w:rPr>
          <w:sz w:val="20"/>
          <w:szCs w:val="20"/>
          <w:color w:val="auto"/>
        </w:rPr>
      </w:pPr>
    </w:p>
    <w:p>
      <w:pPr>
        <w:ind w:left="334" w:right="240" w:hanging="333"/>
        <w:spacing w:after="0" w:line="210" w:lineRule="auto"/>
        <w:tabs>
          <w:tab w:leader="none" w:pos="334" w:val="left"/>
        </w:tabs>
        <w:numPr>
          <w:ilvl w:val="0"/>
          <w:numId w:val="29"/>
        </w:numPr>
        <w:rPr>
          <w:rFonts w:ascii="Arial" w:cs="Arial" w:eastAsia="Arial" w:hAnsi="Arial"/>
          <w:sz w:val="36"/>
          <w:szCs w:val="36"/>
          <w:b w:val="1"/>
          <w:bCs w:val="1"/>
          <w:color w:val="auto"/>
          <w:vertAlign w:val="subscript"/>
        </w:rPr>
      </w:pPr>
      <w:r>
        <w:rPr>
          <w:rFonts w:ascii="Arial" w:cs="Arial" w:eastAsia="Arial" w:hAnsi="Arial"/>
          <w:sz w:val="16"/>
          <w:szCs w:val="16"/>
          <w:color w:val="auto"/>
        </w:rPr>
        <w:t>The Board has periodic opportunities to tour our manufacturing facilities. We believe that the future of transportation will be shaped by the Company’s innovation and manufacturing expertise, like the introduction of new co-bots to support our team members’ productivity and safety. The Board encourages management to find ways to build affordable vehicles in the U.S. and support local economies, so our customers continue to have access to a broad range of vehicles they love.</w:t>
      </w:r>
    </w:p>
    <w:p>
      <w:pPr>
        <w:spacing w:after="0" w:line="366" w:lineRule="exact"/>
        <w:rPr>
          <w:sz w:val="20"/>
          <w:szCs w:val="20"/>
          <w:color w:val="auto"/>
        </w:rPr>
      </w:pPr>
    </w:p>
    <w:p>
      <w:pPr>
        <w:sectPr>
          <w:pgSz w:w="11900" w:h="16838" w:orient="portrait"/>
          <w:cols w:equalWidth="0" w:num="3">
            <w:col w:w="1580" w:space="280"/>
            <w:col w:w="4020" w:space="446"/>
            <w:col w:w="2734"/>
          </w:cols>
          <w:pgMar w:left="144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980"/>
        <w:spacing w:after="0"/>
        <w:tabs>
          <w:tab w:leader="none" w:pos="882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13</w:t>
      </w:r>
    </w:p>
    <w:p>
      <w:pPr>
        <w:sectPr>
          <w:pgSz w:w="11900" w:h="16838" w:orient="portrait"/>
          <w:cols w:equalWidth="0" w:num="1">
            <w:col w:w="9060"/>
          </w:cols>
          <w:pgMar w:left="1440" w:top="657" w:right="13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71" w:lineRule="exact"/>
        <w:rPr>
          <w:sz w:val="20"/>
          <w:szCs w:val="20"/>
          <w:color w:val="auto"/>
        </w:rPr>
      </w:pPr>
    </w:p>
    <w:p>
      <w:pPr>
        <w:ind w:left="1900"/>
        <w:spacing w:after="0"/>
        <w:rPr>
          <w:sz w:val="20"/>
          <w:szCs w:val="20"/>
          <w:color w:val="auto"/>
        </w:rPr>
      </w:pPr>
      <w:r>
        <w:rPr>
          <w:rFonts w:ascii="Arial" w:cs="Arial" w:eastAsia="Arial" w:hAnsi="Arial"/>
          <w:sz w:val="25"/>
          <w:szCs w:val="25"/>
          <w:b w:val="1"/>
          <w:bCs w:val="1"/>
          <w:color w:val="0956FF"/>
        </w:rPr>
        <w:t xml:space="preserve">Devin N. Wenig </w:t>
      </w:r>
      <w:r>
        <w:rPr>
          <w:rFonts w:ascii="Arial" w:cs="Arial" w:eastAsia="Arial" w:hAnsi="Arial"/>
          <w:sz w:val="35"/>
          <w:szCs w:val="35"/>
          <w:b w:val="1"/>
          <w:bCs w:val="1"/>
          <w:color w:val="000000"/>
          <w:vertAlign w:val="superscript"/>
        </w:rPr>
        <w:t>|</w:t>
      </w:r>
      <w:r>
        <w:rPr>
          <w:rFonts w:ascii="Arial" w:cs="Arial" w:eastAsia="Arial" w:hAnsi="Arial"/>
          <w:sz w:val="25"/>
          <w:szCs w:val="25"/>
          <w:b w:val="1"/>
          <w:bCs w:val="1"/>
          <w:color w:val="0956FF"/>
        </w:rPr>
        <w:t xml:space="preserve"> </w:t>
      </w:r>
      <w:r>
        <w:rPr>
          <w:rFonts w:ascii="Arial" w:cs="Arial" w:eastAsia="Arial" w:hAnsi="Arial"/>
          <w:sz w:val="25"/>
          <w:szCs w:val="25"/>
          <w:b w:val="1"/>
          <w:bCs w:val="1"/>
          <w:color w:val="000000"/>
        </w:rPr>
        <w:t>59</w:t>
      </w:r>
    </w:p>
    <w:p>
      <w:pPr>
        <w:ind w:left="1900"/>
        <w:spacing w:after="0"/>
        <w:rPr>
          <w:sz w:val="20"/>
          <w:szCs w:val="20"/>
          <w:color w:val="auto"/>
        </w:rPr>
      </w:pPr>
      <w:r>
        <w:rPr>
          <w:rFonts w:ascii="Arial" w:cs="Arial" w:eastAsia="Arial" w:hAnsi="Arial"/>
          <w:sz w:val="14"/>
          <w:szCs w:val="14"/>
          <w:b w:val="1"/>
          <w:bCs w:val="1"/>
          <w:color w:val="auto"/>
        </w:rPr>
        <w:t>Co-Founder and CEO, Symbolic.ai</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 xml:space="preserve">Director since: </w:t>
      </w:r>
      <w:r>
        <w:rPr>
          <w:rFonts w:ascii="Arial" w:cs="Arial" w:eastAsia="Arial" w:hAnsi="Arial"/>
          <w:sz w:val="14"/>
          <w:szCs w:val="14"/>
          <w:color w:val="000000"/>
        </w:rPr>
        <w:t>2018</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Committees:</w:t>
      </w:r>
    </w:p>
    <w:p>
      <w:pPr>
        <w:ind w:left="60"/>
        <w:spacing w:after="0"/>
        <w:rPr>
          <w:sz w:val="20"/>
          <w:szCs w:val="20"/>
          <w:color w:val="auto"/>
        </w:rPr>
      </w:pPr>
      <w:r>
        <w:rPr>
          <w:rFonts w:ascii="Arial" w:cs="Arial" w:eastAsia="Arial" w:hAnsi="Arial"/>
          <w:sz w:val="14"/>
          <w:szCs w:val="14"/>
          <w:color w:val="auto"/>
        </w:rPr>
        <w:t>Compensation (Chair)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0"/>
        <w:spacing w:after="0"/>
        <w:rPr>
          <w:sz w:val="20"/>
          <w:szCs w:val="20"/>
          <w:color w:val="auto"/>
        </w:rPr>
      </w:pPr>
      <w:r>
        <w:rPr>
          <w:rFonts w:ascii="Arial" w:cs="Arial" w:eastAsia="Arial" w:hAnsi="Arial"/>
          <w:sz w:val="10"/>
          <w:szCs w:val="10"/>
          <w:b w:val="1"/>
          <w:bCs w:val="1"/>
          <w:color w:val="0956FF"/>
        </w:rPr>
        <w:t>Favorite Current GM Vehicle</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Chevrolet Blazer EV</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956FF"/>
        </w:rPr>
        <w:t>Skillset: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Finance</w:t>
      </w:r>
    </w:p>
    <w:p>
      <w:pPr>
        <w:ind w:left="60"/>
        <w:spacing w:after="0"/>
        <w:rPr>
          <w:sz w:val="20"/>
          <w:szCs w:val="20"/>
          <w:color w:val="auto"/>
        </w:rPr>
      </w:pPr>
      <w:r>
        <w:rPr>
          <w:rFonts w:ascii="Arial" w:cs="Arial" w:eastAsia="Arial" w:hAnsi="Arial"/>
          <w:sz w:val="14"/>
          <w:szCs w:val="14"/>
          <w:color w:val="auto"/>
        </w:rPr>
        <w:t>Global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Governance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Marketing</w:t>
      </w:r>
    </w:p>
    <w:p>
      <w:pPr>
        <w:ind w:left="60"/>
        <w:spacing w:after="0" w:line="222" w:lineRule="auto"/>
        <w:rPr>
          <w:sz w:val="20"/>
          <w:szCs w:val="20"/>
          <w:color w:val="auto"/>
        </w:rPr>
      </w:pPr>
      <w:r>
        <w:rPr>
          <w:rFonts w:ascii="Arial" w:cs="Arial" w:eastAsia="Arial" w:hAnsi="Arial"/>
          <w:sz w:val="14"/>
          <w:szCs w:val="14"/>
          <w:color w:val="auto"/>
        </w:rPr>
        <w:t>Public Company CEO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Risk Management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Social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216" w:lineRule="auto"/>
        <w:rPr>
          <w:sz w:val="20"/>
          <w:szCs w:val="20"/>
          <w:color w:val="auto"/>
        </w:rPr>
      </w:pPr>
      <w:r>
        <w:rPr>
          <w:rFonts w:ascii="Arial" w:cs="Arial" w:eastAsia="Arial" w:hAnsi="Arial"/>
          <w:sz w:val="16"/>
          <w:szCs w:val="16"/>
          <w:b w:val="1"/>
          <w:bCs w:val="1"/>
          <w:color w:val="0956FF"/>
        </w:rPr>
        <w:t xml:space="preserve">Experience: </w:t>
      </w:r>
      <w:r>
        <w:rPr>
          <w:rFonts w:ascii="Arial" w:cs="Arial" w:eastAsia="Arial" w:hAnsi="Arial"/>
          <w:sz w:val="16"/>
          <w:szCs w:val="16"/>
          <w:color w:val="000000"/>
        </w:rPr>
        <w:t>Since 2023, Mr. Wenig has served as</w:t>
      </w:r>
      <w:r>
        <w:rPr>
          <w:rFonts w:ascii="Arial" w:cs="Arial" w:eastAsia="Arial" w:hAnsi="Arial"/>
          <w:sz w:val="16"/>
          <w:szCs w:val="16"/>
          <w:b w:val="1"/>
          <w:bCs w:val="1"/>
          <w:color w:val="0956FF"/>
        </w:rPr>
        <w:t xml:space="preserve"> </w:t>
      </w:r>
      <w:r>
        <w:rPr>
          <w:rFonts w:ascii="Arial" w:cs="Arial" w:eastAsia="Arial" w:hAnsi="Arial"/>
          <w:sz w:val="16"/>
          <w:szCs w:val="16"/>
          <w:color w:val="000000"/>
        </w:rPr>
        <w:t>Co-Founder and CEO of Symbolic.ai, a platform and application with advanced AI capabilities for publishers and professional writers in news, research, and communications. Previously, he served as President and CEO of eBay Inc. and as a member of its board of directors from July 2015 to August 2019. Mr. Wenig also served as President of eBay’s Marketplace business from September 2011 to July 2015. Prior to joining eBay, Mr. Wenig was CEO of Thomson Reuters Corporation’s largest division, Thomson Reuters Markets, from 2008 to 2011; Chief Operating Officer of Reuters Group plc from 2006 to 2008; and President of Reuters’ business divisions from 2003 to 2006.</w:t>
      </w:r>
    </w:p>
    <w:p>
      <w:pPr>
        <w:spacing w:after="0" w:line="44" w:lineRule="exact"/>
        <w:rPr>
          <w:sz w:val="20"/>
          <w:szCs w:val="20"/>
          <w:color w:val="auto"/>
        </w:rPr>
      </w:pPr>
    </w:p>
    <w:p>
      <w:pPr>
        <w:ind w:right="20"/>
        <w:spacing w:after="0" w:line="221" w:lineRule="auto"/>
        <w:rPr>
          <w:sz w:val="20"/>
          <w:szCs w:val="20"/>
          <w:color w:val="auto"/>
        </w:rPr>
      </w:pPr>
      <w:r>
        <w:rPr>
          <w:rFonts w:ascii="Arial" w:cs="Arial" w:eastAsia="Arial" w:hAnsi="Arial"/>
          <w:sz w:val="16"/>
          <w:szCs w:val="16"/>
          <w:b w:val="1"/>
          <w:bCs w:val="1"/>
          <w:color w:val="0956FF"/>
        </w:rPr>
        <w:t xml:space="preserve">Reasons for Nomination: </w:t>
      </w:r>
      <w:r>
        <w:rPr>
          <w:rFonts w:ascii="Arial" w:cs="Arial" w:eastAsia="Arial" w:hAnsi="Arial"/>
          <w:sz w:val="16"/>
          <w:szCs w:val="16"/>
          <w:color w:val="000000"/>
        </w:rPr>
        <w:t>Mr. Wenig has extensive</w:t>
      </w:r>
      <w:r>
        <w:rPr>
          <w:rFonts w:ascii="Arial" w:cs="Arial" w:eastAsia="Arial" w:hAnsi="Arial"/>
          <w:sz w:val="16"/>
          <w:szCs w:val="16"/>
          <w:b w:val="1"/>
          <w:bCs w:val="1"/>
          <w:color w:val="0956FF"/>
        </w:rPr>
        <w:t xml:space="preserve"> </w:t>
      </w:r>
      <w:r>
        <w:rPr>
          <w:rFonts w:ascii="Arial" w:cs="Arial" w:eastAsia="Arial" w:hAnsi="Arial"/>
          <w:sz w:val="16"/>
          <w:szCs w:val="16"/>
          <w:color w:val="000000"/>
        </w:rPr>
        <w:t>senior leadership experience in software and technology, including artificial intelligence, global operations, and strategic planning. He also has significant expertise leading both high-growth companies from the start-up phase and large, complex organizations.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Other Public Company Directorships:</w:t>
      </w:r>
      <w:r>
        <w:rPr>
          <w:rFonts w:ascii="Arial" w:cs="Arial" w:eastAsia="Arial" w:hAnsi="Arial"/>
          <w:sz w:val="16"/>
          <w:szCs w:val="16"/>
          <w:color w:val="000000"/>
        </w:rPr>
        <w:t>None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Prior Public Company Directorships</w:t>
      </w:r>
    </w:p>
    <w:p>
      <w:pPr>
        <w:spacing w:after="0"/>
        <w:rPr>
          <w:sz w:val="20"/>
          <w:szCs w:val="20"/>
          <w:color w:val="auto"/>
        </w:rPr>
      </w:pPr>
      <w:r>
        <w:rPr>
          <w:rFonts w:ascii="Arial" w:cs="Arial" w:eastAsia="Arial" w:hAnsi="Arial"/>
          <w:sz w:val="16"/>
          <w:szCs w:val="16"/>
          <w:b w:val="1"/>
          <w:bCs w:val="1"/>
          <w:color w:val="0956FF"/>
        </w:rPr>
        <w:t xml:space="preserve">(Past Five Years): </w:t>
      </w:r>
      <w:r>
        <w:rPr>
          <w:rFonts w:ascii="Arial" w:cs="Arial" w:eastAsia="Arial" w:hAnsi="Arial"/>
          <w:sz w:val="16"/>
          <w:szCs w:val="16"/>
          <w:color w:val="000000"/>
        </w:rPr>
        <w:t>None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34" w:right="379" w:hanging="334"/>
        <w:spacing w:after="0" w:line="200" w:lineRule="auto"/>
        <w:tabs>
          <w:tab w:leader="none" w:pos="334" w:val="left"/>
        </w:tabs>
        <w:numPr>
          <w:ilvl w:val="0"/>
          <w:numId w:val="30"/>
        </w:numPr>
        <w:rPr>
          <w:rFonts w:ascii="Arial" w:cs="Arial" w:eastAsia="Arial" w:hAnsi="Arial"/>
          <w:sz w:val="36"/>
          <w:szCs w:val="36"/>
          <w:b w:val="1"/>
          <w:bCs w:val="1"/>
          <w:color w:val="FFFFFF"/>
          <w:vertAlign w:val="subscript"/>
        </w:rPr>
      </w:pPr>
      <w:r>
        <w:rPr>
          <w:rFonts w:ascii="Arial" w:cs="Arial" w:eastAsia="Arial" w:hAnsi="Arial"/>
          <w:sz w:val="16"/>
          <w:szCs w:val="16"/>
          <w:b w:val="1"/>
          <w:bCs w:val="1"/>
          <w:color w:val="auto"/>
        </w:rPr>
        <w:t>Software and Services is critical to the Company’s strategy. How does the Board help attract and retain the skills needed to execute this strategy?</w:t>
      </w:r>
    </w:p>
    <w:p>
      <w:pPr>
        <w:spacing w:after="0" w:line="157" w:lineRule="exact"/>
        <w:rPr>
          <w:sz w:val="20"/>
          <w:szCs w:val="20"/>
          <w:color w:val="auto"/>
        </w:rPr>
      </w:pPr>
    </w:p>
    <w:p>
      <w:pPr>
        <w:ind w:left="334" w:right="319" w:hanging="333"/>
        <w:spacing w:after="0" w:line="219" w:lineRule="auto"/>
        <w:tabs>
          <w:tab w:leader="none" w:pos="334" w:val="left"/>
        </w:tabs>
        <w:numPr>
          <w:ilvl w:val="0"/>
          <w:numId w:val="31"/>
        </w:numPr>
        <w:rPr>
          <w:rFonts w:ascii="Arial" w:cs="Arial" w:eastAsia="Arial" w:hAnsi="Arial"/>
          <w:sz w:val="36"/>
          <w:szCs w:val="36"/>
          <w:b w:val="1"/>
          <w:bCs w:val="1"/>
          <w:color w:val="auto"/>
          <w:vertAlign w:val="subscript"/>
        </w:rPr>
      </w:pPr>
      <w:r>
        <w:rPr>
          <w:rFonts w:ascii="Arial" w:cs="Arial" w:eastAsia="Arial" w:hAnsi="Arial"/>
          <w:sz w:val="16"/>
          <w:szCs w:val="16"/>
          <w:color w:val="auto"/>
        </w:rPr>
        <w:t>One of our biggest priorities as a Board — and for the Executive Compensation Committee in particular — is to design executive compensation plans that attract and retain top talent, including from the technology industry, to help execute the Company’s software and AV strategy. We believe that our compensation plans do just that and are one of the key enablers behind the Company’s strong performance and improved software offerings.</w:t>
      </w:r>
    </w:p>
    <w:p>
      <w:pPr>
        <w:spacing w:after="0" w:line="200" w:lineRule="exact"/>
        <w:rPr>
          <w:sz w:val="20"/>
          <w:szCs w:val="20"/>
          <w:color w:val="auto"/>
        </w:rPr>
      </w:pPr>
    </w:p>
    <w:p>
      <w:pPr>
        <w:sectPr>
          <w:pgSz w:w="11900" w:h="16838" w:orient="portrait"/>
          <w:cols w:equalWidth="0" w:num="3">
            <w:col w:w="1620" w:space="280"/>
            <w:col w:w="3940" w:space="526"/>
            <w:col w:w="2693"/>
          </w:cols>
          <w:pgMar w:left="140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9059"/>
          </w:cols>
          <w:pgMar w:left="1400" w:top="657" w:right="1440"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Director Nomination Process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Size</w:t>
      </w:r>
    </w:p>
    <w:p>
      <w:pPr>
        <w:spacing w:after="0" w:line="13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Board sets the number of directors from time to time by a resolution of the Board. The Governance Committee reassesses the suitability of the Board’s size at least annually. The Board has the flexibility to increase or decrease the size of the Board as circumstances warrant, though the Company’s Certificate of Incorporation limits the total number of directors to 17. The Board currently has 11 directors. If any nominee is unable to serve as a director, or if any director leaves the Board between annual meetings, the Board may reduce the number of directors or elect an individual to fill the resulting vacancy.</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Independence</w:t>
      </w:r>
    </w:p>
    <w:p>
      <w:pPr>
        <w:spacing w:after="0" w:line="13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GM’s Bylaws and Corporate Governance Guidelines define our standards for director independence and reflect applicable NYSE and SEC requirements. At least two-thirds of our directors must be independent under these standards. In addition, all members of the Audit Committee and the Compensation Committee must meet heightened independence standards under applicable NYSE and SEC rules. For a director to be “independent,” they must have no disqualifying relationships, as defined in the NYSE standards, and the Board must determine that the director has no material relationship with the Company other than the individual’s service as a director.</w:t>
      </w:r>
    </w:p>
    <w:p>
      <w:pPr>
        <w:spacing w:after="0" w:line="102" w:lineRule="exact"/>
        <w:rPr>
          <w:sz w:val="20"/>
          <w:szCs w:val="20"/>
          <w:color w:val="auto"/>
        </w:rPr>
      </w:pPr>
    </w:p>
    <w:p>
      <w:pPr>
        <w:ind w:right="280"/>
        <w:spacing w:after="0" w:line="287" w:lineRule="auto"/>
        <w:rPr>
          <w:sz w:val="20"/>
          <w:szCs w:val="20"/>
          <w:color w:val="auto"/>
        </w:rPr>
      </w:pPr>
      <w:r>
        <w:rPr>
          <w:rFonts w:ascii="Arial" w:cs="Arial" w:eastAsia="Arial" w:hAnsi="Arial"/>
          <w:sz w:val="16"/>
          <w:szCs w:val="16"/>
          <w:color w:val="auto"/>
        </w:rPr>
        <w:t>The Governance Committee completed its annual assessment in February 2026 regarding the independence of each director and made recommendations to the Board. Consistent with the standards described above, the Board has reviewed all relationships between the Company and each director and director nominee and considered all relevant quantitative and qualitative criteria. The Board has affirmatively determined that, other than Ms. Barra who serves as our CEO, all directors are currently independent and, if applicable, were independent throughout 2025. Moreover, prior to retirement, Linda R. Gooden and Thomas M. Schoewe were independent during their service on our Board in 2025. In addition, the Board affirmatively determined that all of the director nominees who currently serve on the Audit Committee and the Compensation Committee are independent as required by the heightened NYSE and SEC criteria described above.</w:t>
      </w:r>
    </w:p>
    <w:p>
      <w:pPr>
        <w:spacing w:after="0" w:line="11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recommending to the Board that it determine each non-employee director is independent, the Governance Committee considered whether there were any other facts or circumstances that might impair a director’s independence. The Governance Committee also considered that GM, in the ordinary course of business during the last three years, has sold fleet vehicles to, and purchased products and services from, companies at which some of our directors serve as non-employee directors or executives. The Board determined that these transactions were not material to GM or the other companies involved and that none of our directors had a material interest in the transactions with these companies. In each case, these transactions were in the ordinary course of business for GM and the other companies involved, and were on terms and conditions available to similarly situated customers and suppliers. Therefore, the Board determined they did not impair such directors’ independence.</w:t>
      </w: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Service on Other Public Company Boards</w:t>
      </w:r>
    </w:p>
    <w:p>
      <w:pPr>
        <w:spacing w:after="0" w:line="132"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The Board recognizes that service on other public company boards provides directors valuable experience that benefits the Company. The Board also believes, however, that it is critical that directors dedicate sufficient time to their service on the Company’s Board. Directors are expected to advise the Board Chair, Independent Lead Director, or Governance Committee Chair in advance of accepting an invitation to serve on another board of directors or any audit committee of another public company’s board. This allows the Governance Committee to assess the impact of the director joining another board based on various factors relevant to the specific situation, including the nature and extent of a director’s other professional obligations and the time commitment required by the new position.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956FF"/>
        </w:rPr>
        <w:t>Director Commitment and Availability Review</w:t>
      </w:r>
    </w:p>
    <w:p>
      <w:pPr>
        <w:spacing w:after="0" w:line="122" w:lineRule="exact"/>
        <w:rPr>
          <w:sz w:val="20"/>
          <w:szCs w:val="20"/>
          <w:color w:val="auto"/>
        </w:rPr>
      </w:pPr>
    </w:p>
    <w:p>
      <w:pPr>
        <w:ind w:left="340" w:right="580"/>
        <w:spacing w:after="0" w:line="321" w:lineRule="auto"/>
        <w:rPr>
          <w:sz w:val="20"/>
          <w:szCs w:val="20"/>
          <w:color w:val="auto"/>
        </w:rPr>
      </w:pPr>
      <w:r>
        <w:rPr>
          <w:rFonts w:ascii="Arial" w:cs="Arial" w:eastAsia="Arial" w:hAnsi="Arial"/>
          <w:sz w:val="16"/>
          <w:szCs w:val="16"/>
          <w:color w:val="auto"/>
        </w:rPr>
        <w:t>The Governance Committee conducts an annual review of director commitment levels and affirms that all directors are able to comply with the Company’s expectations of a director’s time and availability.</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02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15</w:t>
      </w:r>
    </w:p>
    <w:p>
      <w:pPr>
        <w:sectPr>
          <w:pgSz w:w="11900" w:h="16838" w:orient="portrait"/>
          <w:cols w:equalWidth="0" w:num="1">
            <w:col w:w="9100"/>
          </w:cols>
          <w:pgMar w:left="1400" w:top="657" w:right="13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7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Sometimes, for example, the Governance Committee determines that directors who are engaged in active, full-time employment have less time to devote to board service than a director whose principal occupation is serving on boards. Our Corporate Governance Guidelines provide that, without obtaining the approval of the Board:</w:t>
      </w:r>
    </w:p>
    <w:p>
      <w:pPr>
        <w:spacing w:after="0" w:line="104" w:lineRule="exact"/>
        <w:rPr>
          <w:sz w:val="20"/>
          <w:szCs w:val="20"/>
          <w:color w:val="auto"/>
        </w:rPr>
      </w:pPr>
    </w:p>
    <w:p>
      <w:pPr>
        <w:ind w:left="200" w:right="500" w:hanging="192"/>
        <w:spacing w:after="0" w:line="308" w:lineRule="auto"/>
        <w:tabs>
          <w:tab w:leader="none" w:pos="200" w:val="left"/>
        </w:tabs>
        <w:numPr>
          <w:ilvl w:val="0"/>
          <w:numId w:val="32"/>
        </w:numPr>
        <w:rPr>
          <w:rFonts w:ascii="Arial" w:cs="Arial" w:eastAsia="Arial" w:hAnsi="Arial"/>
          <w:sz w:val="16"/>
          <w:szCs w:val="16"/>
          <w:color w:val="0956FF"/>
        </w:rPr>
      </w:pPr>
      <w:r>
        <w:rPr>
          <w:rFonts w:ascii="Arial" w:cs="Arial" w:eastAsia="Arial" w:hAnsi="Arial"/>
          <w:sz w:val="16"/>
          <w:szCs w:val="16"/>
          <w:color w:val="auto"/>
        </w:rPr>
        <w:t>A non-employee director may not serve on the boards of more than four other public companies (excluding nonprofits and subsidiaries); and</w:t>
      </w:r>
    </w:p>
    <w:p>
      <w:pPr>
        <w:ind w:left="200" w:right="960" w:hanging="192"/>
        <w:spacing w:after="0" w:line="321" w:lineRule="auto"/>
        <w:tabs>
          <w:tab w:leader="none" w:pos="200" w:val="left"/>
        </w:tabs>
        <w:numPr>
          <w:ilvl w:val="0"/>
          <w:numId w:val="32"/>
        </w:numPr>
        <w:rPr>
          <w:rFonts w:ascii="Arial" w:cs="Arial" w:eastAsia="Arial" w:hAnsi="Arial"/>
          <w:sz w:val="16"/>
          <w:szCs w:val="16"/>
          <w:color w:val="0956FF"/>
        </w:rPr>
      </w:pPr>
      <w:r>
        <w:rPr>
          <w:rFonts w:ascii="Arial" w:cs="Arial" w:eastAsia="Arial" w:hAnsi="Arial"/>
          <w:sz w:val="16"/>
          <w:szCs w:val="16"/>
          <w:color w:val="auto"/>
        </w:rPr>
        <w:t>No member of the Audit Committee may serve on more than two other public company board audit committees (excluding nonprofits and subsidiaries).</w:t>
      </w:r>
    </w:p>
    <w:p>
      <w:pPr>
        <w:spacing w:after="0" w:line="88" w:lineRule="exact"/>
        <w:rPr>
          <w:sz w:val="20"/>
          <w:szCs w:val="20"/>
          <w:color w:val="auto"/>
        </w:rPr>
      </w:pPr>
    </w:p>
    <w:p>
      <w:pPr>
        <w:ind w:right="360"/>
        <w:spacing w:after="0" w:line="295" w:lineRule="auto"/>
        <w:rPr>
          <w:sz w:val="20"/>
          <w:szCs w:val="20"/>
          <w:color w:val="auto"/>
        </w:rPr>
      </w:pPr>
      <w:r>
        <w:rPr>
          <w:rFonts w:ascii="Arial" w:cs="Arial" w:eastAsia="Arial" w:hAnsi="Arial"/>
          <w:sz w:val="16"/>
          <w:szCs w:val="16"/>
          <w:color w:val="auto"/>
        </w:rPr>
        <w:t>The Board also prefers that employees, including executive officers and management directors, not serve on the board of more than one other public company or for-profit entity, and requires that management directors obtain the approval of the Governance Committee prior to accepting an invitation to serve on an outside board. At this time, all directors and employees, are in compliance with these guidelines.</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Renomination Process</w:t>
      </w:r>
    </w:p>
    <w:p>
      <w:pPr>
        <w:spacing w:after="0" w:line="170" w:lineRule="exact"/>
        <w:rPr>
          <w:sz w:val="20"/>
          <w:szCs w:val="20"/>
          <w:color w:val="auto"/>
        </w:rPr>
      </w:pPr>
    </w:p>
    <w:p>
      <w:pPr>
        <w:ind w:left="500"/>
        <w:spacing w:after="0"/>
        <w:tabs>
          <w:tab w:leader="none" w:pos="3400" w:val="left"/>
          <w:tab w:leader="none" w:pos="5440" w:val="left"/>
          <w:tab w:leader="none" w:pos="7480" w:val="left"/>
        </w:tabs>
        <w:rPr>
          <w:sz w:val="20"/>
          <w:szCs w:val="20"/>
          <w:color w:val="auto"/>
        </w:rPr>
      </w:pPr>
      <w:r>
        <w:rPr>
          <w:rFonts w:ascii="Arial" w:cs="Arial" w:eastAsia="Arial" w:hAnsi="Arial"/>
          <w:sz w:val="43"/>
          <w:szCs w:val="43"/>
          <w:b w:val="1"/>
          <w:bCs w:val="1"/>
          <w:color w:val="0956FF"/>
        </w:rPr>
        <w:t>1</w:t>
      </w:r>
      <w:r>
        <w:rPr>
          <w:sz w:val="20"/>
          <w:szCs w:val="20"/>
          <w:color w:val="auto"/>
        </w:rPr>
        <w:tab/>
      </w:r>
      <w:r>
        <w:rPr>
          <w:rFonts w:ascii="Arial" w:cs="Arial" w:eastAsia="Arial" w:hAnsi="Arial"/>
          <w:sz w:val="43"/>
          <w:szCs w:val="43"/>
          <w:b w:val="1"/>
          <w:bCs w:val="1"/>
          <w:color w:val="0956FF"/>
        </w:rPr>
        <w:t>2</w:t>
      </w:r>
      <w:r>
        <w:rPr>
          <w:sz w:val="20"/>
          <w:szCs w:val="20"/>
          <w:color w:val="auto"/>
        </w:rPr>
        <w:tab/>
      </w:r>
      <w:r>
        <w:rPr>
          <w:rFonts w:ascii="Arial" w:cs="Arial" w:eastAsia="Arial" w:hAnsi="Arial"/>
          <w:sz w:val="43"/>
          <w:szCs w:val="43"/>
          <w:b w:val="1"/>
          <w:bCs w:val="1"/>
          <w:color w:val="0956FF"/>
        </w:rPr>
        <w:t>3</w:t>
      </w:r>
      <w:r>
        <w:rPr>
          <w:sz w:val="20"/>
          <w:szCs w:val="20"/>
          <w:color w:val="auto"/>
        </w:rPr>
        <w:tab/>
      </w:r>
      <w:r>
        <w:rPr>
          <w:rFonts w:ascii="Arial" w:cs="Arial" w:eastAsia="Arial" w:hAnsi="Arial"/>
          <w:sz w:val="43"/>
          <w:szCs w:val="43"/>
          <w:b w:val="1"/>
          <w:bCs w:val="1"/>
          <w:color w:val="0956FF"/>
        </w:rPr>
        <w:t>4</w:t>
      </w:r>
    </w:p>
    <w:p>
      <w:pPr>
        <w:sectPr>
          <w:pgSz w:w="11900" w:h="16838" w:orient="portrait"/>
          <w:cols w:equalWidth="0" w:num="1">
            <w:col w:w="9100"/>
          </w:cols>
          <w:pgMar w:left="1400" w:top="657" w:right="1399" w:bottom="1440" w:gutter="0" w:footer="0" w:header="0"/>
        </w:sectPr>
      </w:pPr>
    </w:p>
    <w:p>
      <w:pPr>
        <w:spacing w:after="0" w:line="327" w:lineRule="exact"/>
        <w:rPr>
          <w:sz w:val="20"/>
          <w:szCs w:val="20"/>
          <w:color w:val="auto"/>
        </w:rPr>
      </w:pPr>
    </w:p>
    <w:p>
      <w:pPr>
        <w:ind w:left="180"/>
        <w:spacing w:after="0" w:line="317" w:lineRule="auto"/>
        <w:rPr>
          <w:sz w:val="20"/>
          <w:szCs w:val="20"/>
          <w:color w:val="auto"/>
        </w:rPr>
      </w:pPr>
      <w:r>
        <w:rPr>
          <w:rFonts w:ascii="Arial" w:cs="Arial" w:eastAsia="Arial" w:hAnsi="Arial"/>
          <w:sz w:val="17"/>
          <w:szCs w:val="17"/>
          <w:b w:val="1"/>
          <w:bCs w:val="1"/>
          <w:color w:val="0956FF"/>
        </w:rPr>
        <w:t>Governance Committee Reviews Incumbent Directors</w:t>
      </w:r>
    </w:p>
    <w:p>
      <w:pPr>
        <w:spacing w:after="0" w:line="1" w:lineRule="exact"/>
        <w:rPr>
          <w:sz w:val="20"/>
          <w:szCs w:val="20"/>
          <w:color w:val="auto"/>
        </w:rPr>
      </w:pPr>
    </w:p>
    <w:p>
      <w:pPr>
        <w:ind w:left="380" w:hanging="203"/>
        <w:spacing w:after="0"/>
        <w:tabs>
          <w:tab w:leader="none" w:pos="380" w:val="left"/>
        </w:tabs>
        <w:numPr>
          <w:ilvl w:val="0"/>
          <w:numId w:val="33"/>
        </w:numPr>
        <w:rPr>
          <w:rFonts w:ascii="Arial" w:cs="Arial" w:eastAsia="Arial" w:hAnsi="Arial"/>
          <w:sz w:val="16"/>
          <w:szCs w:val="16"/>
          <w:color w:val="0956FF"/>
        </w:rPr>
      </w:pPr>
      <w:r>
        <w:rPr>
          <w:rFonts w:ascii="Arial" w:cs="Arial" w:eastAsia="Arial" w:hAnsi="Arial"/>
          <w:sz w:val="16"/>
          <w:szCs w:val="16"/>
          <w:color w:val="auto"/>
        </w:rPr>
        <w:t>Review history of attendance</w:t>
      </w:r>
    </w:p>
    <w:p>
      <w:pPr>
        <w:spacing w:after="0" w:line="32" w:lineRule="exact"/>
        <w:rPr>
          <w:rFonts w:ascii="Arial" w:cs="Arial" w:eastAsia="Arial" w:hAnsi="Arial"/>
          <w:sz w:val="16"/>
          <w:szCs w:val="16"/>
          <w:color w:val="0956FF"/>
        </w:rPr>
      </w:pPr>
    </w:p>
    <w:p>
      <w:pPr>
        <w:ind w:left="380" w:hanging="203"/>
        <w:spacing w:after="0"/>
        <w:tabs>
          <w:tab w:leader="none" w:pos="380" w:val="left"/>
        </w:tabs>
        <w:numPr>
          <w:ilvl w:val="0"/>
          <w:numId w:val="33"/>
        </w:numPr>
        <w:rPr>
          <w:rFonts w:ascii="Arial" w:cs="Arial" w:eastAsia="Arial" w:hAnsi="Arial"/>
          <w:sz w:val="16"/>
          <w:szCs w:val="16"/>
          <w:color w:val="0956FF"/>
        </w:rPr>
      </w:pPr>
      <w:r>
        <w:rPr>
          <w:rFonts w:ascii="Arial" w:cs="Arial" w:eastAsia="Arial" w:hAnsi="Arial"/>
          <w:sz w:val="16"/>
          <w:szCs w:val="16"/>
          <w:color w:val="auto"/>
        </w:rPr>
        <w:t>Assess meeting participation</w:t>
      </w:r>
    </w:p>
    <w:p>
      <w:pPr>
        <w:spacing w:after="0" w:line="32" w:lineRule="exact"/>
        <w:rPr>
          <w:rFonts w:ascii="Arial" w:cs="Arial" w:eastAsia="Arial" w:hAnsi="Arial"/>
          <w:sz w:val="16"/>
          <w:szCs w:val="16"/>
          <w:color w:val="0956FF"/>
        </w:rPr>
      </w:pPr>
    </w:p>
    <w:p>
      <w:pPr>
        <w:ind w:left="380" w:right="60" w:hanging="203"/>
        <w:spacing w:after="0" w:line="281" w:lineRule="auto"/>
        <w:tabs>
          <w:tab w:leader="none" w:pos="380" w:val="left"/>
        </w:tabs>
        <w:numPr>
          <w:ilvl w:val="0"/>
          <w:numId w:val="33"/>
        </w:numPr>
        <w:rPr>
          <w:rFonts w:ascii="Arial" w:cs="Arial" w:eastAsia="Arial" w:hAnsi="Arial"/>
          <w:sz w:val="16"/>
          <w:szCs w:val="16"/>
          <w:color w:val="0956FF"/>
        </w:rPr>
      </w:pPr>
      <w:r>
        <w:rPr>
          <w:rFonts w:ascii="Arial" w:cs="Arial" w:eastAsia="Arial" w:hAnsi="Arial"/>
          <w:sz w:val="16"/>
          <w:szCs w:val="16"/>
          <w:color w:val="auto"/>
        </w:rPr>
        <w:t>Consider contributions to Board activities</w:t>
      </w:r>
    </w:p>
    <w:p>
      <w:pPr>
        <w:spacing w:after="0" w:line="1" w:lineRule="exact"/>
        <w:rPr>
          <w:rFonts w:ascii="Arial" w:cs="Arial" w:eastAsia="Arial" w:hAnsi="Arial"/>
          <w:sz w:val="16"/>
          <w:szCs w:val="16"/>
          <w:color w:val="0956FF"/>
        </w:rPr>
      </w:pPr>
    </w:p>
    <w:p>
      <w:pPr>
        <w:ind w:left="380" w:hanging="203"/>
        <w:spacing w:after="0" w:line="281" w:lineRule="auto"/>
        <w:tabs>
          <w:tab w:leader="none" w:pos="380" w:val="left"/>
        </w:tabs>
        <w:numPr>
          <w:ilvl w:val="0"/>
          <w:numId w:val="33"/>
        </w:numPr>
        <w:rPr>
          <w:rFonts w:ascii="Arial" w:cs="Arial" w:eastAsia="Arial" w:hAnsi="Arial"/>
          <w:sz w:val="16"/>
          <w:szCs w:val="16"/>
          <w:color w:val="0956FF"/>
        </w:rPr>
      </w:pPr>
      <w:r>
        <w:rPr>
          <w:rFonts w:ascii="Arial" w:cs="Arial" w:eastAsia="Arial" w:hAnsi="Arial"/>
          <w:sz w:val="16"/>
          <w:szCs w:val="16"/>
          <w:color w:val="auto"/>
        </w:rPr>
        <w:t>Review results of the Board self-evaluation</w:t>
      </w:r>
    </w:p>
    <w:p>
      <w:pPr>
        <w:spacing w:after="0" w:line="1" w:lineRule="exact"/>
        <w:rPr>
          <w:rFonts w:ascii="Arial" w:cs="Arial" w:eastAsia="Arial" w:hAnsi="Arial"/>
          <w:sz w:val="16"/>
          <w:szCs w:val="16"/>
          <w:color w:val="0956FF"/>
        </w:rPr>
      </w:pPr>
    </w:p>
    <w:p>
      <w:pPr>
        <w:ind w:left="380" w:right="340" w:hanging="203"/>
        <w:spacing w:after="0" w:line="301" w:lineRule="auto"/>
        <w:tabs>
          <w:tab w:leader="none" w:pos="380" w:val="left"/>
        </w:tabs>
        <w:numPr>
          <w:ilvl w:val="0"/>
          <w:numId w:val="33"/>
        </w:numPr>
        <w:rPr>
          <w:rFonts w:ascii="Arial" w:cs="Arial" w:eastAsia="Arial" w:hAnsi="Arial"/>
          <w:sz w:val="16"/>
          <w:szCs w:val="16"/>
          <w:color w:val="0956FF"/>
        </w:rPr>
      </w:pPr>
      <w:r>
        <w:rPr>
          <w:rFonts w:ascii="Arial" w:cs="Arial" w:eastAsia="Arial" w:hAnsi="Arial"/>
          <w:sz w:val="16"/>
          <w:szCs w:val="16"/>
          <w:color w:val="auto"/>
        </w:rPr>
        <w:t>Evaluate continued independence and potential conflicts of interest</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0"/>
        </w:trPr>
        <w:tc>
          <w:tcPr>
            <w:tcW w:w="1760" w:type="dxa"/>
            <w:vAlign w:val="bottom"/>
            <w:tcBorders>
              <w:top w:val="single" w:sz="8" w:color="D8D7D7"/>
              <w:right w:val="single" w:sz="8" w:color="D8D7D7"/>
            </w:tcBorders>
          </w:tcPr>
          <w:p>
            <w:pPr>
              <w:ind w:left="160"/>
              <w:spacing w:after="0"/>
              <w:rPr>
                <w:sz w:val="20"/>
                <w:szCs w:val="20"/>
                <w:color w:val="auto"/>
              </w:rPr>
            </w:pPr>
            <w:r>
              <w:rPr>
                <w:rFonts w:ascii="Arial" w:cs="Arial" w:eastAsia="Arial" w:hAnsi="Arial"/>
                <w:sz w:val="18"/>
                <w:szCs w:val="18"/>
                <w:b w:val="1"/>
                <w:bCs w:val="1"/>
                <w:color w:val="0956FF"/>
              </w:rPr>
              <w:t>Recommend</w:t>
            </w:r>
          </w:p>
        </w:tc>
        <w:tc>
          <w:tcPr>
            <w:tcW w:w="280" w:type="dxa"/>
            <w:vAlign w:val="bottom"/>
          </w:tcPr>
          <w:p>
            <w:pPr>
              <w:spacing w:after="0"/>
              <w:rPr>
                <w:sz w:val="24"/>
                <w:szCs w:val="24"/>
                <w:color w:val="auto"/>
              </w:rPr>
            </w:pPr>
          </w:p>
        </w:tc>
        <w:tc>
          <w:tcPr>
            <w:tcW w:w="1760" w:type="dxa"/>
            <w:vAlign w:val="bottom"/>
            <w:tcBorders>
              <w:top w:val="single" w:sz="8" w:color="D8D7D7"/>
              <w:right w:val="single" w:sz="8" w:color="D8D7D7"/>
            </w:tcBorders>
          </w:tcPr>
          <w:p>
            <w:pPr>
              <w:ind w:left="180"/>
              <w:spacing w:after="0"/>
              <w:rPr>
                <w:sz w:val="20"/>
                <w:szCs w:val="20"/>
                <w:color w:val="auto"/>
              </w:rPr>
            </w:pPr>
            <w:r>
              <w:rPr>
                <w:rFonts w:ascii="Arial" w:cs="Arial" w:eastAsia="Arial" w:hAnsi="Arial"/>
                <w:sz w:val="18"/>
                <w:szCs w:val="18"/>
                <w:b w:val="1"/>
                <w:bCs w:val="1"/>
                <w:color w:val="0956FF"/>
              </w:rPr>
              <w:t>Review by Full</w:t>
            </w:r>
          </w:p>
        </w:tc>
        <w:tc>
          <w:tcPr>
            <w:tcW w:w="300" w:type="dxa"/>
            <w:vAlign w:val="bottom"/>
          </w:tcPr>
          <w:p>
            <w:pPr>
              <w:spacing w:after="0"/>
              <w:rPr>
                <w:sz w:val="24"/>
                <w:szCs w:val="24"/>
                <w:color w:val="auto"/>
              </w:rPr>
            </w:pPr>
          </w:p>
        </w:tc>
        <w:tc>
          <w:tcPr>
            <w:tcW w:w="1760" w:type="dxa"/>
            <w:vAlign w:val="bottom"/>
            <w:tcBorders>
              <w:top w:val="single" w:sz="8" w:color="D8D7D7"/>
              <w:right w:val="single" w:sz="8" w:color="D8D7D7"/>
            </w:tcBorders>
          </w:tcPr>
          <w:p>
            <w:pPr>
              <w:ind w:left="160"/>
              <w:spacing w:after="0"/>
              <w:rPr>
                <w:sz w:val="20"/>
                <w:szCs w:val="20"/>
                <w:color w:val="auto"/>
              </w:rPr>
            </w:pPr>
            <w:r>
              <w:rPr>
                <w:rFonts w:ascii="Arial" w:cs="Arial" w:eastAsia="Arial" w:hAnsi="Arial"/>
                <w:sz w:val="18"/>
                <w:szCs w:val="18"/>
                <w:b w:val="1"/>
                <w:bCs w:val="1"/>
                <w:color w:val="0956FF"/>
              </w:rPr>
              <w:t>Nominated for</w:t>
            </w:r>
          </w:p>
        </w:tc>
      </w:tr>
      <w:tr>
        <w:trPr>
          <w:trHeight w:val="216"/>
        </w:trPr>
        <w:tc>
          <w:tcPr>
            <w:tcW w:w="1760" w:type="dxa"/>
            <w:vAlign w:val="bottom"/>
            <w:tcBorders>
              <w:right w:val="single" w:sz="8" w:color="D8D7D7"/>
            </w:tcBorders>
          </w:tcPr>
          <w:p>
            <w:pPr>
              <w:ind w:left="160"/>
              <w:spacing w:after="0"/>
              <w:rPr>
                <w:sz w:val="20"/>
                <w:szCs w:val="20"/>
                <w:color w:val="auto"/>
              </w:rPr>
            </w:pPr>
            <w:r>
              <w:rPr>
                <w:rFonts w:ascii="Arial" w:cs="Arial" w:eastAsia="Arial" w:hAnsi="Arial"/>
                <w:sz w:val="18"/>
                <w:szCs w:val="18"/>
                <w:b w:val="1"/>
                <w:bCs w:val="1"/>
                <w:color w:val="0956FF"/>
              </w:rPr>
              <w:t>Election to Our</w:t>
            </w:r>
          </w:p>
        </w:tc>
        <w:tc>
          <w:tcPr>
            <w:tcW w:w="280" w:type="dxa"/>
            <w:vAlign w:val="bottom"/>
          </w:tcPr>
          <w:p>
            <w:pPr>
              <w:spacing w:after="0"/>
              <w:rPr>
                <w:sz w:val="18"/>
                <w:szCs w:val="18"/>
                <w:color w:val="auto"/>
              </w:rPr>
            </w:pPr>
          </w:p>
        </w:tc>
        <w:tc>
          <w:tcPr>
            <w:tcW w:w="1760" w:type="dxa"/>
            <w:vAlign w:val="bottom"/>
            <w:tcBorders>
              <w:right w:val="single" w:sz="8" w:color="D8D7D7"/>
            </w:tcBorders>
          </w:tcPr>
          <w:p>
            <w:pPr>
              <w:ind w:left="180"/>
              <w:spacing w:after="0"/>
              <w:rPr>
                <w:sz w:val="20"/>
                <w:szCs w:val="20"/>
                <w:color w:val="auto"/>
              </w:rPr>
            </w:pPr>
            <w:r>
              <w:rPr>
                <w:rFonts w:ascii="Arial" w:cs="Arial" w:eastAsia="Arial" w:hAnsi="Arial"/>
                <w:sz w:val="18"/>
                <w:szCs w:val="18"/>
                <w:b w:val="1"/>
                <w:bCs w:val="1"/>
                <w:color w:val="0956FF"/>
              </w:rPr>
              <w:t>Board</w:t>
            </w:r>
          </w:p>
        </w:tc>
        <w:tc>
          <w:tcPr>
            <w:tcW w:w="300" w:type="dxa"/>
            <w:vAlign w:val="bottom"/>
          </w:tcPr>
          <w:p>
            <w:pPr>
              <w:spacing w:after="0"/>
              <w:rPr>
                <w:sz w:val="18"/>
                <w:szCs w:val="18"/>
                <w:color w:val="auto"/>
              </w:rPr>
            </w:pPr>
          </w:p>
        </w:tc>
        <w:tc>
          <w:tcPr>
            <w:tcW w:w="1760" w:type="dxa"/>
            <w:vAlign w:val="bottom"/>
            <w:tcBorders>
              <w:right w:val="single" w:sz="8" w:color="D8D7D7"/>
            </w:tcBorders>
          </w:tcPr>
          <w:p>
            <w:pPr>
              <w:ind w:left="160"/>
              <w:spacing w:after="0"/>
              <w:rPr>
                <w:sz w:val="20"/>
                <w:szCs w:val="20"/>
                <w:color w:val="auto"/>
              </w:rPr>
            </w:pPr>
            <w:r>
              <w:rPr>
                <w:rFonts w:ascii="Arial" w:cs="Arial" w:eastAsia="Arial" w:hAnsi="Arial"/>
                <w:sz w:val="18"/>
                <w:szCs w:val="18"/>
                <w:b w:val="1"/>
                <w:bCs w:val="1"/>
                <w:color w:val="0956FF"/>
              </w:rPr>
              <w:t>Election at the</w:t>
            </w:r>
          </w:p>
        </w:tc>
      </w:tr>
      <w:tr>
        <w:trPr>
          <w:trHeight w:val="247"/>
        </w:trPr>
        <w:tc>
          <w:tcPr>
            <w:tcW w:w="1760" w:type="dxa"/>
            <w:vAlign w:val="bottom"/>
            <w:tcBorders>
              <w:right w:val="single" w:sz="8" w:color="D8D7D7"/>
            </w:tcBorders>
          </w:tcPr>
          <w:p>
            <w:pPr>
              <w:ind w:left="160"/>
              <w:spacing w:after="0"/>
              <w:rPr>
                <w:sz w:val="20"/>
                <w:szCs w:val="20"/>
                <w:color w:val="auto"/>
              </w:rPr>
            </w:pPr>
            <w:r>
              <w:rPr>
                <w:rFonts w:ascii="Arial" w:cs="Arial" w:eastAsia="Arial" w:hAnsi="Arial"/>
                <w:sz w:val="18"/>
                <w:szCs w:val="18"/>
                <w:b w:val="1"/>
                <w:bCs w:val="1"/>
                <w:color w:val="0956FF"/>
              </w:rPr>
              <w:t>Board</w:t>
            </w:r>
          </w:p>
        </w:tc>
        <w:tc>
          <w:tcPr>
            <w:tcW w:w="280" w:type="dxa"/>
            <w:vAlign w:val="bottom"/>
          </w:tcPr>
          <w:p>
            <w:pPr>
              <w:spacing w:after="0"/>
              <w:rPr>
                <w:sz w:val="21"/>
                <w:szCs w:val="21"/>
                <w:color w:val="auto"/>
              </w:rPr>
            </w:pPr>
          </w:p>
        </w:tc>
        <w:tc>
          <w:tcPr>
            <w:tcW w:w="1760" w:type="dxa"/>
            <w:vAlign w:val="bottom"/>
            <w:tcBorders>
              <w:right w:val="single" w:sz="8" w:color="D8D7D7"/>
            </w:tcBorders>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Borders>
              <w:right w:val="single" w:sz="8" w:color="D8D7D7"/>
            </w:tcBorders>
          </w:tcPr>
          <w:p>
            <w:pPr>
              <w:ind w:left="160"/>
              <w:spacing w:after="0"/>
              <w:rPr>
                <w:sz w:val="20"/>
                <w:szCs w:val="20"/>
                <w:color w:val="auto"/>
              </w:rPr>
            </w:pPr>
            <w:r>
              <w:rPr>
                <w:rFonts w:ascii="Arial" w:cs="Arial" w:eastAsia="Arial" w:hAnsi="Arial"/>
                <w:sz w:val="18"/>
                <w:szCs w:val="18"/>
                <w:b w:val="1"/>
                <w:bCs w:val="1"/>
                <w:color w:val="0956FF"/>
              </w:rPr>
              <w:t>Annual Meeting</w:t>
            </w:r>
          </w:p>
        </w:tc>
      </w:tr>
      <w:tr>
        <w:trPr>
          <w:trHeight w:val="1851"/>
        </w:trPr>
        <w:tc>
          <w:tcPr>
            <w:tcW w:w="1760" w:type="dxa"/>
            <w:vAlign w:val="bottom"/>
            <w:tcBorders>
              <w:right w:val="single" w:sz="8" w:color="D8D7D7"/>
            </w:tcBorders>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Borders>
              <w:right w:val="single" w:sz="8" w:color="D8D7D7"/>
            </w:tcBorders>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Borders>
              <w:right w:val="single" w:sz="8" w:color="D8D7D7"/>
            </w:tcBorders>
          </w:tcPr>
          <w:p>
            <w:pPr>
              <w:spacing w:after="0"/>
              <w:rPr>
                <w:sz w:val="24"/>
                <w:szCs w:val="24"/>
                <w:color w:val="auto"/>
              </w:rPr>
            </w:pPr>
          </w:p>
        </w:tc>
      </w:tr>
    </w:tbl>
    <w:p>
      <w:pPr>
        <w:spacing w:after="0" w:line="141" w:lineRule="exact"/>
        <w:rPr>
          <w:sz w:val="20"/>
          <w:szCs w:val="20"/>
          <w:color w:val="auto"/>
        </w:rPr>
      </w:pPr>
    </w:p>
    <w:p>
      <w:pPr>
        <w:sectPr>
          <w:pgSz w:w="11900" w:h="16838" w:orient="portrait"/>
          <w:cols w:equalWidth="0" w:num="2">
            <w:col w:w="2700" w:space="460"/>
            <w:col w:w="5940"/>
          </w:cols>
          <w:pgMar w:left="1400" w:top="657" w:right="1399" w:bottom="1440" w:gutter="0" w:footer="0" w:header="0"/>
          <w:type w:val="continuous"/>
        </w:sectPr>
      </w:pPr>
    </w:p>
    <w:p>
      <w:pPr>
        <w:spacing w:after="0"/>
        <w:rPr>
          <w:sz w:val="20"/>
          <w:szCs w:val="20"/>
          <w:color w:val="auto"/>
        </w:rPr>
      </w:pPr>
      <w:r>
        <w:rPr>
          <w:rFonts w:ascii="Arial" w:cs="Arial" w:eastAsia="Arial" w:hAnsi="Arial"/>
          <w:sz w:val="29"/>
          <w:szCs w:val="29"/>
          <w:b w:val="1"/>
          <w:bCs w:val="1"/>
          <w:color w:val="auto"/>
        </w:rPr>
        <w:t>Director Recruitment Process</w:t>
      </w:r>
    </w:p>
    <w:p>
      <w:pPr>
        <w:spacing w:after="0" w:line="119"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The Governance Committee aims to balance tenure, diversity, and skills when recommending director nominees. The Board values periodic refreshment and committee rotation to align with the evolving needs of the Company and to introduce fresh perspectives. Continuity is also important, as it helps directors develop a deep understanding of the Company and work effectively as a group, which we believe is genuinely beneficial to shareholders.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581"/>
        </w:trPr>
        <w:tc>
          <w:tcPr>
            <w:tcW w:w="240" w:type="dxa"/>
            <w:vAlign w:val="bottom"/>
            <w:tcBorders>
              <w:bottom w:val="single" w:sz="8" w:color="D8D7D7"/>
            </w:tcBorders>
            <w:shd w:val="clear" w:color="auto" w:fill="ECEBEB"/>
          </w:tcPr>
          <w:p>
            <w:pPr>
              <w:spacing w:after="0"/>
              <w:rPr>
                <w:sz w:val="24"/>
                <w:szCs w:val="24"/>
                <w:color w:val="auto"/>
              </w:rPr>
            </w:pPr>
          </w:p>
        </w:tc>
        <w:tc>
          <w:tcPr>
            <w:tcW w:w="460" w:type="dxa"/>
            <w:vAlign w:val="bottom"/>
            <w:tcBorders>
              <w:bottom w:val="single" w:sz="8" w:color="D8D7D7"/>
            </w:tcBorders>
            <w:shd w:val="clear" w:color="auto" w:fill="ECEBEB"/>
          </w:tcPr>
          <w:p>
            <w:pPr>
              <w:ind w:left="20"/>
              <w:spacing w:after="0"/>
              <w:rPr>
                <w:sz w:val="20"/>
                <w:szCs w:val="20"/>
                <w:color w:val="auto"/>
              </w:rPr>
            </w:pPr>
            <w:r>
              <w:rPr>
                <w:rFonts w:ascii="Arial" w:cs="Arial" w:eastAsia="Arial" w:hAnsi="Arial"/>
                <w:sz w:val="43"/>
                <w:szCs w:val="43"/>
                <w:b w:val="1"/>
                <w:bCs w:val="1"/>
                <w:color w:val="0956FF"/>
              </w:rPr>
              <w:t>1</w:t>
            </w:r>
          </w:p>
        </w:tc>
        <w:tc>
          <w:tcPr>
            <w:tcW w:w="1180" w:type="dxa"/>
            <w:vAlign w:val="bottom"/>
            <w:tcBorders>
              <w:bottom w:val="single" w:sz="8" w:color="D8D7D7"/>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D8D7D7"/>
            </w:tcBorders>
            <w:gridSpan w:val="2"/>
            <w:shd w:val="clear" w:color="auto" w:fill="ECEBEB"/>
          </w:tcPr>
          <w:p>
            <w:pPr>
              <w:ind w:left="180"/>
              <w:spacing w:after="0"/>
              <w:rPr>
                <w:sz w:val="20"/>
                <w:szCs w:val="20"/>
                <w:color w:val="auto"/>
              </w:rPr>
            </w:pPr>
            <w:r>
              <w:rPr>
                <w:rFonts w:ascii="Arial" w:cs="Arial" w:eastAsia="Arial" w:hAnsi="Arial"/>
                <w:sz w:val="43"/>
                <w:szCs w:val="43"/>
                <w:b w:val="1"/>
                <w:bCs w:val="1"/>
                <w:color w:val="0956FF"/>
              </w:rPr>
              <w:t>2</w:t>
            </w:r>
          </w:p>
        </w:tc>
        <w:tc>
          <w:tcPr>
            <w:tcW w:w="1580" w:type="dxa"/>
            <w:vAlign w:val="bottom"/>
            <w:tcBorders>
              <w:bottom w:val="single" w:sz="8" w:color="D8D7D7"/>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bottom w:val="single" w:sz="8" w:color="D8D7D7"/>
            </w:tcBorders>
            <w:shd w:val="clear" w:color="auto" w:fill="ECEBEB"/>
          </w:tcPr>
          <w:p>
            <w:pPr>
              <w:ind w:left="160"/>
              <w:spacing w:after="0"/>
              <w:rPr>
                <w:sz w:val="20"/>
                <w:szCs w:val="20"/>
                <w:color w:val="auto"/>
              </w:rPr>
            </w:pPr>
            <w:r>
              <w:rPr>
                <w:rFonts w:ascii="Arial" w:cs="Arial" w:eastAsia="Arial" w:hAnsi="Arial"/>
                <w:sz w:val="43"/>
                <w:szCs w:val="43"/>
                <w:b w:val="1"/>
                <w:bCs w:val="1"/>
                <w:color w:val="0956FF"/>
              </w:rPr>
              <w:t>3</w:t>
            </w:r>
          </w:p>
        </w:tc>
        <w:tc>
          <w:tcPr>
            <w:tcW w:w="900" w:type="dxa"/>
            <w:vAlign w:val="bottom"/>
            <w:tcBorders>
              <w:bottom w:val="single" w:sz="8" w:color="D8D7D7"/>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D8D7D7"/>
            </w:tcBorders>
            <w:shd w:val="clear" w:color="auto" w:fill="ECEBEB"/>
          </w:tcPr>
          <w:p>
            <w:pPr>
              <w:ind w:left="180"/>
              <w:spacing w:after="0"/>
              <w:rPr>
                <w:sz w:val="20"/>
                <w:szCs w:val="20"/>
                <w:color w:val="auto"/>
              </w:rPr>
            </w:pPr>
            <w:r>
              <w:rPr>
                <w:rFonts w:ascii="Arial" w:cs="Arial" w:eastAsia="Arial" w:hAnsi="Arial"/>
                <w:sz w:val="43"/>
                <w:szCs w:val="43"/>
                <w:b w:val="1"/>
                <w:bCs w:val="1"/>
                <w:color w:val="0956FF"/>
              </w:rPr>
              <w:t>4</w:t>
            </w:r>
          </w:p>
        </w:tc>
        <w:tc>
          <w:tcPr>
            <w:tcW w:w="380" w:type="dxa"/>
            <w:vAlign w:val="bottom"/>
            <w:tcBorders>
              <w:bottom w:val="single" w:sz="8" w:color="D8D7D7"/>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D8D7D7"/>
            </w:tcBorders>
            <w:shd w:val="clear" w:color="auto" w:fill="ECEBEB"/>
          </w:tcPr>
          <w:p>
            <w:pPr>
              <w:ind w:left="180"/>
              <w:spacing w:after="0"/>
              <w:rPr>
                <w:sz w:val="20"/>
                <w:szCs w:val="20"/>
                <w:color w:val="auto"/>
              </w:rPr>
            </w:pPr>
            <w:r>
              <w:rPr>
                <w:rFonts w:ascii="Arial" w:cs="Arial" w:eastAsia="Arial" w:hAnsi="Arial"/>
                <w:sz w:val="43"/>
                <w:szCs w:val="43"/>
                <w:b w:val="1"/>
                <w:bCs w:val="1"/>
                <w:color w:val="0956FF"/>
              </w:rPr>
              <w:t>5</w:t>
            </w:r>
          </w:p>
        </w:tc>
        <w:tc>
          <w:tcPr>
            <w:tcW w:w="760" w:type="dxa"/>
            <w:vAlign w:val="bottom"/>
            <w:tcBorders>
              <w:bottom w:val="single" w:sz="8" w:color="D8D7D7"/>
            </w:tcBorders>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880" w:type="dxa"/>
            <w:vAlign w:val="bottom"/>
            <w:tcBorders>
              <w:right w:val="single" w:sz="8" w:color="D8D7D7"/>
            </w:tcBorders>
            <w:gridSpan w:val="3"/>
          </w:tcPr>
          <w:p>
            <w:pPr>
              <w:ind w:left="180"/>
              <w:spacing w:after="0"/>
              <w:rPr>
                <w:sz w:val="20"/>
                <w:szCs w:val="20"/>
                <w:color w:val="auto"/>
              </w:rPr>
            </w:pPr>
            <w:r>
              <w:rPr>
                <w:rFonts w:ascii="Arial" w:cs="Arial" w:eastAsia="Arial" w:hAnsi="Arial"/>
                <w:sz w:val="18"/>
                <w:szCs w:val="18"/>
                <w:b w:val="1"/>
                <w:bCs w:val="1"/>
                <w:color w:val="0956FF"/>
              </w:rPr>
              <w:t>Source Candidate</w:t>
            </w:r>
          </w:p>
        </w:tc>
        <w:tc>
          <w:tcPr>
            <w:tcW w:w="280" w:type="dxa"/>
            <w:vAlign w:val="bottom"/>
          </w:tcPr>
          <w:p>
            <w:pPr>
              <w:spacing w:after="0"/>
              <w:rPr>
                <w:sz w:val="24"/>
                <w:szCs w:val="24"/>
                <w:color w:val="auto"/>
              </w:rPr>
            </w:pPr>
          </w:p>
        </w:tc>
        <w:tc>
          <w:tcPr>
            <w:tcW w:w="2200" w:type="dxa"/>
            <w:vAlign w:val="bottom"/>
            <w:tcBorders>
              <w:right w:val="single" w:sz="8" w:color="D8D7D7"/>
            </w:tcBorders>
            <w:gridSpan w:val="3"/>
          </w:tcPr>
          <w:p>
            <w:pPr>
              <w:ind w:left="180"/>
              <w:spacing w:after="0"/>
              <w:rPr>
                <w:sz w:val="20"/>
                <w:szCs w:val="20"/>
                <w:color w:val="auto"/>
              </w:rPr>
            </w:pPr>
            <w:r>
              <w:rPr>
                <w:rFonts w:ascii="Arial" w:cs="Arial" w:eastAsia="Arial" w:hAnsi="Arial"/>
                <w:sz w:val="18"/>
                <w:szCs w:val="18"/>
                <w:b w:val="1"/>
                <w:bCs w:val="1"/>
                <w:color w:val="0956FF"/>
              </w:rPr>
              <w:t>In-Depth Review by</w:t>
            </w:r>
          </w:p>
        </w:tc>
        <w:tc>
          <w:tcPr>
            <w:tcW w:w="300" w:type="dxa"/>
            <w:vAlign w:val="bottom"/>
          </w:tcPr>
          <w:p>
            <w:pPr>
              <w:spacing w:after="0"/>
              <w:rPr>
                <w:sz w:val="24"/>
                <w:szCs w:val="24"/>
                <w:color w:val="auto"/>
              </w:rPr>
            </w:pPr>
          </w:p>
        </w:tc>
        <w:tc>
          <w:tcPr>
            <w:tcW w:w="1500" w:type="dxa"/>
            <w:vAlign w:val="bottom"/>
            <w:tcBorders>
              <w:right w:val="single" w:sz="8" w:color="D8D7D7"/>
            </w:tcBorders>
            <w:gridSpan w:val="2"/>
          </w:tcPr>
          <w:p>
            <w:pPr>
              <w:ind w:left="160"/>
              <w:spacing w:after="0"/>
              <w:rPr>
                <w:sz w:val="20"/>
                <w:szCs w:val="20"/>
                <w:color w:val="auto"/>
              </w:rPr>
            </w:pPr>
            <w:r>
              <w:rPr>
                <w:rFonts w:ascii="Arial" w:cs="Arial" w:eastAsia="Arial" w:hAnsi="Arial"/>
                <w:sz w:val="18"/>
                <w:szCs w:val="18"/>
                <w:b w:val="1"/>
                <w:bCs w:val="1"/>
                <w:color w:val="0956FF"/>
              </w:rPr>
              <w:t>Recommend</w:t>
            </w:r>
          </w:p>
        </w:tc>
        <w:tc>
          <w:tcPr>
            <w:tcW w:w="280" w:type="dxa"/>
            <w:vAlign w:val="bottom"/>
          </w:tcPr>
          <w:p>
            <w:pPr>
              <w:spacing w:after="0"/>
              <w:rPr>
                <w:sz w:val="24"/>
                <w:szCs w:val="24"/>
                <w:color w:val="auto"/>
              </w:rPr>
            </w:pPr>
          </w:p>
        </w:tc>
        <w:tc>
          <w:tcPr>
            <w:tcW w:w="1000" w:type="dxa"/>
            <w:vAlign w:val="bottom"/>
            <w:tcBorders>
              <w:right w:val="single" w:sz="8" w:color="D8D7D7"/>
            </w:tcBorders>
            <w:gridSpan w:val="2"/>
          </w:tcPr>
          <w:p>
            <w:pPr>
              <w:ind w:left="180"/>
              <w:spacing w:after="0"/>
              <w:rPr>
                <w:sz w:val="20"/>
                <w:szCs w:val="20"/>
                <w:color w:val="auto"/>
              </w:rPr>
            </w:pPr>
            <w:r>
              <w:rPr>
                <w:rFonts w:ascii="Arial" w:cs="Arial" w:eastAsia="Arial" w:hAnsi="Arial"/>
                <w:sz w:val="18"/>
                <w:szCs w:val="18"/>
                <w:b w:val="1"/>
                <w:bCs w:val="1"/>
                <w:color w:val="0956FF"/>
              </w:rPr>
              <w:t>Review</w:t>
            </w:r>
          </w:p>
        </w:tc>
        <w:tc>
          <w:tcPr>
            <w:tcW w:w="280" w:type="dxa"/>
            <w:vAlign w:val="bottom"/>
          </w:tcPr>
          <w:p>
            <w:pPr>
              <w:spacing w:after="0"/>
              <w:rPr>
                <w:sz w:val="24"/>
                <w:szCs w:val="24"/>
                <w:color w:val="auto"/>
              </w:rPr>
            </w:pPr>
          </w:p>
        </w:tc>
        <w:tc>
          <w:tcPr>
            <w:tcW w:w="1380" w:type="dxa"/>
            <w:vAlign w:val="bottom"/>
            <w:tcBorders>
              <w:right w:val="single" w:sz="8" w:color="D8D7D7"/>
            </w:tcBorders>
            <w:gridSpan w:val="2"/>
          </w:tcPr>
          <w:p>
            <w:pPr>
              <w:ind w:left="180"/>
              <w:spacing w:after="0"/>
              <w:rPr>
                <w:sz w:val="20"/>
                <w:szCs w:val="20"/>
                <w:color w:val="auto"/>
              </w:rPr>
            </w:pPr>
            <w:r>
              <w:rPr>
                <w:rFonts w:ascii="Arial" w:cs="Arial" w:eastAsia="Arial" w:hAnsi="Arial"/>
                <w:sz w:val="18"/>
                <w:szCs w:val="18"/>
                <w:b w:val="1"/>
                <w:bCs w:val="1"/>
                <w:color w:val="0956FF"/>
              </w:rPr>
              <w:t>Select</w:t>
            </w:r>
          </w:p>
        </w:tc>
        <w:tc>
          <w:tcPr>
            <w:tcW w:w="0" w:type="dxa"/>
            <w:vAlign w:val="bottom"/>
          </w:tcPr>
          <w:p>
            <w:pPr>
              <w:spacing w:after="0"/>
              <w:rPr>
                <w:sz w:val="1"/>
                <w:szCs w:val="1"/>
                <w:color w:val="auto"/>
              </w:rPr>
            </w:pPr>
          </w:p>
        </w:tc>
      </w:tr>
      <w:tr>
        <w:trPr>
          <w:trHeight w:val="216"/>
        </w:trPr>
        <w:tc>
          <w:tcPr>
            <w:tcW w:w="1880" w:type="dxa"/>
            <w:vAlign w:val="bottom"/>
            <w:tcBorders>
              <w:right w:val="single" w:sz="8" w:color="D8D7D7"/>
            </w:tcBorders>
            <w:gridSpan w:val="3"/>
          </w:tcPr>
          <w:p>
            <w:pPr>
              <w:ind w:left="180"/>
              <w:spacing w:after="0"/>
              <w:rPr>
                <w:sz w:val="20"/>
                <w:szCs w:val="20"/>
                <w:color w:val="auto"/>
              </w:rPr>
            </w:pPr>
            <w:r>
              <w:rPr>
                <w:rFonts w:ascii="Arial" w:cs="Arial" w:eastAsia="Arial" w:hAnsi="Arial"/>
                <w:sz w:val="18"/>
                <w:szCs w:val="18"/>
                <w:b w:val="1"/>
                <w:bCs w:val="1"/>
                <w:color w:val="0956FF"/>
              </w:rPr>
              <w:t>Pool From</w:t>
            </w:r>
          </w:p>
        </w:tc>
        <w:tc>
          <w:tcPr>
            <w:tcW w:w="280" w:type="dxa"/>
            <w:vAlign w:val="bottom"/>
          </w:tcPr>
          <w:p>
            <w:pPr>
              <w:spacing w:after="0"/>
              <w:rPr>
                <w:sz w:val="18"/>
                <w:szCs w:val="18"/>
                <w:color w:val="auto"/>
              </w:rPr>
            </w:pPr>
          </w:p>
        </w:tc>
        <w:tc>
          <w:tcPr>
            <w:tcW w:w="2200" w:type="dxa"/>
            <w:vAlign w:val="bottom"/>
            <w:tcBorders>
              <w:right w:val="single" w:sz="8" w:color="D8D7D7"/>
            </w:tcBorders>
            <w:gridSpan w:val="3"/>
          </w:tcPr>
          <w:p>
            <w:pPr>
              <w:ind w:left="180"/>
              <w:spacing w:after="0"/>
              <w:rPr>
                <w:sz w:val="20"/>
                <w:szCs w:val="20"/>
                <w:color w:val="auto"/>
              </w:rPr>
            </w:pPr>
            <w:r>
              <w:rPr>
                <w:rFonts w:ascii="Arial" w:cs="Arial" w:eastAsia="Arial" w:hAnsi="Arial"/>
                <w:sz w:val="18"/>
                <w:szCs w:val="18"/>
                <w:b w:val="1"/>
                <w:bCs w:val="1"/>
                <w:color w:val="0956FF"/>
              </w:rPr>
              <w:t>the Governance</w:t>
            </w:r>
          </w:p>
        </w:tc>
        <w:tc>
          <w:tcPr>
            <w:tcW w:w="300" w:type="dxa"/>
            <w:vAlign w:val="bottom"/>
          </w:tcPr>
          <w:p>
            <w:pPr>
              <w:spacing w:after="0"/>
              <w:rPr>
                <w:sz w:val="18"/>
                <w:szCs w:val="18"/>
                <w:color w:val="auto"/>
              </w:rPr>
            </w:pPr>
          </w:p>
        </w:tc>
        <w:tc>
          <w:tcPr>
            <w:tcW w:w="1500" w:type="dxa"/>
            <w:vAlign w:val="bottom"/>
            <w:tcBorders>
              <w:right w:val="single" w:sz="8" w:color="D8D7D7"/>
            </w:tcBorders>
            <w:gridSpan w:val="2"/>
          </w:tcPr>
          <w:p>
            <w:pPr>
              <w:ind w:left="160"/>
              <w:spacing w:after="0"/>
              <w:rPr>
                <w:sz w:val="20"/>
                <w:szCs w:val="20"/>
                <w:color w:val="auto"/>
              </w:rPr>
            </w:pPr>
            <w:r>
              <w:rPr>
                <w:rFonts w:ascii="Arial" w:cs="Arial" w:eastAsia="Arial" w:hAnsi="Arial"/>
                <w:sz w:val="18"/>
                <w:szCs w:val="18"/>
                <w:b w:val="1"/>
                <w:bCs w:val="1"/>
                <w:color w:val="0956FF"/>
              </w:rPr>
              <w:t>Selected</w:t>
            </w:r>
          </w:p>
        </w:tc>
        <w:tc>
          <w:tcPr>
            <w:tcW w:w="280" w:type="dxa"/>
            <w:vAlign w:val="bottom"/>
          </w:tcPr>
          <w:p>
            <w:pPr>
              <w:spacing w:after="0"/>
              <w:rPr>
                <w:sz w:val="18"/>
                <w:szCs w:val="18"/>
                <w:color w:val="auto"/>
              </w:rPr>
            </w:pPr>
          </w:p>
        </w:tc>
        <w:tc>
          <w:tcPr>
            <w:tcW w:w="1000" w:type="dxa"/>
            <w:vAlign w:val="bottom"/>
            <w:tcBorders>
              <w:right w:val="single" w:sz="8" w:color="D8D7D7"/>
            </w:tcBorders>
            <w:gridSpan w:val="2"/>
          </w:tcPr>
          <w:p>
            <w:pPr>
              <w:ind w:left="180"/>
              <w:spacing w:after="0"/>
              <w:rPr>
                <w:sz w:val="20"/>
                <w:szCs w:val="20"/>
                <w:color w:val="auto"/>
              </w:rPr>
            </w:pPr>
            <w:r>
              <w:rPr>
                <w:rFonts w:ascii="Arial" w:cs="Arial" w:eastAsia="Arial" w:hAnsi="Arial"/>
                <w:sz w:val="18"/>
                <w:szCs w:val="18"/>
                <w:b w:val="1"/>
                <w:bCs w:val="1"/>
                <w:color w:val="0956FF"/>
              </w:rPr>
              <w:t>by Full</w:t>
            </w:r>
          </w:p>
        </w:tc>
        <w:tc>
          <w:tcPr>
            <w:tcW w:w="280" w:type="dxa"/>
            <w:vAlign w:val="bottom"/>
          </w:tcPr>
          <w:p>
            <w:pPr>
              <w:spacing w:after="0"/>
              <w:rPr>
                <w:sz w:val="18"/>
                <w:szCs w:val="18"/>
                <w:color w:val="auto"/>
              </w:rPr>
            </w:pPr>
          </w:p>
        </w:tc>
        <w:tc>
          <w:tcPr>
            <w:tcW w:w="1380" w:type="dxa"/>
            <w:vAlign w:val="bottom"/>
            <w:tcBorders>
              <w:right w:val="single" w:sz="8" w:color="D8D7D7"/>
            </w:tcBorders>
            <w:gridSpan w:val="2"/>
          </w:tcPr>
          <w:p>
            <w:pPr>
              <w:ind w:left="180"/>
              <w:spacing w:after="0"/>
              <w:rPr>
                <w:sz w:val="20"/>
                <w:szCs w:val="20"/>
                <w:color w:val="auto"/>
              </w:rPr>
            </w:pPr>
            <w:r>
              <w:rPr>
                <w:rFonts w:ascii="Arial" w:cs="Arial" w:eastAsia="Arial" w:hAnsi="Arial"/>
                <w:sz w:val="18"/>
                <w:szCs w:val="18"/>
                <w:b w:val="1"/>
                <w:bCs w:val="1"/>
                <w:color w:val="0956FF"/>
              </w:rPr>
              <w:t>Director(s)</w:t>
            </w:r>
          </w:p>
        </w:tc>
        <w:tc>
          <w:tcPr>
            <w:tcW w:w="0" w:type="dxa"/>
            <w:vAlign w:val="bottom"/>
          </w:tcPr>
          <w:p>
            <w:pPr>
              <w:spacing w:after="0"/>
              <w:rPr>
                <w:sz w:val="1"/>
                <w:szCs w:val="1"/>
                <w:color w:val="auto"/>
              </w:rPr>
            </w:pPr>
          </w:p>
        </w:tc>
      </w:tr>
      <w:tr>
        <w:trPr>
          <w:trHeight w:val="248"/>
        </w:trPr>
        <w:tc>
          <w:tcPr>
            <w:tcW w:w="240" w:type="dxa"/>
            <w:vAlign w:val="bottom"/>
          </w:tcPr>
          <w:p>
            <w:pPr>
              <w:ind w:left="180"/>
              <w:spacing w:after="0"/>
              <w:rPr>
                <w:sz w:val="20"/>
                <w:szCs w:val="20"/>
                <w:color w:val="auto"/>
              </w:rPr>
            </w:pPr>
            <w:r>
              <w:rPr>
                <w:rFonts w:ascii="Arial" w:cs="Arial" w:eastAsia="Arial" w:hAnsi="Arial"/>
                <w:sz w:val="16"/>
                <w:szCs w:val="16"/>
                <w:color w:val="0956FF"/>
                <w:w w:val="70"/>
              </w:rPr>
              <w:t>•</w:t>
            </w:r>
          </w:p>
        </w:tc>
        <w:tc>
          <w:tcPr>
            <w:tcW w:w="1640" w:type="dxa"/>
            <w:vAlign w:val="bottom"/>
            <w:tcBorders>
              <w:right w:val="single" w:sz="8" w:color="D8D7D7"/>
            </w:tcBorders>
            <w:gridSpan w:val="2"/>
          </w:tcPr>
          <w:p>
            <w:pPr>
              <w:ind w:left="140"/>
              <w:spacing w:after="0"/>
              <w:rPr>
                <w:sz w:val="20"/>
                <w:szCs w:val="20"/>
                <w:color w:val="auto"/>
              </w:rPr>
            </w:pPr>
            <w:r>
              <w:rPr>
                <w:rFonts w:ascii="Arial" w:cs="Arial" w:eastAsia="Arial" w:hAnsi="Arial"/>
                <w:sz w:val="16"/>
                <w:szCs w:val="16"/>
                <w:color w:val="auto"/>
              </w:rPr>
              <w:t>Independent</w:t>
            </w:r>
          </w:p>
        </w:tc>
        <w:tc>
          <w:tcPr>
            <w:tcW w:w="280" w:type="dxa"/>
            <w:vAlign w:val="bottom"/>
          </w:tcPr>
          <w:p>
            <w:pPr>
              <w:spacing w:after="0"/>
              <w:rPr>
                <w:sz w:val="21"/>
                <w:szCs w:val="21"/>
                <w:color w:val="auto"/>
              </w:rPr>
            </w:pPr>
          </w:p>
        </w:tc>
        <w:tc>
          <w:tcPr>
            <w:tcW w:w="2200" w:type="dxa"/>
            <w:vAlign w:val="bottom"/>
            <w:tcBorders>
              <w:right w:val="single" w:sz="8" w:color="D8D7D7"/>
            </w:tcBorders>
            <w:gridSpan w:val="3"/>
          </w:tcPr>
          <w:p>
            <w:pPr>
              <w:ind w:left="180"/>
              <w:spacing w:after="0"/>
              <w:rPr>
                <w:sz w:val="20"/>
                <w:szCs w:val="20"/>
                <w:color w:val="auto"/>
              </w:rPr>
            </w:pPr>
            <w:r>
              <w:rPr>
                <w:rFonts w:ascii="Arial" w:cs="Arial" w:eastAsia="Arial" w:hAnsi="Arial"/>
                <w:sz w:val="18"/>
                <w:szCs w:val="18"/>
                <w:b w:val="1"/>
                <w:bCs w:val="1"/>
                <w:color w:val="0956FF"/>
              </w:rPr>
              <w:t>Committee</w:t>
            </w:r>
          </w:p>
        </w:tc>
        <w:tc>
          <w:tcPr>
            <w:tcW w:w="300" w:type="dxa"/>
            <w:vAlign w:val="bottom"/>
          </w:tcPr>
          <w:p>
            <w:pPr>
              <w:spacing w:after="0"/>
              <w:rPr>
                <w:sz w:val="21"/>
                <w:szCs w:val="21"/>
                <w:color w:val="auto"/>
              </w:rPr>
            </w:pPr>
          </w:p>
        </w:tc>
        <w:tc>
          <w:tcPr>
            <w:tcW w:w="1500" w:type="dxa"/>
            <w:vAlign w:val="bottom"/>
            <w:tcBorders>
              <w:right w:val="single" w:sz="8" w:color="D8D7D7"/>
            </w:tcBorders>
            <w:gridSpan w:val="2"/>
          </w:tcPr>
          <w:p>
            <w:pPr>
              <w:ind w:left="160"/>
              <w:spacing w:after="0"/>
              <w:rPr>
                <w:sz w:val="20"/>
                <w:szCs w:val="20"/>
                <w:color w:val="auto"/>
              </w:rPr>
            </w:pPr>
            <w:r>
              <w:rPr>
                <w:rFonts w:ascii="Arial" w:cs="Arial" w:eastAsia="Arial" w:hAnsi="Arial"/>
                <w:sz w:val="18"/>
                <w:szCs w:val="18"/>
                <w:b w:val="1"/>
                <w:bCs w:val="1"/>
                <w:color w:val="0956FF"/>
              </w:rPr>
              <w:t>Candidate for</w:t>
            </w:r>
          </w:p>
        </w:tc>
        <w:tc>
          <w:tcPr>
            <w:tcW w:w="280" w:type="dxa"/>
            <w:vAlign w:val="bottom"/>
          </w:tcPr>
          <w:p>
            <w:pPr>
              <w:spacing w:after="0"/>
              <w:rPr>
                <w:sz w:val="21"/>
                <w:szCs w:val="21"/>
                <w:color w:val="auto"/>
              </w:rPr>
            </w:pPr>
          </w:p>
        </w:tc>
        <w:tc>
          <w:tcPr>
            <w:tcW w:w="1000" w:type="dxa"/>
            <w:vAlign w:val="bottom"/>
            <w:tcBorders>
              <w:right w:val="single" w:sz="8" w:color="D8D7D7"/>
            </w:tcBorders>
            <w:gridSpan w:val="2"/>
          </w:tcPr>
          <w:p>
            <w:pPr>
              <w:ind w:left="180"/>
              <w:spacing w:after="0"/>
              <w:rPr>
                <w:sz w:val="20"/>
                <w:szCs w:val="20"/>
                <w:color w:val="auto"/>
              </w:rPr>
            </w:pPr>
            <w:r>
              <w:rPr>
                <w:rFonts w:ascii="Arial" w:cs="Arial" w:eastAsia="Arial" w:hAnsi="Arial"/>
                <w:sz w:val="18"/>
                <w:szCs w:val="18"/>
                <w:b w:val="1"/>
                <w:bCs w:val="1"/>
                <w:color w:val="0956FF"/>
              </w:rPr>
              <w:t>Board</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right w:val="single" w:sz="8" w:color="D8D7D7"/>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640" w:type="dxa"/>
            <w:vAlign w:val="bottom"/>
            <w:tcBorders>
              <w:right w:val="single" w:sz="8" w:color="D8D7D7"/>
            </w:tcBorders>
            <w:gridSpan w:val="2"/>
          </w:tcPr>
          <w:p>
            <w:pPr>
              <w:ind w:left="140"/>
              <w:spacing w:after="0"/>
              <w:rPr>
                <w:sz w:val="20"/>
                <w:szCs w:val="20"/>
                <w:color w:val="auto"/>
              </w:rPr>
            </w:pPr>
            <w:r>
              <w:rPr>
                <w:rFonts w:ascii="Arial" w:cs="Arial" w:eastAsia="Arial" w:hAnsi="Arial"/>
                <w:sz w:val="16"/>
                <w:szCs w:val="16"/>
                <w:color w:val="auto"/>
              </w:rPr>
              <w:t>search firms</w:t>
            </w:r>
          </w:p>
        </w:tc>
        <w:tc>
          <w:tcPr>
            <w:tcW w:w="28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6"/>
                <w:szCs w:val="16"/>
                <w:color w:val="0956FF"/>
              </w:rPr>
              <w:t>•</w:t>
            </w:r>
          </w:p>
        </w:tc>
        <w:tc>
          <w:tcPr>
            <w:tcW w:w="1900" w:type="dxa"/>
            <w:vAlign w:val="bottom"/>
            <w:tcBorders>
              <w:right w:val="single" w:sz="8" w:color="D8D7D7"/>
            </w:tcBorders>
            <w:gridSpan w:val="2"/>
          </w:tcPr>
          <w:p>
            <w:pPr>
              <w:ind w:left="80"/>
              <w:spacing w:after="0"/>
              <w:rPr>
                <w:sz w:val="20"/>
                <w:szCs w:val="20"/>
                <w:color w:val="auto"/>
              </w:rPr>
            </w:pPr>
            <w:r>
              <w:rPr>
                <w:rFonts w:ascii="Arial" w:cs="Arial" w:eastAsia="Arial" w:hAnsi="Arial"/>
                <w:sz w:val="16"/>
                <w:szCs w:val="16"/>
                <w:color w:val="auto"/>
              </w:rPr>
              <w:t>Consider skills matrix</w:t>
            </w:r>
          </w:p>
        </w:tc>
        <w:tc>
          <w:tcPr>
            <w:tcW w:w="300" w:type="dxa"/>
            <w:vAlign w:val="bottom"/>
          </w:tcPr>
          <w:p>
            <w:pPr>
              <w:spacing w:after="0"/>
              <w:rPr>
                <w:sz w:val="18"/>
                <w:szCs w:val="18"/>
                <w:color w:val="auto"/>
              </w:rPr>
            </w:pPr>
          </w:p>
        </w:tc>
        <w:tc>
          <w:tcPr>
            <w:tcW w:w="1500" w:type="dxa"/>
            <w:vAlign w:val="bottom"/>
            <w:tcBorders>
              <w:right w:val="single" w:sz="8" w:color="D8D7D7"/>
            </w:tcBorders>
            <w:gridSpan w:val="2"/>
          </w:tcPr>
          <w:p>
            <w:pPr>
              <w:ind w:left="160"/>
              <w:spacing w:after="0"/>
              <w:rPr>
                <w:sz w:val="20"/>
                <w:szCs w:val="20"/>
                <w:color w:val="auto"/>
              </w:rPr>
            </w:pPr>
            <w:r>
              <w:rPr>
                <w:rFonts w:ascii="Arial" w:cs="Arial" w:eastAsia="Arial" w:hAnsi="Arial"/>
                <w:sz w:val="18"/>
                <w:szCs w:val="18"/>
                <w:b w:val="1"/>
                <w:bCs w:val="1"/>
                <w:color w:val="0956FF"/>
              </w:rPr>
              <w:t>Election to</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Borders>
              <w:right w:val="single" w:sz="8" w:color="D8D7D7"/>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right w:val="single" w:sz="8" w:color="D8D7D7"/>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40" w:type="dxa"/>
            <w:vAlign w:val="bottom"/>
            <w:vMerge w:val="restart"/>
          </w:tcPr>
          <w:p>
            <w:pPr>
              <w:ind w:left="180"/>
              <w:spacing w:after="0"/>
              <w:rPr>
                <w:sz w:val="20"/>
                <w:szCs w:val="20"/>
                <w:color w:val="auto"/>
              </w:rPr>
            </w:pPr>
            <w:r>
              <w:rPr>
                <w:rFonts w:ascii="Arial" w:cs="Arial" w:eastAsia="Arial" w:hAnsi="Arial"/>
                <w:sz w:val="16"/>
                <w:szCs w:val="16"/>
                <w:color w:val="0956FF"/>
                <w:w w:val="70"/>
              </w:rPr>
              <w:t>•</w:t>
            </w:r>
          </w:p>
        </w:tc>
        <w:tc>
          <w:tcPr>
            <w:tcW w:w="1640" w:type="dxa"/>
            <w:vAlign w:val="bottom"/>
            <w:tcBorders>
              <w:right w:val="single" w:sz="8" w:color="D8D7D7"/>
            </w:tcBorders>
            <w:gridSpan w:val="2"/>
            <w:vMerge w:val="restart"/>
          </w:tcPr>
          <w:p>
            <w:pPr>
              <w:ind w:left="140"/>
              <w:spacing w:after="0"/>
              <w:rPr>
                <w:sz w:val="20"/>
                <w:szCs w:val="20"/>
                <w:color w:val="auto"/>
              </w:rPr>
            </w:pPr>
            <w:r>
              <w:rPr>
                <w:rFonts w:ascii="Arial" w:cs="Arial" w:eastAsia="Arial" w:hAnsi="Arial"/>
                <w:sz w:val="16"/>
                <w:szCs w:val="16"/>
                <w:color w:val="auto"/>
              </w:rPr>
              <w:t>Directors</w:t>
            </w:r>
          </w:p>
        </w:tc>
        <w:tc>
          <w:tcPr>
            <w:tcW w:w="280" w:type="dxa"/>
            <w:vAlign w:val="bottom"/>
          </w:tcPr>
          <w:p>
            <w:pPr>
              <w:spacing w:after="0"/>
              <w:rPr>
                <w:sz w:val="21"/>
                <w:szCs w:val="21"/>
                <w:color w:val="auto"/>
              </w:rPr>
            </w:pPr>
          </w:p>
        </w:tc>
        <w:tc>
          <w:tcPr>
            <w:tcW w:w="300" w:type="dxa"/>
            <w:vAlign w:val="bottom"/>
            <w:vMerge w:val="restart"/>
          </w:tcPr>
          <w:p>
            <w:pPr>
              <w:ind w:left="180"/>
              <w:spacing w:after="0"/>
              <w:rPr>
                <w:sz w:val="20"/>
                <w:szCs w:val="20"/>
                <w:color w:val="auto"/>
              </w:rPr>
            </w:pPr>
            <w:r>
              <w:rPr>
                <w:rFonts w:ascii="Arial" w:cs="Arial" w:eastAsia="Arial" w:hAnsi="Arial"/>
                <w:sz w:val="16"/>
                <w:szCs w:val="16"/>
                <w:color w:val="0956FF"/>
              </w:rPr>
              <w:t>•</w:t>
            </w:r>
          </w:p>
        </w:tc>
        <w:tc>
          <w:tcPr>
            <w:tcW w:w="1900" w:type="dxa"/>
            <w:vAlign w:val="bottom"/>
            <w:tcBorders>
              <w:right w:val="single" w:sz="8" w:color="D8D7D7"/>
            </w:tcBorders>
            <w:gridSpan w:val="2"/>
            <w:vMerge w:val="restart"/>
          </w:tcPr>
          <w:p>
            <w:pPr>
              <w:ind w:left="80"/>
              <w:spacing w:after="0"/>
              <w:rPr>
                <w:sz w:val="20"/>
                <w:szCs w:val="20"/>
                <w:color w:val="auto"/>
              </w:rPr>
            </w:pPr>
            <w:r>
              <w:rPr>
                <w:rFonts w:ascii="Arial" w:cs="Arial" w:eastAsia="Arial" w:hAnsi="Arial"/>
                <w:sz w:val="16"/>
                <w:szCs w:val="16"/>
                <w:color w:val="auto"/>
              </w:rPr>
              <w:t>Screen qualifications</w:t>
            </w:r>
          </w:p>
        </w:tc>
        <w:tc>
          <w:tcPr>
            <w:tcW w:w="300" w:type="dxa"/>
            <w:vAlign w:val="bottom"/>
          </w:tcPr>
          <w:p>
            <w:pPr>
              <w:spacing w:after="0"/>
              <w:rPr>
                <w:sz w:val="21"/>
                <w:szCs w:val="21"/>
                <w:color w:val="auto"/>
              </w:rPr>
            </w:pPr>
          </w:p>
        </w:tc>
        <w:tc>
          <w:tcPr>
            <w:tcW w:w="1500" w:type="dxa"/>
            <w:vAlign w:val="bottom"/>
            <w:tcBorders>
              <w:right w:val="single" w:sz="8" w:color="D8D7D7"/>
            </w:tcBorders>
            <w:gridSpan w:val="2"/>
          </w:tcPr>
          <w:p>
            <w:pPr>
              <w:ind w:left="160"/>
              <w:spacing w:after="0"/>
              <w:rPr>
                <w:sz w:val="20"/>
                <w:szCs w:val="20"/>
                <w:color w:val="auto"/>
              </w:rPr>
            </w:pPr>
            <w:r>
              <w:rPr>
                <w:rFonts w:ascii="Arial" w:cs="Arial" w:eastAsia="Arial" w:hAnsi="Arial"/>
                <w:sz w:val="18"/>
                <w:szCs w:val="18"/>
                <w:b w:val="1"/>
                <w:bCs w:val="1"/>
                <w:color w:val="0956FF"/>
              </w:rPr>
              <w:t>Our Board</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Borders>
              <w:right w:val="single" w:sz="8" w:color="D8D7D7"/>
            </w:tcBorders>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right w:val="single" w:sz="8" w:color="D8D7D7"/>
            </w:tcBorders>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40" w:type="dxa"/>
            <w:vAlign w:val="bottom"/>
            <w:vMerge w:val="continue"/>
          </w:tcPr>
          <w:p>
            <w:pPr>
              <w:spacing w:after="0"/>
              <w:rPr>
                <w:sz w:val="6"/>
                <w:szCs w:val="6"/>
                <w:color w:val="auto"/>
              </w:rPr>
            </w:pPr>
          </w:p>
        </w:tc>
        <w:tc>
          <w:tcPr>
            <w:tcW w:w="1640" w:type="dxa"/>
            <w:vAlign w:val="bottom"/>
            <w:tcBorders>
              <w:right w:val="single" w:sz="8" w:color="D8D7D7"/>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900" w:type="dxa"/>
            <w:vAlign w:val="bottom"/>
            <w:tcBorders>
              <w:right w:val="single" w:sz="8" w:color="D8D7D7"/>
            </w:tcBorders>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Borders>
              <w:right w:val="single" w:sz="8" w:color="D8D7D7"/>
            </w:tcBorders>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Borders>
              <w:right w:val="single" w:sz="8" w:color="D8D7D7"/>
            </w:tcBorders>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Borders>
              <w:right w:val="single" w:sz="8" w:color="D8D7D7"/>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40" w:type="dxa"/>
            <w:vAlign w:val="bottom"/>
          </w:tcPr>
          <w:p>
            <w:pPr>
              <w:ind w:left="180"/>
              <w:spacing w:after="0"/>
              <w:rPr>
                <w:sz w:val="20"/>
                <w:szCs w:val="20"/>
                <w:color w:val="auto"/>
              </w:rPr>
            </w:pPr>
            <w:r>
              <w:rPr>
                <w:rFonts w:ascii="Arial" w:cs="Arial" w:eastAsia="Arial" w:hAnsi="Arial"/>
                <w:sz w:val="16"/>
                <w:szCs w:val="16"/>
                <w:color w:val="0956FF"/>
                <w:w w:val="70"/>
              </w:rPr>
              <w:t>•</w:t>
            </w:r>
          </w:p>
        </w:tc>
        <w:tc>
          <w:tcPr>
            <w:tcW w:w="1640" w:type="dxa"/>
            <w:vAlign w:val="bottom"/>
            <w:tcBorders>
              <w:right w:val="single" w:sz="8" w:color="D8D7D7"/>
            </w:tcBorders>
            <w:gridSpan w:val="2"/>
          </w:tcPr>
          <w:p>
            <w:pPr>
              <w:ind w:left="140"/>
              <w:spacing w:after="0"/>
              <w:rPr>
                <w:sz w:val="20"/>
                <w:szCs w:val="20"/>
                <w:color w:val="auto"/>
              </w:rPr>
            </w:pPr>
            <w:r>
              <w:rPr>
                <w:rFonts w:ascii="Arial" w:cs="Arial" w:eastAsia="Arial" w:hAnsi="Arial"/>
                <w:sz w:val="16"/>
                <w:szCs w:val="16"/>
                <w:color w:val="auto"/>
              </w:rPr>
              <w:t>Management</w:t>
            </w:r>
          </w:p>
        </w:tc>
        <w:tc>
          <w:tcPr>
            <w:tcW w:w="280" w:type="dxa"/>
            <w:vAlign w:val="bottom"/>
          </w:tcPr>
          <w:p>
            <w:pPr>
              <w:spacing w:after="0"/>
              <w:rPr>
                <w:sz w:val="23"/>
                <w:szCs w:val="23"/>
                <w:color w:val="auto"/>
              </w:rPr>
            </w:pPr>
          </w:p>
        </w:tc>
        <w:tc>
          <w:tcPr>
            <w:tcW w:w="300" w:type="dxa"/>
            <w:vAlign w:val="bottom"/>
          </w:tcPr>
          <w:p>
            <w:pPr>
              <w:ind w:left="180"/>
              <w:spacing w:after="0"/>
              <w:rPr>
                <w:sz w:val="20"/>
                <w:szCs w:val="20"/>
                <w:color w:val="auto"/>
              </w:rPr>
            </w:pPr>
            <w:r>
              <w:rPr>
                <w:rFonts w:ascii="Arial" w:cs="Arial" w:eastAsia="Arial" w:hAnsi="Arial"/>
                <w:sz w:val="16"/>
                <w:szCs w:val="16"/>
                <w:color w:val="0956FF"/>
              </w:rPr>
              <w:t>•</w:t>
            </w:r>
          </w:p>
        </w:tc>
        <w:tc>
          <w:tcPr>
            <w:tcW w:w="1900" w:type="dxa"/>
            <w:vAlign w:val="bottom"/>
            <w:tcBorders>
              <w:right w:val="single" w:sz="8" w:color="D8D7D7"/>
            </w:tcBorders>
            <w:gridSpan w:val="2"/>
          </w:tcPr>
          <w:p>
            <w:pPr>
              <w:ind w:left="80"/>
              <w:spacing w:after="0"/>
              <w:rPr>
                <w:sz w:val="20"/>
                <w:szCs w:val="20"/>
                <w:color w:val="auto"/>
              </w:rPr>
            </w:pPr>
            <w:r>
              <w:rPr>
                <w:rFonts w:ascii="Arial" w:cs="Arial" w:eastAsia="Arial" w:hAnsi="Arial"/>
                <w:sz w:val="16"/>
                <w:szCs w:val="16"/>
                <w:color w:val="auto"/>
              </w:rPr>
              <w:t>Review independence</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Borders>
              <w:right w:val="single" w:sz="8" w:color="D8D7D7"/>
            </w:tcBorders>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Borders>
              <w:right w:val="single" w:sz="8" w:color="D8D7D7"/>
            </w:tcBorders>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Borders>
              <w:right w:val="single" w:sz="8" w:color="D8D7D7"/>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40" w:type="dxa"/>
            <w:vAlign w:val="bottom"/>
            <w:vMerge w:val="restart"/>
          </w:tcPr>
          <w:p>
            <w:pPr>
              <w:ind w:left="180"/>
              <w:spacing w:after="0"/>
              <w:rPr>
                <w:sz w:val="20"/>
                <w:szCs w:val="20"/>
                <w:color w:val="auto"/>
              </w:rPr>
            </w:pPr>
            <w:r>
              <w:rPr>
                <w:rFonts w:ascii="Arial" w:cs="Arial" w:eastAsia="Arial" w:hAnsi="Arial"/>
                <w:sz w:val="16"/>
                <w:szCs w:val="16"/>
                <w:color w:val="0956FF"/>
                <w:w w:val="70"/>
              </w:rPr>
              <w:t>•</w:t>
            </w:r>
          </w:p>
        </w:tc>
        <w:tc>
          <w:tcPr>
            <w:tcW w:w="1640" w:type="dxa"/>
            <w:vAlign w:val="bottom"/>
            <w:tcBorders>
              <w:right w:val="single" w:sz="8" w:color="D8D7D7"/>
            </w:tcBorders>
            <w:gridSpan w:val="2"/>
            <w:vMerge w:val="restart"/>
          </w:tcPr>
          <w:p>
            <w:pPr>
              <w:ind w:left="140"/>
              <w:spacing w:after="0"/>
              <w:rPr>
                <w:sz w:val="20"/>
                <w:szCs w:val="20"/>
                <w:color w:val="auto"/>
              </w:rPr>
            </w:pPr>
            <w:r>
              <w:rPr>
                <w:rFonts w:ascii="Arial" w:cs="Arial" w:eastAsia="Arial" w:hAnsi="Arial"/>
                <w:sz w:val="16"/>
                <w:szCs w:val="16"/>
                <w:color w:val="auto"/>
              </w:rPr>
              <w:t>Shareholders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Borders>
              <w:right w:val="single" w:sz="8" w:color="D8D7D7"/>
            </w:tcBorders>
            <w:gridSpan w:val="2"/>
          </w:tcPr>
          <w:p>
            <w:pPr>
              <w:ind w:left="80"/>
              <w:spacing w:after="0"/>
              <w:rPr>
                <w:sz w:val="20"/>
                <w:szCs w:val="20"/>
                <w:color w:val="auto"/>
              </w:rPr>
            </w:pPr>
            <w:r>
              <w:rPr>
                <w:rFonts w:ascii="Arial" w:cs="Arial" w:eastAsia="Arial" w:hAnsi="Arial"/>
                <w:sz w:val="16"/>
                <w:szCs w:val="16"/>
                <w:color w:val="auto"/>
              </w:rPr>
              <w:t>and potential conflicts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Borders>
              <w:right w:val="single" w:sz="8" w:color="D8D7D7"/>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Borders>
              <w:right w:val="single" w:sz="8" w:color="D8D7D7"/>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Borders>
              <w:right w:val="single" w:sz="8" w:color="D8D7D7"/>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40" w:type="dxa"/>
            <w:vAlign w:val="bottom"/>
            <w:vMerge w:val="continue"/>
          </w:tcPr>
          <w:p>
            <w:pPr>
              <w:spacing w:after="0"/>
              <w:rPr>
                <w:sz w:val="4"/>
                <w:szCs w:val="4"/>
                <w:color w:val="auto"/>
              </w:rPr>
            </w:pPr>
          </w:p>
        </w:tc>
        <w:tc>
          <w:tcPr>
            <w:tcW w:w="1640" w:type="dxa"/>
            <w:vAlign w:val="bottom"/>
            <w:tcBorders>
              <w:right w:val="single" w:sz="8" w:color="D8D7D7"/>
            </w:tcBorders>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tcBorders>
              <w:right w:val="single" w:sz="8" w:color="D8D7D7"/>
            </w:tcBorders>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Borders>
              <w:right w:val="single" w:sz="8" w:color="D8D7D7"/>
            </w:tcBorders>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Borders>
              <w:right w:val="single" w:sz="8" w:color="D8D7D7"/>
            </w:tcBorders>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Borders>
              <w:right w:val="single" w:sz="8" w:color="D8D7D7"/>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80" w:type="dxa"/>
            <w:vAlign w:val="bottom"/>
            <w:tcBorders>
              <w:right w:val="single" w:sz="8" w:color="D8D7D7"/>
            </w:tcBorders>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80" w:type="dxa"/>
            <w:vAlign w:val="bottom"/>
            <w:tcBorders>
              <w:right w:val="single" w:sz="8" w:color="D8D7D7"/>
            </w:tcBorders>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Borders>
              <w:right w:val="single" w:sz="8" w:color="D8D7D7"/>
            </w:tcBorders>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Borders>
              <w:right w:val="single" w:sz="8" w:color="D8D7D7"/>
            </w:tcBorders>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Borders>
              <w:right w:val="single" w:sz="8" w:color="D8D7D7"/>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00"/>
          </w:cols>
          <w:pgMar w:left="140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9100"/>
          </w:cols>
          <w:pgMar w:left="1400" w:top="657" w:right="139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1  </w:t>
      </w:r>
      <w:r>
        <w:rPr>
          <w:rFonts w:ascii="Arial" w:cs="Arial" w:eastAsia="Arial" w:hAnsi="Arial"/>
          <w:sz w:val="14"/>
          <w:szCs w:val="14"/>
          <w:b w:val="1"/>
          <w:bCs w:val="1"/>
          <w:color w:val="000000"/>
        </w:rPr>
        <w:t>Annual Election of Directors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Candidate Recommendation and Director Communications</w:t>
      </w:r>
    </w:p>
    <w:p>
      <w:pPr>
        <w:spacing w:after="0" w:line="13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The Governance Committee will consider director candidates recommended by shareholders. The Governance Committee will review the qualifications and experience of each recommended candidate using the same criteria for candidates proposed by Board members and communicate its decision to the candidate or the shareholder who made the recommendation. Shareholder nominations must be submitted to the Company by the deadlines found on page 103.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956FF"/>
        </w:rPr>
        <w:t>To Recommend a Director Candidate, Write To:</w:t>
      </w:r>
    </w:p>
    <w:p>
      <w:pPr>
        <w:spacing w:after="0" w:line="122" w:lineRule="exact"/>
        <w:rPr>
          <w:sz w:val="20"/>
          <w:szCs w:val="20"/>
          <w:color w:val="auto"/>
        </w:rPr>
      </w:pPr>
    </w:p>
    <w:p>
      <w:pPr>
        <w:ind w:left="340" w:right="860"/>
        <w:spacing w:after="0" w:line="321" w:lineRule="auto"/>
        <w:rPr>
          <w:sz w:val="20"/>
          <w:szCs w:val="20"/>
          <w:color w:val="auto"/>
        </w:rPr>
      </w:pPr>
      <w:r>
        <w:rPr>
          <w:rFonts w:ascii="Arial" w:cs="Arial" w:eastAsia="Arial" w:hAnsi="Arial"/>
          <w:sz w:val="16"/>
          <w:szCs w:val="16"/>
          <w:color w:val="auto"/>
        </w:rPr>
        <w:t xml:space="preserve">GM’s Corporate Secretary at General Motors Company, Mail Code 482-22381-1101, 1240 Woodward Avenue, Detroit, Michigan 48265, or by email at </w:t>
      </w:r>
      <w:r>
        <w:rPr>
          <w:rFonts w:ascii="Arial" w:cs="Arial" w:eastAsia="Arial" w:hAnsi="Arial"/>
          <w:sz w:val="16"/>
          <w:szCs w:val="16"/>
          <w:u w:val="single" w:color="auto"/>
          <w:color w:val="0956FF"/>
        </w:rPr>
        <w:t>shareholder.relations@gm.com</w:t>
      </w:r>
      <w:r>
        <w:rPr>
          <w:rFonts w:ascii="Arial" w:cs="Arial" w:eastAsia="Arial" w:hAnsi="Arial"/>
          <w:sz w:val="16"/>
          <w:szCs w:val="16"/>
          <w:color w:val="auto"/>
        </w:rPr>
        <w:t xml:space="preserve"> </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956FF"/>
        </w:rPr>
        <w:t>Director Communications</w:t>
      </w:r>
    </w:p>
    <w:p>
      <w:pPr>
        <w:spacing w:after="0" w:line="122" w:lineRule="exact"/>
        <w:rPr>
          <w:sz w:val="20"/>
          <w:szCs w:val="20"/>
          <w:color w:val="auto"/>
        </w:rPr>
      </w:pPr>
    </w:p>
    <w:p>
      <w:pPr>
        <w:ind w:left="340" w:right="540"/>
        <w:spacing w:after="0" w:line="289" w:lineRule="auto"/>
        <w:rPr>
          <w:sz w:val="20"/>
          <w:szCs w:val="20"/>
          <w:color w:val="auto"/>
        </w:rPr>
      </w:pPr>
      <w:r>
        <w:rPr>
          <w:rFonts w:ascii="Arial" w:cs="Arial" w:eastAsia="Arial" w:hAnsi="Arial"/>
          <w:sz w:val="16"/>
          <w:szCs w:val="16"/>
          <w:color w:val="auto"/>
        </w:rPr>
        <w:t xml:space="preserve">Shareholders and interested parties wishing to contact our Board may send a letter to GM’s Corporate Secretary at General Motors Company, Mail Code 482-22381-1101, 1240 Woodward Avenue, Detroit, Michigan 48265, or by email at </w:t>
      </w:r>
      <w:r>
        <w:rPr>
          <w:rFonts w:ascii="Arial" w:cs="Arial" w:eastAsia="Arial" w:hAnsi="Arial"/>
          <w:sz w:val="16"/>
          <w:szCs w:val="16"/>
          <w:u w:val="single" w:color="auto"/>
          <w:color w:val="0956FF"/>
        </w:rPr>
        <w:t>shareholder.relations@gm.com</w:t>
      </w:r>
      <w:r>
        <w:rPr>
          <w:rFonts w:ascii="Arial" w:cs="Arial" w:eastAsia="Arial" w:hAnsi="Arial"/>
          <w:sz w:val="16"/>
          <w:szCs w:val="16"/>
          <w:color w:val="auto"/>
        </w:rPr>
        <w:t xml:space="preserve"> . Communications received in writing will be distributed to the Independent Lead Director or independent members of the Board as a group, if appropriate, unless such communications are considered, in the reasonable judgment of the Corporate Secretary, improper for submission to the intended recipient(s).</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020"/>
        <w:spacing w:after="0"/>
        <w:tabs>
          <w:tab w:leader="none" w:pos="888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17</w:t>
      </w:r>
    </w:p>
    <w:p>
      <w:pPr>
        <w:sectPr>
          <w:pgSz w:w="11900" w:h="16838" w:orient="portrait"/>
          <w:cols w:equalWidth="0" w:num="1">
            <w:col w:w="9100"/>
          </w:cols>
          <w:pgMar w:left="1400" w:top="657" w:right="13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The Board of Directors</w:t>
      </w:r>
    </w:p>
    <w:p>
      <w:pPr>
        <w:spacing w:after="0" w:line="12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GM is governed by a Board of Directors and its committees that meet throughout the year to ensure that the CEO and other senior management are operating the Company in a prudent and ethical manner. The Board is elected by our shareholders to oversee and provide guidance on the Company’s business and affairs. It is the ultimate decision-making body of the Company except for those matters reserved for shareholders by law or pursuant to the Company’s corporate governance documents. Among other things, the Board oversees the Company’s strategy and execution of its strategic priorities. In addition, it oversees management’s proper safeguarding of the assets of the Company, maintenance of appropriate financial and other internal controls, compliance with applicable laws and regulations, and proper governance. The Board is committed to sound corporate governance policies and practices that are designed and routinely assessed to enable the Company to operate its business responsibly, with integrity, and to position GM to compete more effectively, sustain its success, and build long-term shareholder value.</w:t>
      </w:r>
    </w:p>
    <w:p>
      <w:pPr>
        <w:spacing w:after="0" w:line="8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Board Leadership Structure and Composition</w:t>
      </w:r>
    </w:p>
    <w:p>
      <w:pPr>
        <w:spacing w:after="0" w:line="127" w:lineRule="exact"/>
        <w:rPr>
          <w:sz w:val="20"/>
          <w:szCs w:val="20"/>
          <w:color w:val="auto"/>
        </w:rPr>
      </w:pPr>
    </w:p>
    <w:p>
      <w:pPr>
        <w:ind w:right="3920"/>
        <w:spacing w:after="0" w:line="285" w:lineRule="auto"/>
        <w:rPr>
          <w:sz w:val="20"/>
          <w:szCs w:val="20"/>
          <w:color w:val="auto"/>
        </w:rPr>
      </w:pPr>
      <w:r>
        <w:rPr>
          <w:rFonts w:ascii="Arial" w:cs="Arial" w:eastAsia="Arial" w:hAnsi="Arial"/>
          <w:sz w:val="16"/>
          <w:szCs w:val="16"/>
          <w:color w:val="auto"/>
        </w:rPr>
        <w:t>The Board has the flexibility to decide when the positions of Board Chair and CEO should be combined or whether an independent director should serve as Board Chair. This allows the Board to choose the leadership structure that it believes will best serve the interests of our shareholders at any particular time. In January 2016, the Board recombined the positions of Board Chair and CEO under the leadership of Ms. Barra and designated an Independent Lead Director.</w:t>
      </w:r>
    </w:p>
    <w:p>
      <w:pPr>
        <w:spacing w:after="0" w:line="1" w:lineRule="exact"/>
        <w:rPr>
          <w:sz w:val="20"/>
          <w:szCs w:val="20"/>
          <w:color w:val="auto"/>
        </w:rPr>
      </w:pPr>
    </w:p>
    <w:tbl>
      <w:tblPr>
        <w:tblLayout w:type="fixed"/>
        <w:tblInd w:w="5820" w:type="dxa"/>
        <w:tblCellMar>
          <w:top w:w="0" w:type="dxa"/>
          <w:left w:w="0" w:type="dxa"/>
          <w:bottom w:w="0" w:type="dxa"/>
          <w:right w:w="0" w:type="dxa"/>
        </w:tblCellMar>
      </w:tblPr>
      <w:tr>
        <w:trPr>
          <w:trHeight w:val="211"/>
        </w:trPr>
        <w:tc>
          <w:tcPr>
            <w:tcW w:w="1480" w:type="dxa"/>
            <w:vAlign w:val="bottom"/>
          </w:tcPr>
          <w:p>
            <w:pPr>
              <w:spacing w:after="0"/>
              <w:rPr>
                <w:sz w:val="20"/>
                <w:szCs w:val="20"/>
                <w:color w:val="auto"/>
              </w:rPr>
            </w:pPr>
            <w:r>
              <w:rPr>
                <w:rFonts w:ascii="Arial" w:cs="Arial" w:eastAsia="Arial" w:hAnsi="Arial"/>
                <w:sz w:val="16"/>
                <w:szCs w:val="16"/>
                <w:b w:val="1"/>
                <w:bCs w:val="1"/>
                <w:color w:val="0956FF"/>
              </w:rPr>
              <w:t>Mary T. Barra</w:t>
            </w:r>
          </w:p>
        </w:tc>
        <w:tc>
          <w:tcPr>
            <w:tcW w:w="1780" w:type="dxa"/>
            <w:vAlign w:val="bottom"/>
            <w:shd w:val="clear" w:color="auto" w:fill="ECEBEB"/>
          </w:tcPr>
          <w:p>
            <w:pPr>
              <w:ind w:left="40"/>
              <w:spacing w:after="0"/>
              <w:rPr>
                <w:sz w:val="20"/>
                <w:szCs w:val="20"/>
                <w:color w:val="auto"/>
              </w:rPr>
            </w:pPr>
            <w:r>
              <w:rPr>
                <w:rFonts w:ascii="Arial" w:cs="Arial" w:eastAsia="Arial" w:hAnsi="Arial"/>
                <w:sz w:val="16"/>
                <w:szCs w:val="16"/>
                <w:b w:val="1"/>
                <w:bCs w:val="1"/>
                <w:color w:val="0956FF"/>
              </w:rPr>
              <w:t>Patricia F. Russo</w:t>
            </w:r>
          </w:p>
        </w:tc>
      </w:tr>
      <w:tr>
        <w:trPr>
          <w:trHeight w:val="215"/>
        </w:trPr>
        <w:tc>
          <w:tcPr>
            <w:tcW w:w="1480" w:type="dxa"/>
            <w:vAlign w:val="bottom"/>
          </w:tcPr>
          <w:p>
            <w:pPr>
              <w:spacing w:after="0"/>
              <w:rPr>
                <w:sz w:val="20"/>
                <w:szCs w:val="20"/>
                <w:color w:val="auto"/>
              </w:rPr>
            </w:pPr>
            <w:r>
              <w:rPr>
                <w:rFonts w:ascii="Arial" w:cs="Arial" w:eastAsia="Arial" w:hAnsi="Arial"/>
                <w:sz w:val="16"/>
                <w:szCs w:val="16"/>
                <w:color w:val="auto"/>
              </w:rPr>
              <w:t>Chair and CEO</w:t>
            </w:r>
          </w:p>
        </w:tc>
        <w:tc>
          <w:tcPr>
            <w:tcW w:w="1780" w:type="dxa"/>
            <w:vAlign w:val="bottom"/>
            <w:shd w:val="clear" w:color="auto" w:fill="ECEBEB"/>
          </w:tcPr>
          <w:p>
            <w:pPr>
              <w:ind w:left="40"/>
              <w:spacing w:after="0"/>
              <w:rPr>
                <w:sz w:val="20"/>
                <w:szCs w:val="20"/>
                <w:color w:val="auto"/>
              </w:rPr>
            </w:pPr>
            <w:r>
              <w:rPr>
                <w:rFonts w:ascii="Arial" w:cs="Arial" w:eastAsia="Arial" w:hAnsi="Arial"/>
                <w:sz w:val="16"/>
                <w:szCs w:val="16"/>
                <w:color w:val="auto"/>
              </w:rPr>
              <w:t>Independent Lead</w:t>
            </w:r>
          </w:p>
        </w:tc>
      </w:tr>
      <w:tr>
        <w:trPr>
          <w:trHeight w:val="216"/>
        </w:trPr>
        <w:tc>
          <w:tcPr>
            <w:tcW w:w="1480" w:type="dxa"/>
            <w:vAlign w:val="bottom"/>
          </w:tcPr>
          <w:p>
            <w:pPr>
              <w:spacing w:after="0"/>
              <w:rPr>
                <w:sz w:val="18"/>
                <w:szCs w:val="18"/>
                <w:color w:val="auto"/>
              </w:rPr>
            </w:pPr>
          </w:p>
        </w:tc>
        <w:tc>
          <w:tcPr>
            <w:tcW w:w="1780" w:type="dxa"/>
            <w:vAlign w:val="bottom"/>
            <w:shd w:val="clear" w:color="auto" w:fill="ECEBEB"/>
          </w:tcPr>
          <w:p>
            <w:pPr>
              <w:ind w:left="40"/>
              <w:spacing w:after="0"/>
              <w:rPr>
                <w:sz w:val="20"/>
                <w:szCs w:val="20"/>
                <w:color w:val="auto"/>
              </w:rPr>
            </w:pPr>
            <w:r>
              <w:rPr>
                <w:rFonts w:ascii="Arial" w:cs="Arial" w:eastAsia="Arial" w:hAnsi="Arial"/>
                <w:sz w:val="16"/>
                <w:szCs w:val="16"/>
                <w:color w:val="auto"/>
              </w:rPr>
              <w:t>Director</w:t>
            </w:r>
          </w:p>
        </w:tc>
      </w:tr>
      <w:tr>
        <w:trPr>
          <w:trHeight w:val="285"/>
        </w:trPr>
        <w:tc>
          <w:tcPr>
            <w:tcW w:w="1480" w:type="dxa"/>
            <w:vAlign w:val="bottom"/>
          </w:tcPr>
          <w:p>
            <w:pPr>
              <w:spacing w:after="0"/>
              <w:rPr>
                <w:sz w:val="24"/>
                <w:szCs w:val="24"/>
                <w:color w:val="auto"/>
              </w:rPr>
            </w:pPr>
          </w:p>
        </w:tc>
        <w:tc>
          <w:tcPr>
            <w:tcW w:w="1780" w:type="dxa"/>
            <w:vAlign w:val="bottom"/>
            <w:shd w:val="clear" w:color="auto" w:fill="ECEBEB"/>
          </w:tcPr>
          <w:p>
            <w:pPr>
              <w:spacing w:after="0"/>
              <w:rPr>
                <w:sz w:val="24"/>
                <w:szCs w:val="24"/>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The Role of the Chairman of the Board and CEO</w:t>
      </w:r>
    </w:p>
    <w:p>
      <w:pPr>
        <w:spacing w:after="0" w:line="13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Board has determined that it is currently in the Company’s best interest to combine the roles of CEO and Chair. Serving as both CEO and Chair of the Board, Ms. Barra provides strategic leadership and ensures alignment between management and the Board. In this dual role, she facilitates Board discussions on key business priorities while also overseeing the Company’s day-to-day operations and long-term strategy execution. This structure enables a unified leadership vision that is supported by a foundation of strong governance practices to maintain independent oversight and accountability.</w:t>
      </w:r>
    </w:p>
    <w:p>
      <w:pPr>
        <w:spacing w:after="0" w:line="6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The Role of the Independent Lead Director</w:t>
      </w:r>
    </w:p>
    <w:p>
      <w:pPr>
        <w:spacing w:after="0" w:line="13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GM’s Board believes that a strong Independent Lead Director role with clearly defined responsibilities provides effective independent management oversight. The independent directors consider several factors, as further outlined below, when annually electing the Independent Lead Director to ensure balanced leadership and an independent Board. Ms. Russo is the Board’s Independent Lead Director, a role she has held since 2021. Ms. Russo joined our Board in 2009 and previously served as the Independent Lead Director from 2010 to 2014. Her extensive knowledge of GM’s business and experience collaborating with our management team uniquely qualifies her to provide strong, independent leadership and strategic direction to the Board at this time.</w:t>
      </w:r>
    </w:p>
    <w:p>
      <w:pPr>
        <w:sectPr>
          <w:pgSz w:w="11900" w:h="16838" w:orient="portrait"/>
          <w:cols w:equalWidth="0" w:num="1">
            <w:col w:w="9080"/>
          </w:cols>
          <w:pgMar w:left="1400" w:top="133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9080"/>
          </w:cols>
          <w:pgMar w:left="1400" w:top="1339" w:right="141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key duties and responsibilities of GM’s Independent Lead Director:</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460" w:hanging="189"/>
        <w:spacing w:after="0" w:line="295" w:lineRule="auto"/>
        <w:tabs>
          <w:tab w:leader="none" w:pos="460" w:val="left"/>
        </w:tabs>
        <w:numPr>
          <w:ilvl w:val="0"/>
          <w:numId w:val="34"/>
        </w:numPr>
        <w:rPr>
          <w:rFonts w:ascii="Arial" w:cs="Arial" w:eastAsia="Arial" w:hAnsi="Arial"/>
          <w:sz w:val="16"/>
          <w:szCs w:val="16"/>
          <w:color w:val="0956FF"/>
        </w:rPr>
      </w:pPr>
      <w:r>
        <w:rPr>
          <w:rFonts w:ascii="Arial" w:cs="Arial" w:eastAsia="Arial" w:hAnsi="Arial"/>
          <w:sz w:val="16"/>
          <w:szCs w:val="16"/>
          <w:color w:val="auto"/>
        </w:rPr>
        <w:t>Presiding over all Board meetings when the Board Chair is not present, including executive sessions of non-management directors, and advising the Board Chair of any actions taken;</w:t>
      </w:r>
    </w:p>
    <w:p>
      <w:pPr>
        <w:spacing w:after="0" w:line="13" w:lineRule="exact"/>
        <w:rPr>
          <w:rFonts w:ascii="Arial" w:cs="Arial" w:eastAsia="Arial" w:hAnsi="Arial"/>
          <w:sz w:val="16"/>
          <w:szCs w:val="16"/>
          <w:color w:val="0956FF"/>
        </w:rPr>
      </w:pPr>
    </w:p>
    <w:p>
      <w:pPr>
        <w:jc w:val="both"/>
        <w:ind w:left="460" w:hanging="189"/>
        <w:spacing w:after="0" w:line="301" w:lineRule="auto"/>
        <w:tabs>
          <w:tab w:leader="none" w:pos="460" w:val="left"/>
        </w:tabs>
        <w:numPr>
          <w:ilvl w:val="0"/>
          <w:numId w:val="34"/>
        </w:numPr>
        <w:rPr>
          <w:rFonts w:ascii="Arial" w:cs="Arial" w:eastAsia="Arial" w:hAnsi="Arial"/>
          <w:sz w:val="16"/>
          <w:szCs w:val="16"/>
          <w:color w:val="0956FF"/>
        </w:rPr>
      </w:pPr>
      <w:r>
        <w:rPr>
          <w:rFonts w:ascii="Arial" w:cs="Arial" w:eastAsia="Arial" w:hAnsi="Arial"/>
          <w:sz w:val="16"/>
          <w:szCs w:val="16"/>
          <w:color w:val="auto"/>
        </w:rPr>
        <w:t>Providing Board leadership if circumstances arise in which the Board Chair actually has, potentially has, or is perceived to have, a conflict of interest;</w:t>
      </w:r>
    </w:p>
    <w:p>
      <w:pPr>
        <w:spacing w:after="0" w:line="9" w:lineRule="exact"/>
        <w:rPr>
          <w:rFonts w:ascii="Arial" w:cs="Arial" w:eastAsia="Arial" w:hAnsi="Arial"/>
          <w:sz w:val="16"/>
          <w:szCs w:val="16"/>
          <w:color w:val="0956FF"/>
        </w:rPr>
      </w:pPr>
    </w:p>
    <w:p>
      <w:pPr>
        <w:ind w:left="460" w:right="40" w:hanging="189"/>
        <w:spacing w:after="0" w:line="295" w:lineRule="auto"/>
        <w:tabs>
          <w:tab w:leader="none" w:pos="460" w:val="left"/>
        </w:tabs>
        <w:numPr>
          <w:ilvl w:val="0"/>
          <w:numId w:val="34"/>
        </w:numPr>
        <w:rPr>
          <w:rFonts w:ascii="Arial" w:cs="Arial" w:eastAsia="Arial" w:hAnsi="Arial"/>
          <w:sz w:val="16"/>
          <w:szCs w:val="16"/>
          <w:color w:val="0956FF"/>
        </w:rPr>
      </w:pPr>
      <w:r>
        <w:rPr>
          <w:rFonts w:ascii="Arial" w:cs="Arial" w:eastAsia="Arial" w:hAnsi="Arial"/>
          <w:sz w:val="16"/>
          <w:szCs w:val="16"/>
          <w:color w:val="auto"/>
        </w:rPr>
        <w:t>Calling executive sessions for non-management directors, relaying feedback from these sessions to the Board Chair, and implementing decisions made by the non-management directors;</w:t>
      </w:r>
    </w:p>
    <w:p>
      <w:pPr>
        <w:spacing w:after="0" w:line="13" w:lineRule="exact"/>
        <w:rPr>
          <w:rFonts w:ascii="Arial" w:cs="Arial" w:eastAsia="Arial" w:hAnsi="Arial"/>
          <w:sz w:val="16"/>
          <w:szCs w:val="16"/>
          <w:color w:val="0956FF"/>
        </w:rPr>
      </w:pPr>
    </w:p>
    <w:p>
      <w:pPr>
        <w:ind w:left="460" w:right="100" w:hanging="189"/>
        <w:spacing w:after="0" w:line="289" w:lineRule="auto"/>
        <w:tabs>
          <w:tab w:leader="none" w:pos="460" w:val="left"/>
        </w:tabs>
        <w:numPr>
          <w:ilvl w:val="0"/>
          <w:numId w:val="34"/>
        </w:numPr>
        <w:rPr>
          <w:rFonts w:ascii="Arial" w:cs="Arial" w:eastAsia="Arial" w:hAnsi="Arial"/>
          <w:sz w:val="16"/>
          <w:szCs w:val="16"/>
          <w:color w:val="0956FF"/>
        </w:rPr>
      </w:pPr>
      <w:r>
        <w:rPr>
          <w:rFonts w:ascii="Arial" w:cs="Arial" w:eastAsia="Arial" w:hAnsi="Arial"/>
          <w:sz w:val="16"/>
          <w:szCs w:val="16"/>
          <w:color w:val="auto"/>
        </w:rPr>
        <w:t>Leading non-management directors in the annual evaluation of the CEO’s performance, communicating the results of that evaluation to the CEO, and overseeing CEO succession planning;</w:t>
      </w:r>
    </w:p>
    <w:p>
      <w:pPr>
        <w:spacing w:after="0" w:line="18" w:lineRule="exact"/>
        <w:rPr>
          <w:rFonts w:ascii="Arial" w:cs="Arial" w:eastAsia="Arial" w:hAnsi="Arial"/>
          <w:sz w:val="16"/>
          <w:szCs w:val="16"/>
          <w:color w:val="0956FF"/>
        </w:rPr>
      </w:pPr>
    </w:p>
    <w:p>
      <w:pPr>
        <w:ind w:left="460" w:right="160" w:hanging="189"/>
        <w:spacing w:after="0" w:line="301" w:lineRule="auto"/>
        <w:tabs>
          <w:tab w:leader="none" w:pos="460" w:val="left"/>
        </w:tabs>
        <w:numPr>
          <w:ilvl w:val="0"/>
          <w:numId w:val="34"/>
        </w:numPr>
        <w:rPr>
          <w:rFonts w:ascii="Arial" w:cs="Arial" w:eastAsia="Arial" w:hAnsi="Arial"/>
          <w:sz w:val="16"/>
          <w:szCs w:val="16"/>
          <w:color w:val="0956FF"/>
        </w:rPr>
      </w:pPr>
      <w:r>
        <w:rPr>
          <w:rFonts w:ascii="Arial" w:cs="Arial" w:eastAsia="Arial" w:hAnsi="Arial"/>
          <w:sz w:val="16"/>
          <w:szCs w:val="16"/>
          <w:color w:val="auto"/>
        </w:rPr>
        <w:t>Approving Board meeting agendas, materials and meeting schedules to ensure sufficient time for discussion of all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jc w:val="both"/>
        <w:ind w:left="195" w:right="980" w:hanging="195"/>
        <w:spacing w:after="0" w:line="301" w:lineRule="auto"/>
        <w:tabs>
          <w:tab w:leader="none" w:pos="195" w:val="left"/>
        </w:tabs>
        <w:numPr>
          <w:ilvl w:val="0"/>
          <w:numId w:val="35"/>
        </w:numPr>
        <w:rPr>
          <w:rFonts w:ascii="Arial" w:cs="Arial" w:eastAsia="Arial" w:hAnsi="Arial"/>
          <w:sz w:val="16"/>
          <w:szCs w:val="16"/>
          <w:color w:val="0956FF"/>
        </w:rPr>
      </w:pPr>
      <w:r>
        <w:rPr>
          <w:rFonts w:ascii="Arial" w:cs="Arial" w:eastAsia="Arial" w:hAnsi="Arial"/>
          <w:sz w:val="16"/>
          <w:szCs w:val="16"/>
          <w:color w:val="auto"/>
        </w:rPr>
        <w:t>Advising on the scope, quality, quantity, and timeliness of the flow of information between management and the Board;</w:t>
      </w:r>
    </w:p>
    <w:p>
      <w:pPr>
        <w:spacing w:after="0" w:line="9" w:lineRule="exact"/>
        <w:rPr>
          <w:rFonts w:ascii="Arial" w:cs="Arial" w:eastAsia="Arial" w:hAnsi="Arial"/>
          <w:sz w:val="16"/>
          <w:szCs w:val="16"/>
          <w:color w:val="0956FF"/>
        </w:rPr>
      </w:pPr>
    </w:p>
    <w:p>
      <w:pPr>
        <w:ind w:left="195" w:right="360" w:hanging="195"/>
        <w:spacing w:after="0" w:line="291" w:lineRule="auto"/>
        <w:tabs>
          <w:tab w:leader="none" w:pos="195" w:val="left"/>
        </w:tabs>
        <w:numPr>
          <w:ilvl w:val="0"/>
          <w:numId w:val="35"/>
        </w:numPr>
        <w:rPr>
          <w:rFonts w:ascii="Arial" w:cs="Arial" w:eastAsia="Arial" w:hAnsi="Arial"/>
          <w:sz w:val="16"/>
          <w:szCs w:val="16"/>
          <w:color w:val="0956FF"/>
        </w:rPr>
      </w:pPr>
      <w:r>
        <w:rPr>
          <w:rFonts w:ascii="Arial" w:cs="Arial" w:eastAsia="Arial" w:hAnsi="Arial"/>
          <w:sz w:val="16"/>
          <w:szCs w:val="16"/>
          <w:color w:val="auto"/>
        </w:rPr>
        <w:t>Serving as a liaison between non-management directors and the Board Chair when requested to do so (although all non-management directors have direct and complete access to the Board Chair at any time they may deem necessary or appropriate);</w:t>
      </w:r>
    </w:p>
    <w:p>
      <w:pPr>
        <w:spacing w:after="0" w:line="18" w:lineRule="exact"/>
        <w:rPr>
          <w:rFonts w:ascii="Arial" w:cs="Arial" w:eastAsia="Arial" w:hAnsi="Arial"/>
          <w:sz w:val="16"/>
          <w:szCs w:val="16"/>
          <w:color w:val="0956FF"/>
        </w:rPr>
      </w:pPr>
    </w:p>
    <w:p>
      <w:pPr>
        <w:ind w:left="195" w:right="360" w:hanging="195"/>
        <w:spacing w:after="0" w:line="294" w:lineRule="auto"/>
        <w:tabs>
          <w:tab w:leader="none" w:pos="195" w:val="left"/>
        </w:tabs>
        <w:numPr>
          <w:ilvl w:val="0"/>
          <w:numId w:val="35"/>
        </w:numPr>
        <w:rPr>
          <w:rFonts w:ascii="Arial" w:cs="Arial" w:eastAsia="Arial" w:hAnsi="Arial"/>
          <w:sz w:val="16"/>
          <w:szCs w:val="16"/>
          <w:color w:val="0956FF"/>
        </w:rPr>
      </w:pPr>
      <w:r>
        <w:rPr>
          <w:rFonts w:ascii="Arial" w:cs="Arial" w:eastAsia="Arial" w:hAnsi="Arial"/>
          <w:sz w:val="16"/>
          <w:szCs w:val="16"/>
          <w:color w:val="auto"/>
        </w:rPr>
        <w:t>Interviewing, along with the Chair of the Governance Committee, all director candidates and making recommendations to the Governance Committee and the Board;</w:t>
      </w:r>
    </w:p>
    <w:p>
      <w:pPr>
        <w:spacing w:after="0" w:line="2" w:lineRule="exact"/>
        <w:rPr>
          <w:rFonts w:ascii="Arial" w:cs="Arial" w:eastAsia="Arial" w:hAnsi="Arial"/>
          <w:sz w:val="16"/>
          <w:szCs w:val="16"/>
          <w:color w:val="0956FF"/>
        </w:rPr>
      </w:pPr>
    </w:p>
    <w:p>
      <w:pPr>
        <w:ind w:left="195" w:right="360" w:hanging="195"/>
        <w:spacing w:after="0" w:line="301" w:lineRule="auto"/>
        <w:tabs>
          <w:tab w:leader="none" w:pos="195" w:val="left"/>
        </w:tabs>
        <w:numPr>
          <w:ilvl w:val="0"/>
          <w:numId w:val="35"/>
        </w:numPr>
        <w:rPr>
          <w:rFonts w:ascii="Arial" w:cs="Arial" w:eastAsia="Arial" w:hAnsi="Arial"/>
          <w:sz w:val="16"/>
          <w:szCs w:val="16"/>
          <w:color w:val="0956FF"/>
        </w:rPr>
      </w:pPr>
      <w:r>
        <w:rPr>
          <w:rFonts w:ascii="Arial" w:cs="Arial" w:eastAsia="Arial" w:hAnsi="Arial"/>
          <w:sz w:val="16"/>
          <w:szCs w:val="16"/>
          <w:color w:val="auto"/>
        </w:rPr>
        <w:t>Being available to advise the Board committee chairs in fulfilling their designated roles and responsibilities to the Board; and</w:t>
      </w:r>
    </w:p>
    <w:p>
      <w:pPr>
        <w:spacing w:after="0" w:line="9" w:lineRule="exact"/>
        <w:rPr>
          <w:rFonts w:ascii="Arial" w:cs="Arial" w:eastAsia="Arial" w:hAnsi="Arial"/>
          <w:sz w:val="16"/>
          <w:szCs w:val="16"/>
          <w:color w:val="0956FF"/>
        </w:rPr>
      </w:pPr>
    </w:p>
    <w:p>
      <w:pPr>
        <w:ind w:left="195" w:hanging="195"/>
        <w:spacing w:after="0"/>
        <w:tabs>
          <w:tab w:leader="none" w:pos="195" w:val="left"/>
        </w:tabs>
        <w:numPr>
          <w:ilvl w:val="0"/>
          <w:numId w:val="35"/>
        </w:numPr>
        <w:rPr>
          <w:rFonts w:ascii="Arial" w:cs="Arial" w:eastAsia="Arial" w:hAnsi="Arial"/>
          <w:sz w:val="15"/>
          <w:szCs w:val="15"/>
          <w:color w:val="0956FF"/>
        </w:rPr>
      </w:pPr>
      <w:r>
        <w:rPr>
          <w:rFonts w:ascii="Arial" w:cs="Arial" w:eastAsia="Arial" w:hAnsi="Arial"/>
          <w:sz w:val="15"/>
          <w:szCs w:val="15"/>
          <w:color w:val="auto"/>
        </w:rPr>
        <w:t>Engaging, when requested to do so, with shareholders.</w:t>
      </w:r>
    </w:p>
    <w:p>
      <w:pPr>
        <w:spacing w:after="0" w:line="719" w:lineRule="exact"/>
        <w:rPr>
          <w:sz w:val="20"/>
          <w:szCs w:val="20"/>
          <w:color w:val="auto"/>
        </w:rPr>
      </w:pPr>
    </w:p>
    <w:p>
      <w:pPr>
        <w:sectPr>
          <w:pgSz w:w="11900" w:h="16838" w:orient="portrait"/>
          <w:cols w:equalWidth="0" w:num="2">
            <w:col w:w="4180" w:space="565"/>
            <w:col w:w="4355"/>
          </w:cols>
          <w:pgMar w:left="1400" w:top="657" w:right="1399" w:bottom="1440" w:gutter="0" w:footer="0" w:header="0"/>
          <w:type w:val="continuous"/>
        </w:sectPr>
      </w:pPr>
    </w:p>
    <w:p>
      <w:pPr>
        <w:spacing w:after="0" w:line="236"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Board Committees</w:t>
      </w:r>
    </w:p>
    <w:p>
      <w:pPr>
        <w:spacing w:after="0" w:line="127" w:lineRule="exact"/>
        <w:rPr>
          <w:sz w:val="20"/>
          <w:szCs w:val="20"/>
          <w:color w:val="auto"/>
        </w:rPr>
      </w:pPr>
    </w:p>
    <w:p>
      <w:pPr>
        <w:jc w:val="both"/>
        <w:ind w:right="400"/>
        <w:spacing w:after="0" w:line="281" w:lineRule="auto"/>
        <w:rPr>
          <w:sz w:val="20"/>
          <w:szCs w:val="20"/>
          <w:color w:val="auto"/>
        </w:rPr>
      </w:pPr>
      <w:r>
        <w:rPr>
          <w:rFonts w:ascii="Arial" w:cs="Arial" w:eastAsia="Arial" w:hAnsi="Arial"/>
          <w:sz w:val="16"/>
          <w:szCs w:val="16"/>
          <w:color w:val="auto"/>
        </w:rPr>
        <w:t>The Board has six standing committees: Audit, Executive, Executive Compensation, Finance, Governance, and Risk and Cybersecurity. In addition to committee meetings, each committee chair regularly meets with management throughout the year to discuss and preview committee business, shape agendas, and facilitate efficient meetings. The Board Chair, Ms.</w:t>
      </w:r>
    </w:p>
    <w:p>
      <w:pPr>
        <w:spacing w:after="0" w:line="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Barra, and the Independent Lead Director, Ms. Russo, are invited to attend all committee meetings to serve as a resource and to help identify topics requiring the Board’s attention. The Board has determined that each member of the Audit, Compensation, Finance, Governance, and Risk and Cybersecurity Committees is independent according to applicable SEC and NYSE requirements and our Corporate Governance Guidelines. Our Corporate Governance Guidelines and each committee’s charter is available at </w:t>
      </w:r>
      <w:r>
        <w:rPr>
          <w:rFonts w:ascii="Arial" w:cs="Arial" w:eastAsia="Arial" w:hAnsi="Arial"/>
          <w:sz w:val="16"/>
          <w:szCs w:val="16"/>
          <w:u w:val="single" w:color="auto"/>
          <w:color w:val="0956FF"/>
        </w:rPr>
        <w:t>investor.gm.com/governanceandsustainability</w:t>
      </w:r>
      <w:r>
        <w:rPr>
          <w:rFonts w:ascii="Arial" w:cs="Arial" w:eastAsia="Arial" w:hAnsi="Arial"/>
          <w:sz w:val="16"/>
          <w:szCs w:val="16"/>
          <w:color w:val="auto"/>
        </w:rPr>
        <w:t xml:space="preserve"> .</w:t>
      </w:r>
    </w:p>
    <w:p>
      <w:pPr>
        <w:spacing w:after="0" w:line="6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Delegation and Access to Outside Advisors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Each committee may delegate authority to subcommittees consisting of one or more members when it deems it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and each committee can also select and retain the services of outside advisors at the Company’s expense.</w:t>
      </w:r>
    </w:p>
    <w:p>
      <w:pPr>
        <w:sectPr>
          <w:pgSz w:w="11900" w:h="16838" w:orient="portrait"/>
          <w:cols w:equalWidth="0" w:num="1">
            <w:col w:w="9100"/>
          </w:cols>
          <w:pgMar w:left="140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02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19</w:t>
      </w:r>
    </w:p>
    <w:p>
      <w:pPr>
        <w:sectPr>
          <w:pgSz w:w="11900" w:h="16838" w:orient="portrait"/>
          <w:cols w:equalWidth="0" w:num="1">
            <w:col w:w="9100"/>
          </w:cols>
          <w:pgMar w:left="1400" w:top="657" w:right="13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Committee Overview</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956FF"/>
        </w:rPr>
        <w:t>Audit</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Wesley G. Bush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Chair</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Committee</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Members: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Joanne C.</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Crevoiserat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Alfred F. Kelly, Jr.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Mark A. Tatum</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Jan E. Tighe</w:t>
      </w:r>
    </w:p>
    <w:p>
      <w:pPr>
        <w:spacing w:after="0" w:line="140" w:lineRule="exact"/>
        <w:rPr>
          <w:sz w:val="20"/>
          <w:szCs w:val="20"/>
          <w:color w:val="auto"/>
        </w:rPr>
      </w:pPr>
    </w:p>
    <w:p>
      <w:pPr>
        <w:ind w:left="60"/>
        <w:spacing w:after="0" w:line="265" w:lineRule="auto"/>
        <w:rPr>
          <w:sz w:val="20"/>
          <w:szCs w:val="20"/>
          <w:color w:val="auto"/>
        </w:rPr>
      </w:pPr>
      <w:r>
        <w:rPr>
          <w:rFonts w:ascii="Arial" w:cs="Arial" w:eastAsia="Arial" w:hAnsi="Arial"/>
          <w:sz w:val="16"/>
          <w:szCs w:val="16"/>
          <w:b w:val="1"/>
          <w:bCs w:val="1"/>
          <w:color w:val="0956FF"/>
        </w:rPr>
        <w:t>Meetings held in 2025:</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Key Responsibilities</w:t>
      </w:r>
    </w:p>
    <w:p>
      <w:pPr>
        <w:spacing w:after="0" w:line="112" w:lineRule="exact"/>
        <w:rPr>
          <w:sz w:val="20"/>
          <w:szCs w:val="20"/>
          <w:color w:val="auto"/>
        </w:rPr>
      </w:pPr>
    </w:p>
    <w:p>
      <w:pPr>
        <w:ind w:left="187" w:right="519" w:hanging="187"/>
        <w:spacing w:after="0" w:line="308" w:lineRule="auto"/>
        <w:tabs>
          <w:tab w:leader="none" w:pos="187" w:val="left"/>
        </w:tabs>
        <w:numPr>
          <w:ilvl w:val="0"/>
          <w:numId w:val="36"/>
        </w:numPr>
        <w:rPr>
          <w:rFonts w:ascii="Arial" w:cs="Arial" w:eastAsia="Arial" w:hAnsi="Arial"/>
          <w:sz w:val="16"/>
          <w:szCs w:val="16"/>
          <w:color w:val="0956FF"/>
        </w:rPr>
      </w:pPr>
      <w:r>
        <w:rPr>
          <w:rFonts w:ascii="Arial" w:cs="Arial" w:eastAsia="Arial" w:hAnsi="Arial"/>
          <w:sz w:val="16"/>
          <w:szCs w:val="16"/>
          <w:color w:val="auto"/>
        </w:rPr>
        <w:t>Monitors the effectiveness of GM’s financial reporting processes and systems, as well as disclosure and internal controls;</w:t>
      </w:r>
    </w:p>
    <w:p>
      <w:pPr>
        <w:ind w:left="187" w:hanging="187"/>
        <w:spacing w:after="0"/>
        <w:tabs>
          <w:tab w:leader="none" w:pos="187" w:val="left"/>
        </w:tabs>
        <w:numPr>
          <w:ilvl w:val="0"/>
          <w:numId w:val="36"/>
        </w:numPr>
        <w:rPr>
          <w:rFonts w:ascii="Arial" w:cs="Arial" w:eastAsia="Arial" w:hAnsi="Arial"/>
          <w:sz w:val="16"/>
          <w:szCs w:val="16"/>
          <w:color w:val="0956FF"/>
        </w:rPr>
      </w:pPr>
      <w:r>
        <w:rPr>
          <w:rFonts w:ascii="Arial" w:cs="Arial" w:eastAsia="Arial" w:hAnsi="Arial"/>
          <w:sz w:val="16"/>
          <w:szCs w:val="16"/>
          <w:color w:val="auto"/>
        </w:rPr>
        <w:t>Selects and engages GM’s external auditors and reviews and evaluates the audit process;</w:t>
      </w:r>
    </w:p>
    <w:p>
      <w:pPr>
        <w:spacing w:after="0" w:line="86" w:lineRule="exact"/>
        <w:rPr>
          <w:rFonts w:ascii="Arial" w:cs="Arial" w:eastAsia="Arial" w:hAnsi="Arial"/>
          <w:sz w:val="16"/>
          <w:szCs w:val="16"/>
          <w:color w:val="0956FF"/>
        </w:rPr>
      </w:pPr>
    </w:p>
    <w:p>
      <w:pPr>
        <w:ind w:left="187" w:hanging="187"/>
        <w:spacing w:after="0"/>
        <w:tabs>
          <w:tab w:leader="none" w:pos="187" w:val="left"/>
        </w:tabs>
        <w:numPr>
          <w:ilvl w:val="0"/>
          <w:numId w:val="36"/>
        </w:numPr>
        <w:rPr>
          <w:rFonts w:ascii="Arial" w:cs="Arial" w:eastAsia="Arial" w:hAnsi="Arial"/>
          <w:sz w:val="16"/>
          <w:szCs w:val="16"/>
          <w:color w:val="0956FF"/>
        </w:rPr>
      </w:pPr>
      <w:r>
        <w:rPr>
          <w:rFonts w:ascii="Arial" w:cs="Arial" w:eastAsia="Arial" w:hAnsi="Arial"/>
          <w:sz w:val="16"/>
          <w:szCs w:val="16"/>
          <w:color w:val="auto"/>
        </w:rPr>
        <w:t>Reviews and evaluates the scope and performance of the internal audit function;</w:t>
      </w:r>
    </w:p>
    <w:p>
      <w:pPr>
        <w:spacing w:after="0" w:line="86" w:lineRule="exact"/>
        <w:rPr>
          <w:rFonts w:ascii="Arial" w:cs="Arial" w:eastAsia="Arial" w:hAnsi="Arial"/>
          <w:sz w:val="16"/>
          <w:szCs w:val="16"/>
          <w:color w:val="0956FF"/>
        </w:rPr>
      </w:pPr>
    </w:p>
    <w:p>
      <w:pPr>
        <w:ind w:left="187" w:right="339" w:hanging="187"/>
        <w:spacing w:after="0" w:line="301" w:lineRule="auto"/>
        <w:tabs>
          <w:tab w:leader="none" w:pos="187" w:val="left"/>
        </w:tabs>
        <w:numPr>
          <w:ilvl w:val="0"/>
          <w:numId w:val="36"/>
        </w:numPr>
        <w:rPr>
          <w:rFonts w:ascii="Arial" w:cs="Arial" w:eastAsia="Arial" w:hAnsi="Arial"/>
          <w:sz w:val="16"/>
          <w:szCs w:val="16"/>
          <w:color w:val="0956FF"/>
        </w:rPr>
      </w:pPr>
      <w:r>
        <w:rPr>
          <w:rFonts w:ascii="Arial" w:cs="Arial" w:eastAsia="Arial" w:hAnsi="Arial"/>
          <w:sz w:val="16"/>
          <w:szCs w:val="16"/>
          <w:color w:val="auto"/>
        </w:rPr>
        <w:t>Facilitates ongoing communications about GM’s financial position and affairs among the Board and the external auditors, GM’s financial and senior management, and GM’s internal audit staff; and</w:t>
      </w:r>
    </w:p>
    <w:p>
      <w:pPr>
        <w:spacing w:after="0" w:line="9" w:lineRule="exact"/>
        <w:rPr>
          <w:rFonts w:ascii="Arial" w:cs="Arial" w:eastAsia="Arial" w:hAnsi="Arial"/>
          <w:sz w:val="16"/>
          <w:szCs w:val="16"/>
          <w:color w:val="0956FF"/>
        </w:rPr>
      </w:pPr>
    </w:p>
    <w:p>
      <w:pPr>
        <w:ind w:left="187" w:right="179" w:hanging="187"/>
        <w:spacing w:after="0" w:line="321" w:lineRule="auto"/>
        <w:tabs>
          <w:tab w:leader="none" w:pos="187" w:val="left"/>
        </w:tabs>
        <w:numPr>
          <w:ilvl w:val="0"/>
          <w:numId w:val="36"/>
        </w:numPr>
        <w:rPr>
          <w:rFonts w:ascii="Arial" w:cs="Arial" w:eastAsia="Arial" w:hAnsi="Arial"/>
          <w:sz w:val="16"/>
          <w:szCs w:val="16"/>
          <w:color w:val="0956FF"/>
        </w:rPr>
      </w:pPr>
      <w:r>
        <w:rPr>
          <w:rFonts w:ascii="Arial" w:cs="Arial" w:eastAsia="Arial" w:hAnsi="Arial"/>
          <w:sz w:val="16"/>
          <w:szCs w:val="16"/>
          <w:color w:val="auto"/>
        </w:rPr>
        <w:t>Reviews GM’s policies and procedures regarding ethics and compliance, including the Global Ethics and Compliance Center and its leader, the Chief Compliance Officer.</w:t>
      </w:r>
    </w:p>
    <w:p>
      <w:pPr>
        <w:spacing w:after="0" w:line="26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2025 Discussion Highlights</w:t>
      </w:r>
    </w:p>
    <w:p>
      <w:pPr>
        <w:spacing w:after="0" w:line="112" w:lineRule="exact"/>
        <w:rPr>
          <w:sz w:val="20"/>
          <w:szCs w:val="20"/>
          <w:color w:val="auto"/>
        </w:rPr>
      </w:pPr>
    </w:p>
    <w:p>
      <w:pPr>
        <w:ind w:left="187" w:right="839" w:hanging="187"/>
        <w:spacing w:after="0" w:line="308" w:lineRule="auto"/>
        <w:tabs>
          <w:tab w:leader="none" w:pos="187" w:val="left"/>
        </w:tabs>
        <w:numPr>
          <w:ilvl w:val="0"/>
          <w:numId w:val="37"/>
        </w:numPr>
        <w:rPr>
          <w:rFonts w:ascii="Arial" w:cs="Arial" w:eastAsia="Arial" w:hAnsi="Arial"/>
          <w:sz w:val="16"/>
          <w:szCs w:val="16"/>
          <w:color w:val="0956FF"/>
        </w:rPr>
      </w:pPr>
      <w:r>
        <w:rPr>
          <w:rFonts w:ascii="Arial" w:cs="Arial" w:eastAsia="Arial" w:hAnsi="Arial"/>
          <w:sz w:val="16"/>
          <w:szCs w:val="16"/>
          <w:color w:val="auto"/>
        </w:rPr>
        <w:t>Reviewed the Company’s earnings releases and periodic reports, including financial statements on Forms 10-K and 10-Q prior to filing with the SEC.</w:t>
      </w:r>
    </w:p>
    <w:p>
      <w:pPr>
        <w:ind w:left="187" w:right="459" w:hanging="187"/>
        <w:spacing w:after="0" w:line="316" w:lineRule="auto"/>
        <w:tabs>
          <w:tab w:leader="none" w:pos="187" w:val="left"/>
        </w:tabs>
        <w:numPr>
          <w:ilvl w:val="0"/>
          <w:numId w:val="37"/>
        </w:numPr>
        <w:rPr>
          <w:rFonts w:ascii="Arial" w:cs="Arial" w:eastAsia="Arial" w:hAnsi="Arial"/>
          <w:sz w:val="16"/>
          <w:szCs w:val="16"/>
          <w:color w:val="0956FF"/>
        </w:rPr>
      </w:pPr>
      <w:r>
        <w:rPr>
          <w:rFonts w:ascii="Arial" w:cs="Arial" w:eastAsia="Arial" w:hAnsi="Arial"/>
          <w:sz w:val="16"/>
          <w:szCs w:val="16"/>
          <w:color w:val="auto"/>
        </w:rPr>
        <w:t>Reviewed and approved special charges based on a planned strategic realignment of the Company’s EV capacity and manufacturing footprint to consumer demand.</w:t>
      </w:r>
    </w:p>
    <w:p>
      <w:pPr>
        <w:spacing w:after="0" w:line="1" w:lineRule="exact"/>
        <w:rPr>
          <w:rFonts w:ascii="Arial" w:cs="Arial" w:eastAsia="Arial" w:hAnsi="Arial"/>
          <w:sz w:val="16"/>
          <w:szCs w:val="16"/>
          <w:color w:val="0956FF"/>
        </w:rPr>
      </w:pPr>
    </w:p>
    <w:p>
      <w:pPr>
        <w:ind w:left="187" w:right="779" w:hanging="187"/>
        <w:spacing w:after="0" w:line="321" w:lineRule="auto"/>
        <w:tabs>
          <w:tab w:leader="none" w:pos="187" w:val="left"/>
        </w:tabs>
        <w:numPr>
          <w:ilvl w:val="0"/>
          <w:numId w:val="37"/>
        </w:numPr>
        <w:rPr>
          <w:rFonts w:ascii="Arial" w:cs="Arial" w:eastAsia="Arial" w:hAnsi="Arial"/>
          <w:sz w:val="16"/>
          <w:szCs w:val="16"/>
          <w:color w:val="0956FF"/>
        </w:rPr>
      </w:pPr>
      <w:r>
        <w:rPr>
          <w:rFonts w:ascii="Arial" w:cs="Arial" w:eastAsia="Arial" w:hAnsi="Arial"/>
          <w:sz w:val="16"/>
          <w:szCs w:val="16"/>
          <w:color w:val="auto"/>
        </w:rPr>
        <w:t>Engaged in artificial intelligence training to assess how the Company and its external auditors use technology to improve its audit capabilities.</w:t>
      </w:r>
    </w:p>
    <w:p>
      <w:pPr>
        <w:spacing w:after="0" w:line="200" w:lineRule="exact"/>
        <w:rPr>
          <w:sz w:val="20"/>
          <w:szCs w:val="20"/>
          <w:color w:val="auto"/>
        </w:rPr>
      </w:pPr>
    </w:p>
    <w:p>
      <w:pPr>
        <w:sectPr>
          <w:pgSz w:w="11900" w:h="16838" w:orient="portrait"/>
          <w:cols w:equalWidth="0" w:num="2">
            <w:col w:w="1340" w:space="673"/>
            <w:col w:w="7046"/>
          </w:cols>
          <w:pgMar w:left="1400" w:top="657" w:right="1440" w:bottom="1440" w:gutter="0" w:footer="0" w:header="0"/>
          <w:type w:val="continuous"/>
        </w:sectPr>
      </w:pPr>
    </w:p>
    <w:p>
      <w:pPr>
        <w:spacing w:after="0" w:line="175"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956FF"/>
        </w:rPr>
        <w:t>Executive Compensation</w:t>
      </w:r>
    </w:p>
    <w:p>
      <w:pPr>
        <w:sectPr>
          <w:pgSz w:w="11900" w:h="16838" w:orient="portrait"/>
          <w:cols w:equalWidth="0" w:num="1">
            <w:col w:w="9059"/>
          </w:cols>
          <w:pgMar w:left="140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0956FF"/>
        </w:rPr>
        <w:t>Devin Wenig</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Chair</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Committee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Members: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Wesley G. Bush</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Joseph Jimenez</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Patricia F. Russo</w:t>
      </w:r>
    </w:p>
    <w:p>
      <w:pPr>
        <w:spacing w:after="0" w:line="101" w:lineRule="exact"/>
        <w:rPr>
          <w:sz w:val="20"/>
          <w:szCs w:val="20"/>
          <w:color w:val="auto"/>
        </w:rPr>
      </w:pPr>
    </w:p>
    <w:p>
      <w:pPr>
        <w:ind w:left="60"/>
        <w:spacing w:after="0" w:line="265" w:lineRule="auto"/>
        <w:rPr>
          <w:sz w:val="20"/>
          <w:szCs w:val="20"/>
          <w:color w:val="auto"/>
        </w:rPr>
      </w:pPr>
      <w:r>
        <w:rPr>
          <w:rFonts w:ascii="Arial" w:cs="Arial" w:eastAsia="Arial" w:hAnsi="Arial"/>
          <w:sz w:val="16"/>
          <w:szCs w:val="16"/>
          <w:b w:val="1"/>
          <w:bCs w:val="1"/>
          <w:color w:val="0956FF"/>
        </w:rPr>
        <w:t>Meetings held in 2025:</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Key Responsibilities</w:t>
      </w:r>
    </w:p>
    <w:p>
      <w:pPr>
        <w:spacing w:after="0" w:line="99" w:lineRule="exact"/>
        <w:rPr>
          <w:sz w:val="20"/>
          <w:szCs w:val="20"/>
          <w:color w:val="auto"/>
        </w:rPr>
      </w:pPr>
    </w:p>
    <w:p>
      <w:pPr>
        <w:ind w:left="187" w:hanging="187"/>
        <w:spacing w:after="0"/>
        <w:tabs>
          <w:tab w:leader="none" w:pos="187" w:val="left"/>
        </w:tabs>
        <w:numPr>
          <w:ilvl w:val="0"/>
          <w:numId w:val="38"/>
        </w:numPr>
        <w:rPr>
          <w:rFonts w:ascii="Arial" w:cs="Arial" w:eastAsia="Arial" w:hAnsi="Arial"/>
          <w:sz w:val="16"/>
          <w:szCs w:val="16"/>
          <w:color w:val="0956FF"/>
        </w:rPr>
      </w:pPr>
      <w:r>
        <w:rPr>
          <w:rFonts w:ascii="Arial" w:cs="Arial" w:eastAsia="Arial" w:hAnsi="Arial"/>
          <w:sz w:val="16"/>
          <w:szCs w:val="16"/>
          <w:color w:val="auto"/>
        </w:rPr>
        <w:t>Reviews the Company’s executive compensation policies, practices, and programs;</w:t>
      </w:r>
    </w:p>
    <w:p>
      <w:pPr>
        <w:spacing w:after="0" w:line="86" w:lineRule="exact"/>
        <w:rPr>
          <w:rFonts w:ascii="Arial" w:cs="Arial" w:eastAsia="Arial" w:hAnsi="Arial"/>
          <w:sz w:val="16"/>
          <w:szCs w:val="16"/>
          <w:color w:val="0956FF"/>
        </w:rPr>
      </w:pPr>
    </w:p>
    <w:p>
      <w:pPr>
        <w:ind w:left="187" w:right="519" w:hanging="187"/>
        <w:spacing w:after="0" w:line="275" w:lineRule="auto"/>
        <w:tabs>
          <w:tab w:leader="none" w:pos="187" w:val="left"/>
        </w:tabs>
        <w:numPr>
          <w:ilvl w:val="0"/>
          <w:numId w:val="38"/>
        </w:numPr>
        <w:rPr>
          <w:rFonts w:ascii="Arial" w:cs="Arial" w:eastAsia="Arial" w:hAnsi="Arial"/>
          <w:sz w:val="16"/>
          <w:szCs w:val="16"/>
          <w:color w:val="0956FF"/>
        </w:rPr>
      </w:pPr>
      <w:r>
        <w:rPr>
          <w:rFonts w:ascii="Arial" w:cs="Arial" w:eastAsia="Arial" w:hAnsi="Arial"/>
          <w:sz w:val="16"/>
          <w:szCs w:val="16"/>
          <w:color w:val="auto"/>
        </w:rPr>
        <w:t>Reviews and approves corporate goals and objectives for compensation, evaluates performance (along with the other independent directors), and determines compensation levels for the CEO;</w:t>
      </w:r>
    </w:p>
    <w:p>
      <w:pPr>
        <w:spacing w:after="0" w:line="2" w:lineRule="exact"/>
        <w:rPr>
          <w:rFonts w:ascii="Arial" w:cs="Arial" w:eastAsia="Arial" w:hAnsi="Arial"/>
          <w:sz w:val="16"/>
          <w:szCs w:val="16"/>
          <w:color w:val="0956FF"/>
        </w:rPr>
      </w:pPr>
    </w:p>
    <w:p>
      <w:pPr>
        <w:ind w:left="187" w:right="319" w:hanging="187"/>
        <w:spacing w:after="0" w:line="286" w:lineRule="auto"/>
        <w:tabs>
          <w:tab w:leader="none" w:pos="187" w:val="left"/>
        </w:tabs>
        <w:numPr>
          <w:ilvl w:val="0"/>
          <w:numId w:val="38"/>
        </w:numPr>
        <w:rPr>
          <w:rFonts w:ascii="Arial" w:cs="Arial" w:eastAsia="Arial" w:hAnsi="Arial"/>
          <w:sz w:val="16"/>
          <w:szCs w:val="16"/>
          <w:color w:val="0956FF"/>
        </w:rPr>
      </w:pPr>
      <w:r>
        <w:rPr>
          <w:rFonts w:ascii="Arial" w:cs="Arial" w:eastAsia="Arial" w:hAnsi="Arial"/>
          <w:sz w:val="16"/>
          <w:szCs w:val="16"/>
          <w:color w:val="auto"/>
        </w:rPr>
        <w:t>Reviews and approves compensation of NEOs, executive officers, and other senior leaders under its purview; and</w:t>
      </w:r>
    </w:p>
    <w:p>
      <w:pPr>
        <w:spacing w:after="0" w:line="7" w:lineRule="exact"/>
        <w:rPr>
          <w:rFonts w:ascii="Arial" w:cs="Arial" w:eastAsia="Arial" w:hAnsi="Arial"/>
          <w:sz w:val="16"/>
          <w:szCs w:val="16"/>
          <w:color w:val="0956FF"/>
        </w:rPr>
      </w:pPr>
    </w:p>
    <w:p>
      <w:pPr>
        <w:ind w:left="187" w:right="99" w:hanging="187"/>
        <w:spacing w:after="0" w:line="321" w:lineRule="auto"/>
        <w:tabs>
          <w:tab w:leader="none" w:pos="187" w:val="left"/>
        </w:tabs>
        <w:numPr>
          <w:ilvl w:val="0"/>
          <w:numId w:val="38"/>
        </w:numPr>
        <w:rPr>
          <w:rFonts w:ascii="Arial" w:cs="Arial" w:eastAsia="Arial" w:hAnsi="Arial"/>
          <w:sz w:val="16"/>
          <w:szCs w:val="16"/>
          <w:color w:val="0956FF"/>
        </w:rPr>
      </w:pPr>
      <w:r>
        <w:rPr>
          <w:rFonts w:ascii="Arial" w:cs="Arial" w:eastAsia="Arial" w:hAnsi="Arial"/>
          <w:sz w:val="16"/>
          <w:szCs w:val="16"/>
          <w:color w:val="auto"/>
        </w:rPr>
        <w:t>Reviews compensation policies and practices so that the plans do not encourage unnecessary or excessive risk-taking.</w:t>
      </w:r>
    </w:p>
    <w:p>
      <w:pPr>
        <w:spacing w:after="0" w:line="26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2025 Discussion Highlights</w:t>
      </w:r>
    </w:p>
    <w:p>
      <w:pPr>
        <w:spacing w:after="0" w:line="99" w:lineRule="exact"/>
        <w:rPr>
          <w:sz w:val="20"/>
          <w:szCs w:val="20"/>
          <w:color w:val="auto"/>
        </w:rPr>
      </w:pPr>
    </w:p>
    <w:p>
      <w:pPr>
        <w:ind w:left="187" w:right="559" w:hanging="187"/>
        <w:spacing w:after="0" w:line="301" w:lineRule="auto"/>
        <w:tabs>
          <w:tab w:leader="none" w:pos="187" w:val="left"/>
        </w:tabs>
        <w:numPr>
          <w:ilvl w:val="0"/>
          <w:numId w:val="39"/>
        </w:numPr>
        <w:rPr>
          <w:rFonts w:ascii="Arial" w:cs="Arial" w:eastAsia="Arial" w:hAnsi="Arial"/>
          <w:sz w:val="16"/>
          <w:szCs w:val="16"/>
          <w:color w:val="0956FF"/>
        </w:rPr>
      </w:pPr>
      <w:r>
        <w:rPr>
          <w:rFonts w:ascii="Arial" w:cs="Arial" w:eastAsia="Arial" w:hAnsi="Arial"/>
          <w:sz w:val="16"/>
          <w:szCs w:val="16"/>
          <w:color w:val="auto"/>
        </w:rPr>
        <w:t>Continued shareholder outreach to seek feedback on the Company’s evolving executive compensation plans. For more information on the Committee’s response to recent feedback, please see page 44 .</w:t>
      </w:r>
    </w:p>
    <w:p>
      <w:pPr>
        <w:spacing w:after="0" w:line="9" w:lineRule="exact"/>
        <w:rPr>
          <w:rFonts w:ascii="Arial" w:cs="Arial" w:eastAsia="Arial" w:hAnsi="Arial"/>
          <w:sz w:val="16"/>
          <w:szCs w:val="16"/>
          <w:color w:val="0956FF"/>
        </w:rPr>
      </w:pPr>
    </w:p>
    <w:p>
      <w:pPr>
        <w:ind w:left="187" w:right="499" w:hanging="187"/>
        <w:spacing w:after="0" w:line="301" w:lineRule="auto"/>
        <w:tabs>
          <w:tab w:leader="none" w:pos="187" w:val="left"/>
        </w:tabs>
        <w:numPr>
          <w:ilvl w:val="0"/>
          <w:numId w:val="39"/>
        </w:numPr>
        <w:rPr>
          <w:rFonts w:ascii="Arial" w:cs="Arial" w:eastAsia="Arial" w:hAnsi="Arial"/>
          <w:sz w:val="16"/>
          <w:szCs w:val="16"/>
          <w:color w:val="0956FF"/>
        </w:rPr>
      </w:pPr>
      <w:r>
        <w:rPr>
          <w:rFonts w:ascii="Arial" w:cs="Arial" w:eastAsia="Arial" w:hAnsi="Arial"/>
          <w:sz w:val="16"/>
          <w:szCs w:val="16"/>
          <w:color w:val="auto"/>
        </w:rPr>
        <w:t>Conducted a comprehensive review and analysis of the incentive compensation plans — including performance measures, weightings, and target-setting rigor — to further align the incentive framework to the Company’s evolving strategy.</w:t>
      </w:r>
    </w:p>
    <w:p>
      <w:pPr>
        <w:spacing w:after="0" w:line="9" w:lineRule="exact"/>
        <w:rPr>
          <w:rFonts w:ascii="Arial" w:cs="Arial" w:eastAsia="Arial" w:hAnsi="Arial"/>
          <w:sz w:val="16"/>
          <w:szCs w:val="16"/>
          <w:color w:val="0956FF"/>
        </w:rPr>
      </w:pPr>
    </w:p>
    <w:p>
      <w:pPr>
        <w:ind w:left="187" w:right="659" w:hanging="187"/>
        <w:spacing w:after="0" w:line="301" w:lineRule="auto"/>
        <w:tabs>
          <w:tab w:leader="none" w:pos="187" w:val="left"/>
        </w:tabs>
        <w:numPr>
          <w:ilvl w:val="0"/>
          <w:numId w:val="39"/>
        </w:numPr>
        <w:rPr>
          <w:rFonts w:ascii="Arial" w:cs="Arial" w:eastAsia="Arial" w:hAnsi="Arial"/>
          <w:sz w:val="16"/>
          <w:szCs w:val="16"/>
          <w:color w:val="0956FF"/>
        </w:rPr>
      </w:pPr>
      <w:r>
        <w:rPr>
          <w:rFonts w:ascii="Arial" w:cs="Arial" w:eastAsia="Arial" w:hAnsi="Arial"/>
          <w:sz w:val="16"/>
          <w:szCs w:val="16"/>
          <w:color w:val="auto"/>
        </w:rPr>
        <w:t>Evaluated the competitiveness and structure of the Company’s compensation program including market positioning and pay mix, to help ensure it supports the attraction, retention, and motivation of critical leadership talent.</w:t>
      </w:r>
    </w:p>
    <w:p>
      <w:pPr>
        <w:spacing w:after="0" w:line="200" w:lineRule="exact"/>
        <w:rPr>
          <w:sz w:val="20"/>
          <w:szCs w:val="20"/>
          <w:color w:val="auto"/>
        </w:rPr>
      </w:pPr>
    </w:p>
    <w:p>
      <w:pPr>
        <w:sectPr>
          <w:pgSz w:w="11900" w:h="16838" w:orient="portrait"/>
          <w:cols w:equalWidth="0" w:num="2">
            <w:col w:w="1340" w:space="673"/>
            <w:col w:w="7046"/>
          </w:cols>
          <w:pgMar w:left="140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9059"/>
          </w:cols>
          <w:pgMar w:left="1400" w:top="657" w:right="1440"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956FF"/>
        </w:rPr>
        <w:t>Finance</w:t>
      </w:r>
    </w:p>
    <w:p>
      <w:pPr>
        <w:sectPr>
          <w:pgSz w:w="11900" w:h="16838" w:orient="portrait"/>
          <w:cols w:equalWidth="0" w:num="1">
            <w:col w:w="9060"/>
          </w:cols>
          <w:pgMar w:left="144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956FF"/>
        </w:rPr>
        <w:t>Joseph Jimenez</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Chair</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956FF"/>
        </w:rPr>
        <w:t>Committee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956FF"/>
        </w:rPr>
        <w:t>Members: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Wesley G. Bush</w:t>
      </w:r>
    </w:p>
    <w:p>
      <w:pPr>
        <w:ind w:left="20"/>
        <w:spacing w:after="0" w:line="235" w:lineRule="auto"/>
        <w:rPr>
          <w:sz w:val="20"/>
          <w:szCs w:val="20"/>
          <w:color w:val="auto"/>
        </w:rPr>
      </w:pPr>
      <w:r>
        <w:rPr>
          <w:rFonts w:ascii="Arial" w:cs="Arial" w:eastAsia="Arial" w:hAnsi="Arial"/>
          <w:sz w:val="16"/>
          <w:szCs w:val="16"/>
          <w:color w:val="auto"/>
        </w:rPr>
        <w:t>Joanne C.</w:t>
      </w:r>
    </w:p>
    <w:p>
      <w:pPr>
        <w:ind w:left="20" w:right="180" w:firstLine="81"/>
        <w:spacing w:after="0" w:line="256" w:lineRule="auto"/>
        <w:rPr>
          <w:sz w:val="20"/>
          <w:szCs w:val="20"/>
          <w:color w:val="auto"/>
        </w:rPr>
      </w:pPr>
      <w:r>
        <w:rPr>
          <w:rFonts w:ascii="Arial" w:cs="Arial" w:eastAsia="Arial" w:hAnsi="Arial"/>
          <w:sz w:val="16"/>
          <w:szCs w:val="16"/>
          <w:color w:val="auto"/>
        </w:rPr>
        <w:t>Crevoiserat Judith A. Miscik Patricia F. Russo</w:t>
      </w:r>
    </w:p>
    <w:p>
      <w:pPr>
        <w:spacing w:after="0" w:line="70" w:lineRule="exact"/>
        <w:rPr>
          <w:sz w:val="20"/>
          <w:szCs w:val="20"/>
          <w:color w:val="auto"/>
        </w:rPr>
      </w:pPr>
    </w:p>
    <w:p>
      <w:pPr>
        <w:ind w:left="20" w:right="120"/>
        <w:spacing w:after="0" w:line="248" w:lineRule="auto"/>
        <w:rPr>
          <w:sz w:val="20"/>
          <w:szCs w:val="20"/>
          <w:color w:val="auto"/>
        </w:rPr>
      </w:pPr>
      <w:r>
        <w:rPr>
          <w:rFonts w:ascii="Arial" w:cs="Arial" w:eastAsia="Arial" w:hAnsi="Arial"/>
          <w:sz w:val="16"/>
          <w:szCs w:val="16"/>
          <w:b w:val="1"/>
          <w:bCs w:val="1"/>
          <w:color w:val="0956FF"/>
        </w:rPr>
        <w:t>Meetings held in 2025:</w:t>
      </w:r>
    </w:p>
    <w:p>
      <w:pPr>
        <w:ind w:lef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Key Responsibilities</w:t>
      </w:r>
    </w:p>
    <w:p>
      <w:pPr>
        <w:spacing w:after="0" w:line="99" w:lineRule="exact"/>
        <w:rPr>
          <w:sz w:val="20"/>
          <w:szCs w:val="20"/>
          <w:color w:val="auto"/>
        </w:rPr>
      </w:pPr>
    </w:p>
    <w:p>
      <w:pPr>
        <w:ind w:left="187" w:hanging="187"/>
        <w:spacing w:after="0"/>
        <w:tabs>
          <w:tab w:leader="none" w:pos="187" w:val="left"/>
        </w:tabs>
        <w:numPr>
          <w:ilvl w:val="0"/>
          <w:numId w:val="40"/>
        </w:numPr>
        <w:rPr>
          <w:rFonts w:ascii="Arial" w:cs="Arial" w:eastAsia="Arial" w:hAnsi="Arial"/>
          <w:sz w:val="16"/>
          <w:szCs w:val="16"/>
          <w:color w:val="0956FF"/>
        </w:rPr>
      </w:pPr>
      <w:r>
        <w:rPr>
          <w:rFonts w:ascii="Arial" w:cs="Arial" w:eastAsia="Arial" w:hAnsi="Arial"/>
          <w:sz w:val="16"/>
          <w:szCs w:val="16"/>
          <w:color w:val="auto"/>
        </w:rPr>
        <w:t>Reviews financial policies, strategies, and capital structure;</w:t>
      </w:r>
    </w:p>
    <w:p>
      <w:pPr>
        <w:spacing w:after="0" w:line="72" w:lineRule="exact"/>
        <w:rPr>
          <w:rFonts w:ascii="Arial" w:cs="Arial" w:eastAsia="Arial" w:hAnsi="Arial"/>
          <w:sz w:val="16"/>
          <w:szCs w:val="16"/>
          <w:color w:val="0956FF"/>
        </w:rPr>
      </w:pPr>
    </w:p>
    <w:p>
      <w:pPr>
        <w:ind w:left="187" w:right="400" w:hanging="187"/>
        <w:spacing w:after="0" w:line="277" w:lineRule="auto"/>
        <w:tabs>
          <w:tab w:leader="none" w:pos="187" w:val="left"/>
        </w:tabs>
        <w:numPr>
          <w:ilvl w:val="0"/>
          <w:numId w:val="40"/>
        </w:numPr>
        <w:rPr>
          <w:rFonts w:ascii="Arial" w:cs="Arial" w:eastAsia="Arial" w:hAnsi="Arial"/>
          <w:sz w:val="16"/>
          <w:szCs w:val="16"/>
          <w:color w:val="0956FF"/>
        </w:rPr>
      </w:pPr>
      <w:r>
        <w:rPr>
          <w:rFonts w:ascii="Arial" w:cs="Arial" w:eastAsia="Arial" w:hAnsi="Arial"/>
          <w:sz w:val="16"/>
          <w:szCs w:val="16"/>
          <w:color w:val="auto"/>
        </w:rPr>
        <w:t>Reviews the Company’s cash management policies and proposed capital allocation plans, capital expenditures, dividend actions, stock repurchase programs, issuances and redemptions of debt or equity securities, significant credit facilities, and other borrowings or guarantees;</w:t>
      </w:r>
    </w:p>
    <w:p>
      <w:pPr>
        <w:spacing w:after="0" w:line="14" w:lineRule="exact"/>
        <w:rPr>
          <w:rFonts w:ascii="Arial" w:cs="Arial" w:eastAsia="Arial" w:hAnsi="Arial"/>
          <w:sz w:val="16"/>
          <w:szCs w:val="16"/>
          <w:color w:val="0956FF"/>
        </w:rPr>
      </w:pPr>
    </w:p>
    <w:p>
      <w:pPr>
        <w:ind w:left="187" w:right="260" w:hanging="187"/>
        <w:spacing w:after="0" w:line="272" w:lineRule="auto"/>
        <w:tabs>
          <w:tab w:leader="none" w:pos="187" w:val="left"/>
        </w:tabs>
        <w:numPr>
          <w:ilvl w:val="0"/>
          <w:numId w:val="40"/>
        </w:numPr>
        <w:rPr>
          <w:rFonts w:ascii="Arial" w:cs="Arial" w:eastAsia="Arial" w:hAnsi="Arial"/>
          <w:sz w:val="16"/>
          <w:szCs w:val="16"/>
          <w:color w:val="0956FF"/>
        </w:rPr>
      </w:pPr>
      <w:r>
        <w:rPr>
          <w:rFonts w:ascii="Arial" w:cs="Arial" w:eastAsia="Arial" w:hAnsi="Arial"/>
          <w:sz w:val="16"/>
          <w:szCs w:val="16"/>
          <w:color w:val="auto"/>
        </w:rPr>
        <w:t>Reviews significant financial exposures and contingent liabilities, including foreign exchange, interest rate, and commodities exposures, and the use of derivatives to hedge</w:t>
      </w:r>
    </w:p>
    <w:p>
      <w:pPr>
        <w:ind w:left="187"/>
        <w:spacing w:after="0"/>
        <w:rPr>
          <w:rFonts w:ascii="Arial" w:cs="Arial" w:eastAsia="Arial" w:hAnsi="Arial"/>
          <w:sz w:val="16"/>
          <w:szCs w:val="16"/>
          <w:color w:val="0956FF"/>
        </w:rPr>
      </w:pPr>
      <w:r>
        <w:rPr>
          <w:rFonts w:ascii="Arial" w:cs="Arial" w:eastAsia="Arial" w:hAnsi="Arial"/>
          <w:sz w:val="16"/>
          <w:szCs w:val="16"/>
          <w:color w:val="auto"/>
        </w:rPr>
        <w:t>those exposures; and</w:t>
      </w:r>
    </w:p>
    <w:p>
      <w:pPr>
        <w:spacing w:after="0" w:line="60" w:lineRule="exact"/>
        <w:rPr>
          <w:rFonts w:ascii="Arial" w:cs="Arial" w:eastAsia="Arial" w:hAnsi="Arial"/>
          <w:sz w:val="16"/>
          <w:szCs w:val="16"/>
          <w:color w:val="0956FF"/>
        </w:rPr>
      </w:pPr>
    </w:p>
    <w:p>
      <w:pPr>
        <w:ind w:left="187" w:right="380" w:hanging="187"/>
        <w:spacing w:after="0" w:line="304" w:lineRule="auto"/>
        <w:tabs>
          <w:tab w:leader="none" w:pos="187" w:val="left"/>
        </w:tabs>
        <w:numPr>
          <w:ilvl w:val="0"/>
          <w:numId w:val="40"/>
        </w:numPr>
        <w:rPr>
          <w:rFonts w:ascii="Arial" w:cs="Arial" w:eastAsia="Arial" w:hAnsi="Arial"/>
          <w:sz w:val="16"/>
          <w:szCs w:val="16"/>
          <w:color w:val="0956FF"/>
        </w:rPr>
      </w:pPr>
      <w:r>
        <w:rPr>
          <w:rFonts w:ascii="Arial" w:cs="Arial" w:eastAsia="Arial" w:hAnsi="Arial"/>
          <w:sz w:val="16"/>
          <w:szCs w:val="16"/>
          <w:color w:val="auto"/>
        </w:rPr>
        <w:t>Reviews any significant strategic transactions, including mergers, acquisitions, divestitures, partnerships, joint ventures, and other collaborations.</w:t>
      </w:r>
    </w:p>
    <w:p>
      <w:pPr>
        <w:spacing w:after="0" w:line="28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2025 Discussion Highlights</w:t>
      </w:r>
    </w:p>
    <w:p>
      <w:pPr>
        <w:spacing w:after="0" w:line="99" w:lineRule="exact"/>
        <w:rPr>
          <w:sz w:val="20"/>
          <w:szCs w:val="20"/>
          <w:color w:val="auto"/>
        </w:rPr>
      </w:pPr>
    </w:p>
    <w:p>
      <w:pPr>
        <w:ind w:left="187" w:right="880" w:hanging="187"/>
        <w:spacing w:after="0" w:line="284" w:lineRule="auto"/>
        <w:tabs>
          <w:tab w:leader="none" w:pos="187" w:val="left"/>
        </w:tabs>
        <w:numPr>
          <w:ilvl w:val="0"/>
          <w:numId w:val="41"/>
        </w:numPr>
        <w:rPr>
          <w:rFonts w:ascii="Arial" w:cs="Arial" w:eastAsia="Arial" w:hAnsi="Arial"/>
          <w:sz w:val="16"/>
          <w:szCs w:val="16"/>
          <w:color w:val="0956FF"/>
        </w:rPr>
      </w:pPr>
      <w:r>
        <w:rPr>
          <w:rFonts w:ascii="Arial" w:cs="Arial" w:eastAsia="Arial" w:hAnsi="Arial"/>
          <w:sz w:val="16"/>
          <w:szCs w:val="16"/>
          <w:color w:val="auto"/>
        </w:rPr>
        <w:t>Reviewed the Company’s capital allocation framework and recommended the Board increase the share repurchase program by $6 billion in the first quarter of 2025 and increase the quarterly dividend by 20 percent.</w:t>
      </w:r>
    </w:p>
    <w:p>
      <w:pPr>
        <w:spacing w:after="0" w:line="8" w:lineRule="exact"/>
        <w:rPr>
          <w:rFonts w:ascii="Arial" w:cs="Arial" w:eastAsia="Arial" w:hAnsi="Arial"/>
          <w:sz w:val="16"/>
          <w:szCs w:val="16"/>
          <w:color w:val="0956FF"/>
        </w:rPr>
      </w:pPr>
    </w:p>
    <w:p>
      <w:pPr>
        <w:ind w:left="187" w:right="940" w:hanging="187"/>
        <w:spacing w:after="0" w:line="301" w:lineRule="auto"/>
        <w:tabs>
          <w:tab w:leader="none" w:pos="187" w:val="left"/>
        </w:tabs>
        <w:numPr>
          <w:ilvl w:val="0"/>
          <w:numId w:val="41"/>
        </w:numPr>
        <w:rPr>
          <w:rFonts w:ascii="Arial" w:cs="Arial" w:eastAsia="Arial" w:hAnsi="Arial"/>
          <w:sz w:val="16"/>
          <w:szCs w:val="16"/>
          <w:color w:val="0956FF"/>
        </w:rPr>
      </w:pPr>
      <w:r>
        <w:rPr>
          <w:rFonts w:ascii="Arial" w:cs="Arial" w:eastAsia="Arial" w:hAnsi="Arial"/>
          <w:sz w:val="16"/>
          <w:szCs w:val="16"/>
          <w:color w:val="auto"/>
        </w:rPr>
        <w:t>Continued regular reviews of the financial performance of the Company’s vehicle portfolio and recommended the Board approve certain vehicle programs, while also monitoring momentum on EV sales and franchise profitability.</w:t>
      </w:r>
    </w:p>
    <w:p>
      <w:pPr>
        <w:spacing w:after="0" w:line="9" w:lineRule="exact"/>
        <w:rPr>
          <w:rFonts w:ascii="Arial" w:cs="Arial" w:eastAsia="Arial" w:hAnsi="Arial"/>
          <w:sz w:val="16"/>
          <w:szCs w:val="16"/>
          <w:color w:val="0956FF"/>
        </w:rPr>
      </w:pPr>
    </w:p>
    <w:p>
      <w:pPr>
        <w:jc w:val="both"/>
        <w:ind w:left="187" w:right="860" w:hanging="187"/>
        <w:spacing w:after="0" w:line="301" w:lineRule="auto"/>
        <w:tabs>
          <w:tab w:leader="none" w:pos="187" w:val="left"/>
        </w:tabs>
        <w:numPr>
          <w:ilvl w:val="0"/>
          <w:numId w:val="41"/>
        </w:numPr>
        <w:rPr>
          <w:rFonts w:ascii="Arial" w:cs="Arial" w:eastAsia="Arial" w:hAnsi="Arial"/>
          <w:sz w:val="16"/>
          <w:szCs w:val="16"/>
          <w:color w:val="0956FF"/>
        </w:rPr>
      </w:pPr>
      <w:r>
        <w:rPr>
          <w:rFonts w:ascii="Arial" w:cs="Arial" w:eastAsia="Arial" w:hAnsi="Arial"/>
          <w:sz w:val="16"/>
          <w:szCs w:val="16"/>
          <w:color w:val="auto"/>
        </w:rPr>
        <w:t>Reviewed and approved the early repayment of a Department of Energy loan for the Company’s Ultium Cells joint venture to provide operational flexibility to manufacture new, lower-cost battery cell chemistries and form factors.</w:t>
      </w:r>
    </w:p>
    <w:p>
      <w:pPr>
        <w:spacing w:after="0" w:line="200" w:lineRule="exact"/>
        <w:rPr>
          <w:sz w:val="20"/>
          <w:szCs w:val="20"/>
          <w:color w:val="auto"/>
        </w:rPr>
      </w:pPr>
    </w:p>
    <w:p>
      <w:pPr>
        <w:sectPr>
          <w:pgSz w:w="11900" w:h="16838" w:orient="portrait"/>
          <w:cols w:equalWidth="0" w:num="2">
            <w:col w:w="1420" w:space="553"/>
            <w:col w:w="7087"/>
          </w:cols>
          <w:pgMar w:left="1440" w:top="657" w:right="1399" w:bottom="1440" w:gutter="0" w:footer="0" w:header="0"/>
          <w:type w:val="continuous"/>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956FF"/>
        </w:rPr>
        <w:t>Governance and Corporate Responsibility</w:t>
      </w:r>
    </w:p>
    <w:p>
      <w:pPr>
        <w:sectPr>
          <w:pgSz w:w="11900" w:h="16838" w:orient="portrait"/>
          <w:cols w:equalWidth="0" w:num="1">
            <w:col w:w="9060"/>
          </w:cols>
          <w:pgMar w:left="144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956FF"/>
        </w:rPr>
        <w:t>Patricia F. Russo</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Chair</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956FF"/>
        </w:rPr>
        <w:t>Committee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956FF"/>
        </w:rPr>
        <w:t>Members: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Joanne C.</w:t>
      </w:r>
    </w:p>
    <w:p>
      <w:pPr>
        <w:ind w:left="100"/>
        <w:spacing w:after="0" w:line="235" w:lineRule="auto"/>
        <w:rPr>
          <w:sz w:val="20"/>
          <w:szCs w:val="20"/>
          <w:color w:val="auto"/>
        </w:rPr>
      </w:pPr>
      <w:r>
        <w:rPr>
          <w:rFonts w:ascii="Arial" w:cs="Arial" w:eastAsia="Arial" w:hAnsi="Arial"/>
          <w:sz w:val="16"/>
          <w:szCs w:val="16"/>
          <w:color w:val="auto"/>
        </w:rPr>
        <w:t>Crevoiserat</w:t>
      </w:r>
    </w:p>
    <w:p>
      <w:pPr>
        <w:ind w:left="20" w:right="180"/>
        <w:spacing w:after="0" w:line="265" w:lineRule="auto"/>
        <w:rPr>
          <w:sz w:val="20"/>
          <w:szCs w:val="20"/>
          <w:color w:val="auto"/>
        </w:rPr>
      </w:pPr>
      <w:r>
        <w:rPr>
          <w:rFonts w:ascii="Arial" w:cs="Arial" w:eastAsia="Arial" w:hAnsi="Arial"/>
          <w:sz w:val="16"/>
          <w:szCs w:val="16"/>
          <w:color w:val="auto"/>
        </w:rPr>
        <w:t>Jonathan McNeill Mark A. Tatum</w:t>
      </w:r>
    </w:p>
    <w:p>
      <w:pPr>
        <w:spacing w:after="0" w:line="64" w:lineRule="exact"/>
        <w:rPr>
          <w:sz w:val="20"/>
          <w:szCs w:val="20"/>
          <w:color w:val="auto"/>
        </w:rPr>
      </w:pPr>
    </w:p>
    <w:p>
      <w:pPr>
        <w:ind w:left="20" w:right="160"/>
        <w:spacing w:after="0" w:line="256" w:lineRule="auto"/>
        <w:rPr>
          <w:sz w:val="20"/>
          <w:szCs w:val="20"/>
          <w:color w:val="auto"/>
        </w:rPr>
      </w:pPr>
      <w:r>
        <w:rPr>
          <w:rFonts w:ascii="Arial" w:cs="Arial" w:eastAsia="Arial" w:hAnsi="Arial"/>
          <w:sz w:val="16"/>
          <w:szCs w:val="16"/>
          <w:b w:val="1"/>
          <w:bCs w:val="1"/>
          <w:color w:val="0956FF"/>
        </w:rPr>
        <w:t>Meetings held in 2025: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Key Responsibilities</w:t>
      </w:r>
    </w:p>
    <w:p>
      <w:pPr>
        <w:spacing w:after="0" w:line="112" w:lineRule="exact"/>
        <w:rPr>
          <w:sz w:val="20"/>
          <w:szCs w:val="20"/>
          <w:color w:val="auto"/>
        </w:rPr>
      </w:pPr>
    </w:p>
    <w:p>
      <w:pPr>
        <w:ind w:left="187" w:hanging="187"/>
        <w:spacing w:after="0"/>
        <w:tabs>
          <w:tab w:leader="none" w:pos="187" w:val="left"/>
        </w:tabs>
        <w:numPr>
          <w:ilvl w:val="0"/>
          <w:numId w:val="42"/>
        </w:numPr>
        <w:rPr>
          <w:rFonts w:ascii="Arial" w:cs="Arial" w:eastAsia="Arial" w:hAnsi="Arial"/>
          <w:sz w:val="16"/>
          <w:szCs w:val="16"/>
          <w:color w:val="0956FF"/>
        </w:rPr>
      </w:pPr>
      <w:r>
        <w:rPr>
          <w:rFonts w:ascii="Arial" w:cs="Arial" w:eastAsia="Arial" w:hAnsi="Arial"/>
          <w:sz w:val="16"/>
          <w:szCs w:val="16"/>
          <w:color w:val="auto"/>
        </w:rPr>
        <w:t>Reviews the Company’s governance framework;</w:t>
      </w:r>
    </w:p>
    <w:p>
      <w:pPr>
        <w:spacing w:after="0" w:line="72" w:lineRule="exact"/>
        <w:rPr>
          <w:rFonts w:ascii="Arial" w:cs="Arial" w:eastAsia="Arial" w:hAnsi="Arial"/>
          <w:sz w:val="16"/>
          <w:szCs w:val="16"/>
          <w:color w:val="0956FF"/>
        </w:rPr>
      </w:pPr>
    </w:p>
    <w:p>
      <w:pPr>
        <w:ind w:left="187" w:right="420" w:hanging="187"/>
        <w:spacing w:after="0" w:line="299" w:lineRule="auto"/>
        <w:tabs>
          <w:tab w:leader="none" w:pos="187" w:val="left"/>
        </w:tabs>
        <w:numPr>
          <w:ilvl w:val="0"/>
          <w:numId w:val="42"/>
        </w:numPr>
        <w:rPr>
          <w:rFonts w:ascii="Arial" w:cs="Arial" w:eastAsia="Arial" w:hAnsi="Arial"/>
          <w:sz w:val="16"/>
          <w:szCs w:val="16"/>
          <w:color w:val="0956FF"/>
        </w:rPr>
      </w:pPr>
      <w:r>
        <w:rPr>
          <w:rFonts w:ascii="Arial" w:cs="Arial" w:eastAsia="Arial" w:hAnsi="Arial"/>
          <w:sz w:val="16"/>
          <w:szCs w:val="16"/>
          <w:color w:val="auto"/>
        </w:rPr>
        <w:t>Monitors Company policies and strategies related to corporate responsibility, sustainability, and political contributions and lobbying activities;</w:t>
      </w:r>
    </w:p>
    <w:p>
      <w:pPr>
        <w:ind w:left="187" w:hanging="187"/>
        <w:spacing w:after="0"/>
        <w:tabs>
          <w:tab w:leader="none" w:pos="187" w:val="left"/>
        </w:tabs>
        <w:numPr>
          <w:ilvl w:val="0"/>
          <w:numId w:val="42"/>
        </w:numPr>
        <w:rPr>
          <w:rFonts w:ascii="Arial" w:cs="Arial" w:eastAsia="Arial" w:hAnsi="Arial"/>
          <w:sz w:val="16"/>
          <w:szCs w:val="16"/>
          <w:color w:val="0956FF"/>
        </w:rPr>
      </w:pPr>
      <w:r>
        <w:rPr>
          <w:rFonts w:ascii="Arial" w:cs="Arial" w:eastAsia="Arial" w:hAnsi="Arial"/>
          <w:sz w:val="16"/>
          <w:szCs w:val="16"/>
          <w:color w:val="auto"/>
        </w:rPr>
        <w:t>Reviews the appropriate composition of the Board and recommends director nominees;</w:t>
      </w:r>
    </w:p>
    <w:p>
      <w:pPr>
        <w:spacing w:after="0" w:line="72" w:lineRule="exact"/>
        <w:rPr>
          <w:rFonts w:ascii="Arial" w:cs="Arial" w:eastAsia="Arial" w:hAnsi="Arial"/>
          <w:sz w:val="16"/>
          <w:szCs w:val="16"/>
          <w:color w:val="0956FF"/>
        </w:rPr>
      </w:pPr>
    </w:p>
    <w:p>
      <w:pPr>
        <w:ind w:left="187" w:hanging="187"/>
        <w:spacing w:after="0"/>
        <w:tabs>
          <w:tab w:leader="none" w:pos="187" w:val="left"/>
        </w:tabs>
        <w:numPr>
          <w:ilvl w:val="0"/>
          <w:numId w:val="42"/>
        </w:numPr>
        <w:rPr>
          <w:rFonts w:ascii="Arial" w:cs="Arial" w:eastAsia="Arial" w:hAnsi="Arial"/>
          <w:sz w:val="16"/>
          <w:szCs w:val="16"/>
          <w:color w:val="0956FF"/>
        </w:rPr>
      </w:pPr>
      <w:r>
        <w:rPr>
          <w:rFonts w:ascii="Arial" w:cs="Arial" w:eastAsia="Arial" w:hAnsi="Arial"/>
          <w:sz w:val="16"/>
          <w:szCs w:val="16"/>
          <w:color w:val="auto"/>
        </w:rPr>
        <w:t>Monitors the self-evaluation process of the Board and committees;</w:t>
      </w:r>
    </w:p>
    <w:p>
      <w:pPr>
        <w:spacing w:after="0" w:line="72" w:lineRule="exact"/>
        <w:rPr>
          <w:rFonts w:ascii="Arial" w:cs="Arial" w:eastAsia="Arial" w:hAnsi="Arial"/>
          <w:sz w:val="16"/>
          <w:szCs w:val="16"/>
          <w:color w:val="0956FF"/>
        </w:rPr>
      </w:pPr>
    </w:p>
    <w:p>
      <w:pPr>
        <w:ind w:left="187" w:hanging="187"/>
        <w:spacing w:after="0"/>
        <w:tabs>
          <w:tab w:leader="none" w:pos="187" w:val="left"/>
        </w:tabs>
        <w:numPr>
          <w:ilvl w:val="0"/>
          <w:numId w:val="42"/>
        </w:numPr>
        <w:rPr>
          <w:rFonts w:ascii="Arial" w:cs="Arial" w:eastAsia="Arial" w:hAnsi="Arial"/>
          <w:sz w:val="16"/>
          <w:szCs w:val="16"/>
          <w:color w:val="0956FF"/>
        </w:rPr>
      </w:pPr>
      <w:r>
        <w:rPr>
          <w:rFonts w:ascii="Arial" w:cs="Arial" w:eastAsia="Arial" w:hAnsi="Arial"/>
          <w:sz w:val="16"/>
          <w:szCs w:val="16"/>
          <w:color w:val="auto"/>
        </w:rPr>
        <w:t>Recommends compensation of non-employee directors to the Board; and</w:t>
      </w:r>
    </w:p>
    <w:p>
      <w:pPr>
        <w:spacing w:after="0" w:line="72" w:lineRule="exact"/>
        <w:rPr>
          <w:rFonts w:ascii="Arial" w:cs="Arial" w:eastAsia="Arial" w:hAnsi="Arial"/>
          <w:sz w:val="16"/>
          <w:szCs w:val="16"/>
          <w:color w:val="0956FF"/>
        </w:rPr>
      </w:pPr>
    </w:p>
    <w:p>
      <w:pPr>
        <w:ind w:left="187" w:hanging="187"/>
        <w:spacing w:after="0"/>
        <w:tabs>
          <w:tab w:leader="none" w:pos="187" w:val="left"/>
        </w:tabs>
        <w:numPr>
          <w:ilvl w:val="0"/>
          <w:numId w:val="42"/>
        </w:numPr>
        <w:rPr>
          <w:rFonts w:ascii="Arial" w:cs="Arial" w:eastAsia="Arial" w:hAnsi="Arial"/>
          <w:sz w:val="16"/>
          <w:szCs w:val="16"/>
          <w:color w:val="0956FF"/>
        </w:rPr>
      </w:pPr>
      <w:r>
        <w:rPr>
          <w:rFonts w:ascii="Arial" w:cs="Arial" w:eastAsia="Arial" w:hAnsi="Arial"/>
          <w:sz w:val="16"/>
          <w:szCs w:val="16"/>
          <w:color w:val="auto"/>
        </w:rPr>
        <w:t>Reviews and approves related party transactions and any potential conflicts of interest.</w:t>
      </w:r>
    </w:p>
    <w:p>
      <w:pPr>
        <w:spacing w:after="0" w:line="342"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2025 Discussion Highlights</w:t>
      </w:r>
    </w:p>
    <w:p>
      <w:pPr>
        <w:spacing w:after="0" w:line="112" w:lineRule="exact"/>
        <w:rPr>
          <w:sz w:val="20"/>
          <w:szCs w:val="20"/>
          <w:color w:val="auto"/>
        </w:rPr>
      </w:pPr>
    </w:p>
    <w:p>
      <w:pPr>
        <w:ind w:left="187" w:right="660" w:hanging="187"/>
        <w:spacing w:after="0" w:line="284" w:lineRule="auto"/>
        <w:tabs>
          <w:tab w:leader="none" w:pos="187" w:val="left"/>
        </w:tabs>
        <w:numPr>
          <w:ilvl w:val="0"/>
          <w:numId w:val="43"/>
        </w:numPr>
        <w:rPr>
          <w:rFonts w:ascii="Arial" w:cs="Arial" w:eastAsia="Arial" w:hAnsi="Arial"/>
          <w:sz w:val="16"/>
          <w:szCs w:val="16"/>
          <w:color w:val="0956FF"/>
        </w:rPr>
      </w:pPr>
      <w:r>
        <w:rPr>
          <w:rFonts w:ascii="Arial" w:cs="Arial" w:eastAsia="Arial" w:hAnsi="Arial"/>
          <w:sz w:val="16"/>
          <w:szCs w:val="16"/>
          <w:color w:val="auto"/>
        </w:rPr>
        <w:t>Recommended and oversaw the implementation of corporate governance best practice initiatives, including updating the Corporate Governance Guidelines as part of the Board’s evolving five-year succession roadmap.</w:t>
      </w:r>
    </w:p>
    <w:p>
      <w:pPr>
        <w:spacing w:after="0" w:line="8" w:lineRule="exact"/>
        <w:rPr>
          <w:rFonts w:ascii="Arial" w:cs="Arial" w:eastAsia="Arial" w:hAnsi="Arial"/>
          <w:sz w:val="16"/>
          <w:szCs w:val="16"/>
          <w:color w:val="0956FF"/>
        </w:rPr>
      </w:pPr>
    </w:p>
    <w:p>
      <w:pPr>
        <w:ind w:left="187" w:right="1240" w:hanging="187"/>
        <w:spacing w:after="0" w:line="316" w:lineRule="auto"/>
        <w:tabs>
          <w:tab w:leader="none" w:pos="187" w:val="left"/>
        </w:tabs>
        <w:numPr>
          <w:ilvl w:val="0"/>
          <w:numId w:val="43"/>
        </w:numPr>
        <w:rPr>
          <w:rFonts w:ascii="Arial" w:cs="Arial" w:eastAsia="Arial" w:hAnsi="Arial"/>
          <w:sz w:val="16"/>
          <w:szCs w:val="16"/>
          <w:color w:val="0956FF"/>
        </w:rPr>
      </w:pPr>
      <w:r>
        <w:rPr>
          <w:rFonts w:ascii="Arial" w:cs="Arial" w:eastAsia="Arial" w:hAnsi="Arial"/>
          <w:sz w:val="16"/>
          <w:szCs w:val="16"/>
          <w:color w:val="auto"/>
        </w:rPr>
        <w:t>Received updates on various aspects of the Company’s public policy advocacy strategies and political spending priorities.</w:t>
      </w:r>
    </w:p>
    <w:p>
      <w:pPr>
        <w:spacing w:after="0" w:line="1" w:lineRule="exact"/>
        <w:rPr>
          <w:rFonts w:ascii="Arial" w:cs="Arial" w:eastAsia="Arial" w:hAnsi="Arial"/>
          <w:sz w:val="16"/>
          <w:szCs w:val="16"/>
          <w:color w:val="0956FF"/>
        </w:rPr>
      </w:pPr>
    </w:p>
    <w:p>
      <w:pPr>
        <w:ind w:left="187" w:right="1160" w:hanging="187"/>
        <w:spacing w:after="0" w:line="304" w:lineRule="auto"/>
        <w:tabs>
          <w:tab w:leader="none" w:pos="187" w:val="left"/>
        </w:tabs>
        <w:numPr>
          <w:ilvl w:val="0"/>
          <w:numId w:val="43"/>
        </w:numPr>
        <w:rPr>
          <w:rFonts w:ascii="Arial" w:cs="Arial" w:eastAsia="Arial" w:hAnsi="Arial"/>
          <w:sz w:val="16"/>
          <w:szCs w:val="16"/>
          <w:color w:val="0956FF"/>
        </w:rPr>
      </w:pPr>
      <w:r>
        <w:rPr>
          <w:rFonts w:ascii="Arial" w:cs="Arial" w:eastAsia="Arial" w:hAnsi="Arial"/>
          <w:sz w:val="16"/>
          <w:szCs w:val="16"/>
          <w:color w:val="auto"/>
        </w:rPr>
        <w:t>Oversaw strategic enhancements to the Company’s sustainability and charitable giving strategies.</w:t>
      </w:r>
    </w:p>
    <w:p>
      <w:pPr>
        <w:spacing w:after="0" w:line="200" w:lineRule="exact"/>
        <w:rPr>
          <w:sz w:val="20"/>
          <w:szCs w:val="20"/>
          <w:color w:val="auto"/>
        </w:rPr>
      </w:pPr>
    </w:p>
    <w:p>
      <w:pPr>
        <w:sectPr>
          <w:pgSz w:w="11900" w:h="16838" w:orient="portrait"/>
          <w:cols w:equalWidth="0" w:num="2">
            <w:col w:w="1460" w:space="513"/>
            <w:col w:w="7087"/>
          </w:cols>
          <w:pgMar w:left="144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980"/>
        <w:spacing w:after="0"/>
        <w:tabs>
          <w:tab w:leader="none" w:pos="882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21</w:t>
      </w:r>
    </w:p>
    <w:p>
      <w:pPr>
        <w:sectPr>
          <w:pgSz w:w="11900" w:h="16838" w:orient="portrait"/>
          <w:cols w:equalWidth="0" w:num="1">
            <w:col w:w="9060"/>
          </w:cols>
          <w:pgMar w:left="1440" w:top="657" w:right="13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956FF"/>
        </w:rPr>
        <w:t>Risk and Cybersecurity</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0956FF"/>
        </w:rPr>
        <w:t>Judith A. Miscik</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Chair</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Committee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Members: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Joseph Jimenez</w:t>
      </w:r>
    </w:p>
    <w:p>
      <w:pPr>
        <w:spacing w:after="0" w:line="15" w:lineRule="exact"/>
        <w:rPr>
          <w:sz w:val="20"/>
          <w:szCs w:val="20"/>
          <w:color w:val="auto"/>
        </w:rPr>
      </w:pPr>
    </w:p>
    <w:p>
      <w:pPr>
        <w:ind w:left="60" w:right="120"/>
        <w:spacing w:after="0" w:line="258" w:lineRule="auto"/>
        <w:rPr>
          <w:sz w:val="20"/>
          <w:szCs w:val="20"/>
          <w:color w:val="auto"/>
        </w:rPr>
      </w:pPr>
      <w:r>
        <w:rPr>
          <w:rFonts w:ascii="Arial" w:cs="Arial" w:eastAsia="Arial" w:hAnsi="Arial"/>
          <w:sz w:val="16"/>
          <w:szCs w:val="16"/>
          <w:color w:val="auto"/>
        </w:rPr>
        <w:t>Alfred Kelly, Jr. Jonathan McNeill Jan E. Tighe</w:t>
      </w:r>
    </w:p>
    <w:p>
      <w:pPr>
        <w:spacing w:after="0" w:line="83" w:lineRule="exact"/>
        <w:rPr>
          <w:sz w:val="20"/>
          <w:szCs w:val="20"/>
          <w:color w:val="auto"/>
        </w:rPr>
      </w:pPr>
    </w:p>
    <w:p>
      <w:pPr>
        <w:ind w:left="60" w:right="100"/>
        <w:spacing w:after="0" w:line="265" w:lineRule="auto"/>
        <w:rPr>
          <w:sz w:val="20"/>
          <w:szCs w:val="20"/>
          <w:color w:val="auto"/>
        </w:rPr>
      </w:pPr>
      <w:r>
        <w:rPr>
          <w:rFonts w:ascii="Arial" w:cs="Arial" w:eastAsia="Arial" w:hAnsi="Arial"/>
          <w:sz w:val="16"/>
          <w:szCs w:val="16"/>
          <w:b w:val="1"/>
          <w:bCs w:val="1"/>
          <w:color w:val="0956FF"/>
        </w:rPr>
        <w:t>Meetings held in 2025:</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Key Responsibilities</w:t>
      </w:r>
    </w:p>
    <w:p>
      <w:pPr>
        <w:spacing w:after="0" w:line="99" w:lineRule="exact"/>
        <w:rPr>
          <w:sz w:val="20"/>
          <w:szCs w:val="20"/>
          <w:color w:val="auto"/>
        </w:rPr>
      </w:pPr>
    </w:p>
    <w:p>
      <w:pPr>
        <w:ind w:left="187" w:hanging="187"/>
        <w:spacing w:after="0"/>
        <w:tabs>
          <w:tab w:leader="none" w:pos="187" w:val="left"/>
        </w:tabs>
        <w:numPr>
          <w:ilvl w:val="0"/>
          <w:numId w:val="44"/>
        </w:numPr>
        <w:rPr>
          <w:rFonts w:ascii="Arial" w:cs="Arial" w:eastAsia="Arial" w:hAnsi="Arial"/>
          <w:sz w:val="16"/>
          <w:szCs w:val="16"/>
          <w:color w:val="0956FF"/>
        </w:rPr>
      </w:pPr>
      <w:r>
        <w:rPr>
          <w:rFonts w:ascii="Arial" w:cs="Arial" w:eastAsia="Arial" w:hAnsi="Arial"/>
          <w:sz w:val="16"/>
          <w:szCs w:val="16"/>
          <w:color w:val="auto"/>
        </w:rPr>
        <w:t>Reviews the Company’s key strategic, enterprise, cybersecurity, climate, and privacy risks;</w:t>
      </w:r>
    </w:p>
    <w:p>
      <w:pPr>
        <w:spacing w:after="0" w:line="86" w:lineRule="exact"/>
        <w:rPr>
          <w:rFonts w:ascii="Arial" w:cs="Arial" w:eastAsia="Arial" w:hAnsi="Arial"/>
          <w:sz w:val="16"/>
          <w:szCs w:val="16"/>
          <w:color w:val="0956FF"/>
        </w:rPr>
      </w:pPr>
    </w:p>
    <w:p>
      <w:pPr>
        <w:ind w:left="187" w:right="279" w:hanging="187"/>
        <w:spacing w:after="0" w:line="316" w:lineRule="auto"/>
        <w:tabs>
          <w:tab w:leader="none" w:pos="187" w:val="left"/>
        </w:tabs>
        <w:numPr>
          <w:ilvl w:val="0"/>
          <w:numId w:val="44"/>
        </w:numPr>
        <w:rPr>
          <w:rFonts w:ascii="Arial" w:cs="Arial" w:eastAsia="Arial" w:hAnsi="Arial"/>
          <w:sz w:val="16"/>
          <w:szCs w:val="16"/>
          <w:color w:val="0956FF"/>
        </w:rPr>
      </w:pPr>
      <w:r>
        <w:rPr>
          <w:rFonts w:ascii="Arial" w:cs="Arial" w:eastAsia="Arial" w:hAnsi="Arial"/>
          <w:sz w:val="16"/>
          <w:szCs w:val="16"/>
          <w:color w:val="auto"/>
        </w:rPr>
        <w:t>Reviews the Company’s risk management framework and management’s implementation of risk policies, procedures, and governance to assess their effectiveness;</w:t>
      </w:r>
    </w:p>
    <w:p>
      <w:pPr>
        <w:spacing w:after="0" w:line="1" w:lineRule="exact"/>
        <w:rPr>
          <w:rFonts w:ascii="Arial" w:cs="Arial" w:eastAsia="Arial" w:hAnsi="Arial"/>
          <w:sz w:val="16"/>
          <w:szCs w:val="16"/>
          <w:color w:val="0956FF"/>
        </w:rPr>
      </w:pPr>
    </w:p>
    <w:p>
      <w:pPr>
        <w:ind w:left="187" w:right="399" w:hanging="187"/>
        <w:spacing w:after="0" w:line="295" w:lineRule="auto"/>
        <w:tabs>
          <w:tab w:leader="none" w:pos="187" w:val="left"/>
        </w:tabs>
        <w:numPr>
          <w:ilvl w:val="0"/>
          <w:numId w:val="44"/>
        </w:numPr>
        <w:rPr>
          <w:rFonts w:ascii="Arial" w:cs="Arial" w:eastAsia="Arial" w:hAnsi="Arial"/>
          <w:sz w:val="16"/>
          <w:szCs w:val="16"/>
          <w:color w:val="0956FF"/>
        </w:rPr>
      </w:pPr>
      <w:r>
        <w:rPr>
          <w:rFonts w:ascii="Arial" w:cs="Arial" w:eastAsia="Arial" w:hAnsi="Arial"/>
          <w:sz w:val="16"/>
          <w:szCs w:val="16"/>
          <w:color w:val="auto"/>
        </w:rPr>
        <w:t>Reviews management’s evaluation of strategic and operating risks, including risk concentrations, product safety, quarterly information security reports, mitigating measures, and the types and levels of risk that are acceptable in the pursuit and protection of shareholder value; and</w:t>
      </w:r>
    </w:p>
    <w:p>
      <w:pPr>
        <w:spacing w:after="0" w:line="13" w:lineRule="exact"/>
        <w:rPr>
          <w:rFonts w:ascii="Arial" w:cs="Arial" w:eastAsia="Arial" w:hAnsi="Arial"/>
          <w:sz w:val="16"/>
          <w:szCs w:val="16"/>
          <w:color w:val="0956FF"/>
        </w:rPr>
      </w:pPr>
    </w:p>
    <w:p>
      <w:pPr>
        <w:ind w:left="187" w:right="439" w:hanging="187"/>
        <w:spacing w:after="0" w:line="321" w:lineRule="auto"/>
        <w:tabs>
          <w:tab w:leader="none" w:pos="187" w:val="left"/>
        </w:tabs>
        <w:numPr>
          <w:ilvl w:val="0"/>
          <w:numId w:val="44"/>
        </w:numPr>
        <w:rPr>
          <w:rFonts w:ascii="Arial" w:cs="Arial" w:eastAsia="Arial" w:hAnsi="Arial"/>
          <w:sz w:val="16"/>
          <w:szCs w:val="16"/>
          <w:color w:val="0956FF"/>
        </w:rPr>
      </w:pPr>
      <w:r>
        <w:rPr>
          <w:rFonts w:ascii="Arial" w:cs="Arial" w:eastAsia="Arial" w:hAnsi="Arial"/>
          <w:sz w:val="16"/>
          <w:szCs w:val="16"/>
          <w:color w:val="auto"/>
        </w:rPr>
        <w:t>Reviews the Company’s risk culture, including the integration of risk management into the Company’s behaviors, decision-making, and processes.</w:t>
      </w:r>
    </w:p>
    <w:p>
      <w:pPr>
        <w:spacing w:after="0" w:line="26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2025 Discussion Highlights</w:t>
      </w:r>
    </w:p>
    <w:p>
      <w:pPr>
        <w:spacing w:after="0" w:line="99" w:lineRule="exact"/>
        <w:rPr>
          <w:sz w:val="20"/>
          <w:szCs w:val="20"/>
          <w:color w:val="auto"/>
        </w:rPr>
      </w:pPr>
    </w:p>
    <w:p>
      <w:pPr>
        <w:ind w:left="187" w:right="539" w:hanging="187"/>
        <w:spacing w:after="0" w:line="316" w:lineRule="auto"/>
        <w:tabs>
          <w:tab w:leader="none" w:pos="187" w:val="left"/>
        </w:tabs>
        <w:numPr>
          <w:ilvl w:val="0"/>
          <w:numId w:val="45"/>
        </w:numPr>
        <w:rPr>
          <w:rFonts w:ascii="Arial" w:cs="Arial" w:eastAsia="Arial" w:hAnsi="Arial"/>
          <w:sz w:val="16"/>
          <w:szCs w:val="16"/>
          <w:color w:val="0956FF"/>
        </w:rPr>
      </w:pPr>
      <w:r>
        <w:rPr>
          <w:rFonts w:ascii="Arial" w:cs="Arial" w:eastAsia="Arial" w:hAnsi="Arial"/>
          <w:sz w:val="16"/>
          <w:szCs w:val="16"/>
          <w:color w:val="auto"/>
        </w:rPr>
        <w:t>Reviewed annual risk assessment results and provided guidance to management on the most significant risks to the Company’s strategy and key strategic initiatives.</w:t>
      </w:r>
    </w:p>
    <w:p>
      <w:pPr>
        <w:spacing w:after="0" w:line="1" w:lineRule="exact"/>
        <w:rPr>
          <w:rFonts w:ascii="Arial" w:cs="Arial" w:eastAsia="Arial" w:hAnsi="Arial"/>
          <w:sz w:val="16"/>
          <w:szCs w:val="16"/>
          <w:color w:val="0956FF"/>
        </w:rPr>
      </w:pPr>
    </w:p>
    <w:p>
      <w:pPr>
        <w:ind w:left="187" w:right="1059" w:hanging="187"/>
        <w:spacing w:after="0" w:line="316" w:lineRule="auto"/>
        <w:tabs>
          <w:tab w:leader="none" w:pos="187" w:val="left"/>
        </w:tabs>
        <w:numPr>
          <w:ilvl w:val="0"/>
          <w:numId w:val="45"/>
        </w:numPr>
        <w:rPr>
          <w:rFonts w:ascii="Arial" w:cs="Arial" w:eastAsia="Arial" w:hAnsi="Arial"/>
          <w:sz w:val="16"/>
          <w:szCs w:val="16"/>
          <w:color w:val="0956FF"/>
        </w:rPr>
      </w:pPr>
      <w:r>
        <w:rPr>
          <w:rFonts w:ascii="Arial" w:cs="Arial" w:eastAsia="Arial" w:hAnsi="Arial"/>
          <w:sz w:val="16"/>
          <w:szCs w:val="16"/>
          <w:color w:val="auto"/>
        </w:rPr>
        <w:t>Conducted reviews of key enterprise risks, including related to OEM competitors, geopolitical hot spots, and supply chain resiliency.</w:t>
      </w:r>
    </w:p>
    <w:p>
      <w:pPr>
        <w:spacing w:after="0" w:line="1" w:lineRule="exact"/>
        <w:rPr>
          <w:rFonts w:ascii="Arial" w:cs="Arial" w:eastAsia="Arial" w:hAnsi="Arial"/>
          <w:sz w:val="16"/>
          <w:szCs w:val="16"/>
          <w:color w:val="0956FF"/>
        </w:rPr>
      </w:pPr>
    </w:p>
    <w:p>
      <w:pPr>
        <w:ind w:left="187" w:right="399" w:hanging="187"/>
        <w:spacing w:after="0" w:line="321" w:lineRule="auto"/>
        <w:tabs>
          <w:tab w:leader="none" w:pos="187" w:val="left"/>
        </w:tabs>
        <w:numPr>
          <w:ilvl w:val="0"/>
          <w:numId w:val="45"/>
        </w:numPr>
        <w:rPr>
          <w:rFonts w:ascii="Arial" w:cs="Arial" w:eastAsia="Arial" w:hAnsi="Arial"/>
          <w:sz w:val="16"/>
          <w:szCs w:val="16"/>
          <w:color w:val="0956FF"/>
        </w:rPr>
      </w:pPr>
      <w:r>
        <w:rPr>
          <w:rFonts w:ascii="Arial" w:cs="Arial" w:eastAsia="Arial" w:hAnsi="Arial"/>
          <w:sz w:val="16"/>
          <w:szCs w:val="16"/>
          <w:color w:val="auto"/>
        </w:rPr>
        <w:t>Approved the Company’s 2026 cybersecurity budget and closely monitored the integration of the information technology and cybersecurity functions under one organization.</w:t>
      </w:r>
    </w:p>
    <w:p>
      <w:pPr>
        <w:spacing w:after="0" w:line="200" w:lineRule="exact"/>
        <w:rPr>
          <w:sz w:val="20"/>
          <w:szCs w:val="20"/>
          <w:color w:val="auto"/>
        </w:rPr>
      </w:pPr>
    </w:p>
    <w:p>
      <w:pPr>
        <w:sectPr>
          <w:pgSz w:w="11900" w:h="16838" w:orient="portrait"/>
          <w:cols w:equalWidth="0" w:num="2">
            <w:col w:w="1440" w:space="573"/>
            <w:col w:w="7046"/>
          </w:cols>
          <w:pgMar w:left="1400" w:top="657" w:right="1440" w:bottom="1440" w:gutter="0" w:footer="0" w:header="0"/>
          <w:type w:val="continuous"/>
        </w:sectPr>
      </w:pPr>
    </w:p>
    <w:p>
      <w:pPr>
        <w:spacing w:after="0" w:line="175"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0956FF"/>
        </w:rPr>
        <w:t>Executive</w:t>
      </w:r>
    </w:p>
    <w:p>
      <w:pPr>
        <w:spacing w:after="0" w:line="114" w:lineRule="exact"/>
        <w:rPr>
          <w:sz w:val="20"/>
          <w:szCs w:val="20"/>
          <w:color w:val="auto"/>
        </w:rPr>
      </w:pPr>
    </w:p>
    <w:p>
      <w:pPr>
        <w:ind w:left="2020"/>
        <w:spacing w:after="0"/>
        <w:rPr>
          <w:sz w:val="20"/>
          <w:szCs w:val="20"/>
          <w:color w:val="auto"/>
        </w:rPr>
      </w:pPr>
      <w:r>
        <w:rPr>
          <w:rFonts w:ascii="Arial" w:cs="Arial" w:eastAsia="Arial" w:hAnsi="Arial"/>
          <w:sz w:val="22"/>
          <w:szCs w:val="22"/>
          <w:b w:val="1"/>
          <w:bCs w:val="1"/>
          <w:color w:val="auto"/>
        </w:rPr>
        <w:t>Key Responsibilities</w:t>
      </w:r>
    </w:p>
    <w:p>
      <w:pPr>
        <w:spacing w:after="0" w:line="112" w:lineRule="exact"/>
        <w:rPr>
          <w:sz w:val="20"/>
          <w:szCs w:val="20"/>
          <w:color w:val="auto"/>
        </w:rPr>
      </w:pPr>
    </w:p>
    <w:p>
      <w:pPr>
        <w:ind w:left="2200" w:right="239" w:hanging="179"/>
        <w:spacing w:after="0" w:line="316" w:lineRule="auto"/>
        <w:tabs>
          <w:tab w:leader="none" w:pos="2180" w:val="left"/>
        </w:tabs>
        <w:rPr>
          <w:sz w:val="20"/>
          <w:szCs w:val="20"/>
          <w:color w:val="auto"/>
        </w:rPr>
      </w:pPr>
      <w:r>
        <w:rPr>
          <w:rFonts w:ascii="Arial" w:cs="Arial" w:eastAsia="Arial" w:hAnsi="Arial"/>
          <w:sz w:val="16"/>
          <w:szCs w:val="16"/>
          <w:color w:val="0956FF"/>
        </w:rPr>
        <w:t>•</w:t>
      </w:r>
      <w:r>
        <w:rPr>
          <w:rFonts w:ascii="Arial" w:cs="Arial" w:eastAsia="Arial" w:hAnsi="Arial"/>
          <w:sz w:val="16"/>
          <w:szCs w:val="16"/>
          <w:color w:val="auto"/>
        </w:rPr>
        <w:tab/>
        <w:t>Composed of the Board Chair and CEO, the Independent Lead Director, and the chairs of all other standing committees;</w:t>
      </w:r>
    </w:p>
    <w:p>
      <w:pPr>
        <w:spacing w:after="0" w:line="2" w:lineRule="exact"/>
        <w:rPr>
          <w:sz w:val="20"/>
          <w:szCs w:val="20"/>
          <w:color w:val="auto"/>
        </w:rPr>
      </w:pPr>
    </w:p>
    <w:p>
      <w:pPr>
        <w:ind w:left="2200" w:right="759" w:hanging="179"/>
        <w:spacing w:after="0" w:line="304" w:lineRule="auto"/>
        <w:tabs>
          <w:tab w:leader="none" w:pos="2180" w:val="left"/>
        </w:tabs>
        <w:rPr>
          <w:sz w:val="20"/>
          <w:szCs w:val="20"/>
          <w:color w:val="auto"/>
        </w:rPr>
      </w:pPr>
      <w:r>
        <w:rPr>
          <w:rFonts w:ascii="Arial" w:cs="Arial" w:eastAsia="Arial" w:hAnsi="Arial"/>
          <w:sz w:val="16"/>
          <w:szCs w:val="16"/>
          <w:color w:val="0956FF"/>
        </w:rPr>
        <w:t>•</w:t>
      </w:r>
      <w:r>
        <w:rPr>
          <w:rFonts w:ascii="Arial" w:cs="Arial" w:eastAsia="Arial" w:hAnsi="Arial"/>
          <w:sz w:val="16"/>
          <w:szCs w:val="16"/>
          <w:color w:val="auto"/>
        </w:rPr>
        <w:tab/>
        <w:t>Chaired by Ms. Barra and acts on certain limited matters for the full Board in intervals between meetings of the Board; and</w:t>
      </w:r>
    </w:p>
    <w:p>
      <w:pPr>
        <w:spacing w:after="0" w:line="6" w:lineRule="exact"/>
        <w:rPr>
          <w:sz w:val="20"/>
          <w:szCs w:val="20"/>
          <w:color w:val="auto"/>
        </w:rPr>
      </w:pPr>
    </w:p>
    <w:p>
      <w:pPr>
        <w:ind w:left="2020"/>
        <w:spacing w:after="0"/>
        <w:tabs>
          <w:tab w:leader="none" w:pos="2180" w:val="left"/>
        </w:tabs>
        <w:rPr>
          <w:sz w:val="20"/>
          <w:szCs w:val="20"/>
          <w:color w:val="auto"/>
        </w:rPr>
      </w:pPr>
      <w:r>
        <w:rPr>
          <w:rFonts w:ascii="Arial" w:cs="Arial" w:eastAsia="Arial" w:hAnsi="Arial"/>
          <w:sz w:val="16"/>
          <w:szCs w:val="16"/>
          <w:color w:val="0956FF"/>
        </w:rPr>
        <w:t>•</w:t>
      </w:r>
      <w:r>
        <w:rPr>
          <w:rFonts w:ascii="Arial" w:cs="Arial" w:eastAsia="Arial" w:hAnsi="Arial"/>
          <w:sz w:val="16"/>
          <w:szCs w:val="16"/>
          <w:color w:val="auto"/>
        </w:rPr>
        <w:tab/>
        <w:t>Meets as necessary, and all actions by the Executive Committee are reported and ratified at</w:t>
      </w:r>
    </w:p>
    <w:p>
      <w:pPr>
        <w:ind w:left="2200"/>
        <w:spacing w:after="0" w:line="235" w:lineRule="auto"/>
        <w:rPr>
          <w:sz w:val="20"/>
          <w:szCs w:val="20"/>
          <w:color w:val="auto"/>
        </w:rPr>
      </w:pPr>
      <w:r>
        <w:rPr>
          <w:rFonts w:ascii="Arial" w:cs="Arial" w:eastAsia="Arial" w:hAnsi="Arial"/>
          <w:sz w:val="16"/>
          <w:szCs w:val="16"/>
          <w:color w:val="auto"/>
        </w:rPr>
        <w:t>the next succeeding Board meeting.</w:t>
      </w:r>
    </w:p>
    <w:p>
      <w:pPr>
        <w:ind w:left="60"/>
        <w:spacing w:after="0"/>
        <w:rPr>
          <w:sz w:val="20"/>
          <w:szCs w:val="20"/>
          <w:color w:val="auto"/>
        </w:rPr>
      </w:pPr>
      <w:r>
        <w:rPr>
          <w:rFonts w:ascii="Arial" w:cs="Arial" w:eastAsia="Arial" w:hAnsi="Arial"/>
          <w:sz w:val="18"/>
          <w:szCs w:val="18"/>
          <w:b w:val="1"/>
          <w:bCs w:val="1"/>
          <w:color w:val="0956FF"/>
        </w:rPr>
        <w:t>Mary T. Barra</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Chair</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Committee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Members: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Wesley G. Bush</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Joseph Jimenez</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Judith A. Miscik</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Patricia F. Russo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Devin Wenig</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Meetings held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2025:</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0</w:t>
      </w:r>
    </w:p>
    <w:p>
      <w:pPr>
        <w:sectPr>
          <w:pgSz w:w="11900" w:h="16838" w:orient="portrait"/>
          <w:cols w:equalWidth="0" w:num="1">
            <w:col w:w="9059"/>
          </w:cols>
          <w:pgMar w:left="140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9059"/>
          </w:cols>
          <w:pgMar w:left="1400" w:top="657" w:right="1440"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The Board’s Role and Responsibilities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Oversight of Strategy</w:t>
      </w:r>
    </w:p>
    <w:p>
      <w:pPr>
        <w:spacing w:after="0" w:line="132" w:lineRule="exact"/>
        <w:rPr>
          <w:sz w:val="20"/>
          <w:szCs w:val="20"/>
          <w:color w:val="auto"/>
        </w:rPr>
      </w:pPr>
    </w:p>
    <w:p>
      <w:pPr>
        <w:ind w:right="320"/>
        <w:spacing w:after="0" w:line="223" w:lineRule="exact"/>
        <w:rPr>
          <w:sz w:val="20"/>
          <w:szCs w:val="20"/>
          <w:color w:val="auto"/>
        </w:rPr>
      </w:pPr>
      <w:r>
        <w:rPr>
          <w:rFonts w:ascii="Arial" w:cs="Arial" w:eastAsia="Arial" w:hAnsi="Arial"/>
          <w:sz w:val="16"/>
          <w:szCs w:val="16"/>
          <w:color w:val="auto"/>
        </w:rPr>
        <w:t>One of the Board’s primary responsibilities is overseeing management’s establishment and execution of its corporate strategy. At least annually, management reviews the overall corporate strategy and key strategic risks with the Board. Throughout the year, the Board monitors progress against the strategic plan to ensure alignment with long</w:t>
      </w:r>
      <w:r>
        <w:rPr>
          <w:rFonts w:ascii="MS PGothic" w:cs="MS PGothic" w:eastAsia="MS PGothic" w:hAnsi="MS PGothic"/>
          <w:sz w:val="16"/>
          <w:szCs w:val="16"/>
          <w:color w:val="auto"/>
        </w:rPr>
        <w:t>‑</w:t>
      </w:r>
      <w:r>
        <w:rPr>
          <w:rFonts w:ascii="Arial" w:cs="Arial" w:eastAsia="Arial" w:hAnsi="Arial"/>
          <w:sz w:val="16"/>
          <w:szCs w:val="16"/>
          <w:color w:val="auto"/>
        </w:rPr>
        <w:t>term objectives.</w:t>
      </w:r>
    </w:p>
    <w:p>
      <w:pPr>
        <w:spacing w:after="0" w:line="8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and Committee Oversight of Risk</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Board of Directors</w:t>
      </w:r>
    </w:p>
    <w:p>
      <w:pPr>
        <w:spacing w:after="0" w:line="77" w:lineRule="exact"/>
        <w:rPr>
          <w:sz w:val="20"/>
          <w:szCs w:val="20"/>
          <w:color w:val="auto"/>
        </w:rPr>
      </w:pPr>
    </w:p>
    <w:p>
      <w:pPr>
        <w:ind w:left="400" w:hanging="196"/>
        <w:spacing w:after="0"/>
        <w:tabs>
          <w:tab w:leader="none" w:pos="400" w:val="left"/>
        </w:tabs>
        <w:numPr>
          <w:ilvl w:val="0"/>
          <w:numId w:val="46"/>
        </w:numPr>
        <w:rPr>
          <w:rFonts w:ascii="Arial" w:cs="Arial" w:eastAsia="Arial" w:hAnsi="Arial"/>
          <w:sz w:val="14"/>
          <w:szCs w:val="14"/>
          <w:color w:val="0956FF"/>
        </w:rPr>
      </w:pPr>
      <w:r>
        <w:rPr>
          <w:rFonts w:ascii="Arial" w:cs="Arial" w:eastAsia="Arial" w:hAnsi="Arial"/>
          <w:sz w:val="14"/>
          <w:szCs w:val="14"/>
          <w:color w:val="auto"/>
        </w:rPr>
        <w:t>The Board has overall responsibility for risk oversight and focuses on the most significant risks facing the Company.</w:t>
      </w:r>
    </w:p>
    <w:p>
      <w:pPr>
        <w:spacing w:after="0" w:line="55" w:lineRule="exact"/>
        <w:rPr>
          <w:rFonts w:ascii="Arial" w:cs="Arial" w:eastAsia="Arial" w:hAnsi="Arial"/>
          <w:sz w:val="14"/>
          <w:szCs w:val="14"/>
          <w:color w:val="0956FF"/>
        </w:rPr>
      </w:pPr>
    </w:p>
    <w:p>
      <w:pPr>
        <w:ind w:left="400" w:hanging="196"/>
        <w:spacing w:after="0"/>
        <w:tabs>
          <w:tab w:leader="none" w:pos="400" w:val="left"/>
        </w:tabs>
        <w:numPr>
          <w:ilvl w:val="0"/>
          <w:numId w:val="46"/>
        </w:numPr>
        <w:rPr>
          <w:rFonts w:ascii="Arial" w:cs="Arial" w:eastAsia="Arial" w:hAnsi="Arial"/>
          <w:sz w:val="14"/>
          <w:szCs w:val="14"/>
          <w:color w:val="0956FF"/>
        </w:rPr>
      </w:pPr>
      <w:r>
        <w:rPr>
          <w:rFonts w:ascii="Arial" w:cs="Arial" w:eastAsia="Arial" w:hAnsi="Arial"/>
          <w:sz w:val="14"/>
          <w:szCs w:val="14"/>
          <w:color w:val="auto"/>
        </w:rPr>
        <w:t>The Board discharges its risk oversight responsibilities, in part, through delegation to its committees.</w:t>
      </w:r>
    </w:p>
    <w:p>
      <w:pPr>
        <w:spacing w:after="0" w:line="68" w:lineRule="exact"/>
        <w:rPr>
          <w:rFonts w:ascii="Arial" w:cs="Arial" w:eastAsia="Arial" w:hAnsi="Arial"/>
          <w:sz w:val="14"/>
          <w:szCs w:val="14"/>
          <w:color w:val="0956FF"/>
        </w:rPr>
      </w:pPr>
    </w:p>
    <w:p>
      <w:pPr>
        <w:ind w:left="400" w:right="620" w:hanging="196"/>
        <w:spacing w:after="0" w:line="272" w:lineRule="auto"/>
        <w:tabs>
          <w:tab w:leader="none" w:pos="400" w:val="left"/>
        </w:tabs>
        <w:numPr>
          <w:ilvl w:val="0"/>
          <w:numId w:val="46"/>
        </w:numPr>
        <w:rPr>
          <w:rFonts w:ascii="Arial" w:cs="Arial" w:eastAsia="Arial" w:hAnsi="Arial"/>
          <w:sz w:val="14"/>
          <w:szCs w:val="14"/>
          <w:color w:val="0956FF"/>
        </w:rPr>
      </w:pPr>
      <w:r>
        <w:rPr>
          <w:rFonts w:ascii="Arial" w:cs="Arial" w:eastAsia="Arial" w:hAnsi="Arial"/>
          <w:sz w:val="14"/>
          <w:szCs w:val="14"/>
          <w:color w:val="auto"/>
        </w:rPr>
        <w:t>The Board delegates oversight for certain risks to each committee based on the risk categories relevant to the subject matter of the committee.</w:t>
      </w:r>
    </w:p>
    <w:p>
      <w:pPr>
        <w:spacing w:after="0" w:line="13" w:lineRule="exact"/>
        <w:rPr>
          <w:rFonts w:ascii="Arial" w:cs="Arial" w:eastAsia="Arial" w:hAnsi="Arial"/>
          <w:sz w:val="14"/>
          <w:szCs w:val="14"/>
          <w:color w:val="0956FF"/>
        </w:rPr>
      </w:pPr>
    </w:p>
    <w:p>
      <w:pPr>
        <w:ind w:left="400" w:right="1340" w:hanging="196"/>
        <w:spacing w:after="0" w:line="311" w:lineRule="auto"/>
        <w:tabs>
          <w:tab w:leader="none" w:pos="400" w:val="left"/>
        </w:tabs>
        <w:numPr>
          <w:ilvl w:val="0"/>
          <w:numId w:val="46"/>
        </w:numPr>
        <w:rPr>
          <w:rFonts w:ascii="Arial" w:cs="Arial" w:eastAsia="Arial" w:hAnsi="Arial"/>
          <w:sz w:val="16"/>
          <w:szCs w:val="16"/>
          <w:color w:val="0956FF"/>
        </w:rPr>
      </w:pPr>
      <w:r>
        <w:rPr>
          <w:rFonts w:ascii="Arial" w:cs="Arial" w:eastAsia="Arial" w:hAnsi="Arial"/>
          <w:sz w:val="14"/>
          <w:szCs w:val="14"/>
          <w:color w:val="auto"/>
        </w:rPr>
        <w:t>Each committee chair reports to the Board after each meeting on the topics and risks reviewed and the outcomes of those discussions.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160" w:type="dxa"/>
            <w:vAlign w:val="bottom"/>
            <w:tcBorders>
              <w:top w:val="single" w:sz="8" w:color="0956FF"/>
            </w:tcBorders>
            <w:shd w:val="clear" w:color="auto" w:fill="ECEBEB"/>
          </w:tcPr>
          <w:p>
            <w:pPr>
              <w:spacing w:after="0"/>
              <w:rPr>
                <w:sz w:val="24"/>
                <w:szCs w:val="24"/>
                <w:color w:val="auto"/>
              </w:rPr>
            </w:pPr>
          </w:p>
        </w:tc>
        <w:tc>
          <w:tcPr>
            <w:tcW w:w="2320" w:type="dxa"/>
            <w:vAlign w:val="bottom"/>
            <w:tcBorders>
              <w:top w:val="single" w:sz="8" w:color="0956FF"/>
            </w:tcBorders>
            <w:shd w:val="clear" w:color="auto" w:fill="ECEBEB"/>
          </w:tcPr>
          <w:p>
            <w:pPr>
              <w:ind w:left="40"/>
              <w:spacing w:after="0"/>
              <w:rPr>
                <w:sz w:val="20"/>
                <w:szCs w:val="20"/>
                <w:color w:val="auto"/>
              </w:rPr>
            </w:pPr>
            <w:r>
              <w:rPr>
                <w:rFonts w:ascii="Arial" w:cs="Arial" w:eastAsia="Arial" w:hAnsi="Arial"/>
                <w:sz w:val="16"/>
                <w:szCs w:val="16"/>
                <w:b w:val="1"/>
                <w:bCs w:val="1"/>
                <w:color w:val="auto"/>
              </w:rPr>
              <w:t>Audit Committee</w:t>
            </w:r>
          </w:p>
        </w:tc>
        <w:tc>
          <w:tcPr>
            <w:tcW w:w="6600" w:type="dxa"/>
            <w:vAlign w:val="bottom"/>
            <w:tcBorders>
              <w:top w:val="single" w:sz="8" w:color="0956FF"/>
            </w:tcBorders>
          </w:tcPr>
          <w:p>
            <w:pPr>
              <w:ind w:left="1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4"/>
                <w:szCs w:val="14"/>
                <w:color w:val="000000"/>
              </w:rPr>
              <w:t>Oversees risks related to (i) financial reporting, internal disclosure controls, and auditing</w:t>
            </w:r>
          </w:p>
        </w:tc>
      </w:tr>
      <w:tr>
        <w:trPr>
          <w:trHeight w:val="190"/>
        </w:trPr>
        <w:tc>
          <w:tcPr>
            <w:tcW w:w="160" w:type="dxa"/>
            <w:vAlign w:val="bottom"/>
            <w:shd w:val="clear" w:color="auto" w:fill="ECEBEB"/>
          </w:tcPr>
          <w:p>
            <w:pPr>
              <w:spacing w:after="0"/>
              <w:rPr>
                <w:sz w:val="16"/>
                <w:szCs w:val="16"/>
                <w:color w:val="auto"/>
              </w:rPr>
            </w:pPr>
          </w:p>
        </w:tc>
        <w:tc>
          <w:tcPr>
            <w:tcW w:w="2320" w:type="dxa"/>
            <w:vAlign w:val="bottom"/>
            <w:shd w:val="clear" w:color="auto" w:fill="ECEBEB"/>
          </w:tcPr>
          <w:p>
            <w:pPr>
              <w:spacing w:after="0"/>
              <w:rPr>
                <w:sz w:val="16"/>
                <w:szCs w:val="16"/>
                <w:color w:val="auto"/>
              </w:rPr>
            </w:pPr>
          </w:p>
        </w:tc>
        <w:tc>
          <w:tcPr>
            <w:tcW w:w="6600" w:type="dxa"/>
            <w:vAlign w:val="bottom"/>
          </w:tcPr>
          <w:p>
            <w:pPr>
              <w:ind w:left="360"/>
              <w:spacing w:after="0"/>
              <w:rPr>
                <w:sz w:val="20"/>
                <w:szCs w:val="20"/>
                <w:color w:val="auto"/>
              </w:rPr>
            </w:pPr>
            <w:r>
              <w:rPr>
                <w:rFonts w:ascii="Arial" w:cs="Arial" w:eastAsia="Arial" w:hAnsi="Arial"/>
                <w:sz w:val="14"/>
                <w:szCs w:val="14"/>
                <w:color w:val="auto"/>
              </w:rPr>
              <w:t>matters; and (ii) legal, regulatory, and compliance programs.</w:t>
            </w:r>
          </w:p>
        </w:tc>
      </w:tr>
      <w:tr>
        <w:trPr>
          <w:trHeight w:val="76"/>
        </w:trPr>
        <w:tc>
          <w:tcPr>
            <w:tcW w:w="160" w:type="dxa"/>
            <w:vAlign w:val="bottom"/>
            <w:tcBorders>
              <w:bottom w:val="single" w:sz="8" w:color="ECEBEB"/>
            </w:tcBorders>
            <w:shd w:val="clear" w:color="auto" w:fill="ECEBEB"/>
          </w:tcPr>
          <w:p>
            <w:pPr>
              <w:spacing w:after="0"/>
              <w:rPr>
                <w:sz w:val="6"/>
                <w:szCs w:val="6"/>
                <w:color w:val="auto"/>
              </w:rPr>
            </w:pPr>
          </w:p>
        </w:tc>
        <w:tc>
          <w:tcPr>
            <w:tcW w:w="2320" w:type="dxa"/>
            <w:vAlign w:val="bottom"/>
            <w:tcBorders>
              <w:bottom w:val="single" w:sz="8" w:color="D8D7D7"/>
            </w:tcBorders>
            <w:shd w:val="clear" w:color="auto" w:fill="ECEBEB"/>
          </w:tcPr>
          <w:p>
            <w:pPr>
              <w:spacing w:after="0"/>
              <w:rPr>
                <w:sz w:val="6"/>
                <w:szCs w:val="6"/>
                <w:color w:val="auto"/>
              </w:rPr>
            </w:pPr>
          </w:p>
        </w:tc>
        <w:tc>
          <w:tcPr>
            <w:tcW w:w="6600" w:type="dxa"/>
            <w:vAlign w:val="bottom"/>
            <w:tcBorders>
              <w:bottom w:val="single" w:sz="8" w:color="D8D7D7"/>
            </w:tcBorders>
          </w:tcPr>
          <w:p>
            <w:pPr>
              <w:spacing w:after="0"/>
              <w:rPr>
                <w:sz w:val="6"/>
                <w:szCs w:val="6"/>
                <w:color w:val="auto"/>
              </w:rPr>
            </w:pPr>
          </w:p>
        </w:tc>
      </w:tr>
      <w:tr>
        <w:trPr>
          <w:trHeight w:val="237"/>
        </w:trPr>
        <w:tc>
          <w:tcPr>
            <w:tcW w:w="160" w:type="dxa"/>
            <w:vAlign w:val="bottom"/>
            <w:shd w:val="clear" w:color="auto" w:fill="ECEBEB"/>
          </w:tcPr>
          <w:p>
            <w:pPr>
              <w:spacing w:after="0"/>
              <w:rPr>
                <w:sz w:val="20"/>
                <w:szCs w:val="20"/>
                <w:color w:val="auto"/>
              </w:rPr>
            </w:pPr>
          </w:p>
        </w:tc>
        <w:tc>
          <w:tcPr>
            <w:tcW w:w="2320" w:type="dxa"/>
            <w:vAlign w:val="bottom"/>
            <w:shd w:val="clear" w:color="auto" w:fill="ECEBEB"/>
          </w:tcPr>
          <w:p>
            <w:pPr>
              <w:ind w:left="40"/>
              <w:spacing w:after="0"/>
              <w:rPr>
                <w:sz w:val="20"/>
                <w:szCs w:val="20"/>
                <w:color w:val="auto"/>
              </w:rPr>
            </w:pPr>
            <w:r>
              <w:rPr>
                <w:rFonts w:ascii="Arial" w:cs="Arial" w:eastAsia="Arial" w:hAnsi="Arial"/>
                <w:sz w:val="16"/>
                <w:szCs w:val="16"/>
                <w:b w:val="1"/>
                <w:bCs w:val="1"/>
                <w:color w:val="auto"/>
              </w:rPr>
              <w:t>Executive Compensation</w:t>
            </w:r>
          </w:p>
        </w:tc>
        <w:tc>
          <w:tcPr>
            <w:tcW w:w="6600" w:type="dxa"/>
            <w:vAlign w:val="bottom"/>
          </w:tcPr>
          <w:p>
            <w:pPr>
              <w:ind w:left="1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4"/>
                <w:szCs w:val="14"/>
                <w:color w:val="000000"/>
              </w:rPr>
              <w:t>Oversees risks related to executive and employee compensation plans, including through the</w:t>
            </w:r>
          </w:p>
        </w:tc>
      </w:tr>
      <w:tr>
        <w:trPr>
          <w:trHeight w:val="248"/>
        </w:trPr>
        <w:tc>
          <w:tcPr>
            <w:tcW w:w="160" w:type="dxa"/>
            <w:vAlign w:val="bottom"/>
            <w:shd w:val="clear" w:color="auto" w:fill="ECEBEB"/>
          </w:tcPr>
          <w:p>
            <w:pPr>
              <w:spacing w:after="0"/>
              <w:rPr>
                <w:sz w:val="21"/>
                <w:szCs w:val="21"/>
                <w:color w:val="auto"/>
              </w:rPr>
            </w:pPr>
          </w:p>
        </w:tc>
        <w:tc>
          <w:tcPr>
            <w:tcW w:w="2320" w:type="dxa"/>
            <w:vAlign w:val="bottom"/>
            <w:shd w:val="clear" w:color="auto" w:fill="ECEBEB"/>
          </w:tcPr>
          <w:p>
            <w:pPr>
              <w:ind w:left="40"/>
              <w:spacing w:after="0"/>
              <w:rPr>
                <w:sz w:val="20"/>
                <w:szCs w:val="20"/>
                <w:color w:val="auto"/>
              </w:rPr>
            </w:pPr>
            <w:r>
              <w:rPr>
                <w:rFonts w:ascii="Arial" w:cs="Arial" w:eastAsia="Arial" w:hAnsi="Arial"/>
                <w:sz w:val="16"/>
                <w:szCs w:val="16"/>
                <w:b w:val="1"/>
                <w:bCs w:val="1"/>
                <w:color w:val="auto"/>
              </w:rPr>
              <w:t>Committee</w:t>
            </w:r>
          </w:p>
        </w:tc>
        <w:tc>
          <w:tcPr>
            <w:tcW w:w="6600" w:type="dxa"/>
            <w:vAlign w:val="bottom"/>
          </w:tcPr>
          <w:p>
            <w:pPr>
              <w:ind w:left="360"/>
              <w:spacing w:after="0"/>
              <w:rPr>
                <w:sz w:val="20"/>
                <w:szCs w:val="20"/>
                <w:color w:val="auto"/>
              </w:rPr>
            </w:pPr>
            <w:r>
              <w:rPr>
                <w:rFonts w:ascii="Arial" w:cs="Arial" w:eastAsia="Arial" w:hAnsi="Arial"/>
                <w:sz w:val="14"/>
                <w:szCs w:val="14"/>
                <w:color w:val="auto"/>
              </w:rPr>
              <w:t>design of compensation plans that promote prudent risk management and unnecessary</w:t>
            </w:r>
          </w:p>
        </w:tc>
      </w:tr>
      <w:tr>
        <w:trPr>
          <w:trHeight w:val="203"/>
        </w:trPr>
        <w:tc>
          <w:tcPr>
            <w:tcW w:w="160" w:type="dxa"/>
            <w:vAlign w:val="bottom"/>
            <w:shd w:val="clear" w:color="auto" w:fill="ECEBEB"/>
          </w:tcPr>
          <w:p>
            <w:pPr>
              <w:spacing w:after="0"/>
              <w:rPr>
                <w:sz w:val="17"/>
                <w:szCs w:val="17"/>
                <w:color w:val="auto"/>
              </w:rPr>
            </w:pPr>
          </w:p>
        </w:tc>
        <w:tc>
          <w:tcPr>
            <w:tcW w:w="2320" w:type="dxa"/>
            <w:vAlign w:val="bottom"/>
            <w:shd w:val="clear" w:color="auto" w:fill="ECEBEB"/>
          </w:tcPr>
          <w:p>
            <w:pPr>
              <w:spacing w:after="0"/>
              <w:rPr>
                <w:sz w:val="17"/>
                <w:szCs w:val="17"/>
                <w:color w:val="auto"/>
              </w:rPr>
            </w:pPr>
          </w:p>
        </w:tc>
        <w:tc>
          <w:tcPr>
            <w:tcW w:w="6600" w:type="dxa"/>
            <w:vAlign w:val="bottom"/>
          </w:tcPr>
          <w:p>
            <w:pPr>
              <w:ind w:left="360"/>
              <w:spacing w:after="0"/>
              <w:rPr>
                <w:sz w:val="20"/>
                <w:szCs w:val="20"/>
                <w:color w:val="auto"/>
              </w:rPr>
            </w:pPr>
            <w:r>
              <w:rPr>
                <w:rFonts w:ascii="Arial" w:cs="Arial" w:eastAsia="Arial" w:hAnsi="Arial"/>
                <w:sz w:val="14"/>
                <w:szCs w:val="14"/>
                <w:color w:val="auto"/>
              </w:rPr>
              <w:t>risk taking.</w:t>
            </w:r>
          </w:p>
        </w:tc>
      </w:tr>
      <w:tr>
        <w:trPr>
          <w:trHeight w:val="89"/>
        </w:trPr>
        <w:tc>
          <w:tcPr>
            <w:tcW w:w="160" w:type="dxa"/>
            <w:vAlign w:val="bottom"/>
            <w:tcBorders>
              <w:bottom w:val="single" w:sz="8" w:color="ECEBEB"/>
            </w:tcBorders>
            <w:shd w:val="clear" w:color="auto" w:fill="ECEBEB"/>
          </w:tcPr>
          <w:p>
            <w:pPr>
              <w:spacing w:after="0"/>
              <w:rPr>
                <w:sz w:val="7"/>
                <w:szCs w:val="7"/>
                <w:color w:val="auto"/>
              </w:rPr>
            </w:pPr>
          </w:p>
        </w:tc>
        <w:tc>
          <w:tcPr>
            <w:tcW w:w="2320" w:type="dxa"/>
            <w:vAlign w:val="bottom"/>
            <w:tcBorders>
              <w:bottom w:val="single" w:sz="8" w:color="D8D7D7"/>
            </w:tcBorders>
            <w:shd w:val="clear" w:color="auto" w:fill="ECEBEB"/>
          </w:tcPr>
          <w:p>
            <w:pPr>
              <w:spacing w:after="0"/>
              <w:rPr>
                <w:sz w:val="7"/>
                <w:szCs w:val="7"/>
                <w:color w:val="auto"/>
              </w:rPr>
            </w:pPr>
          </w:p>
        </w:tc>
        <w:tc>
          <w:tcPr>
            <w:tcW w:w="6600" w:type="dxa"/>
            <w:vAlign w:val="bottom"/>
            <w:tcBorders>
              <w:bottom w:val="single" w:sz="8" w:color="D8D7D7"/>
            </w:tcBorders>
          </w:tcPr>
          <w:p>
            <w:pPr>
              <w:spacing w:after="0"/>
              <w:rPr>
                <w:sz w:val="7"/>
                <w:szCs w:val="7"/>
                <w:color w:val="auto"/>
              </w:rPr>
            </w:pPr>
          </w:p>
        </w:tc>
      </w:tr>
      <w:tr>
        <w:trPr>
          <w:trHeight w:val="295"/>
        </w:trPr>
        <w:tc>
          <w:tcPr>
            <w:tcW w:w="160" w:type="dxa"/>
            <w:vAlign w:val="bottom"/>
            <w:shd w:val="clear" w:color="auto" w:fill="ECEBEB"/>
          </w:tcPr>
          <w:p>
            <w:pPr>
              <w:spacing w:after="0"/>
              <w:rPr>
                <w:sz w:val="24"/>
                <w:szCs w:val="24"/>
                <w:color w:val="auto"/>
              </w:rPr>
            </w:pPr>
          </w:p>
        </w:tc>
        <w:tc>
          <w:tcPr>
            <w:tcW w:w="2320" w:type="dxa"/>
            <w:vAlign w:val="bottom"/>
            <w:shd w:val="clear" w:color="auto" w:fill="ECEBEB"/>
          </w:tcPr>
          <w:p>
            <w:pPr>
              <w:ind w:left="40"/>
              <w:spacing w:after="0"/>
              <w:rPr>
                <w:sz w:val="20"/>
                <w:szCs w:val="20"/>
                <w:color w:val="auto"/>
              </w:rPr>
            </w:pPr>
            <w:r>
              <w:rPr>
                <w:rFonts w:ascii="Arial" w:cs="Arial" w:eastAsia="Arial" w:hAnsi="Arial"/>
                <w:sz w:val="16"/>
                <w:szCs w:val="16"/>
                <w:b w:val="1"/>
                <w:bCs w:val="1"/>
                <w:color w:val="auto"/>
              </w:rPr>
              <w:t>Finance Committee</w:t>
            </w:r>
          </w:p>
        </w:tc>
        <w:tc>
          <w:tcPr>
            <w:tcW w:w="6600" w:type="dxa"/>
            <w:vAlign w:val="bottom"/>
          </w:tcPr>
          <w:p>
            <w:pPr>
              <w:ind w:left="1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4"/>
                <w:szCs w:val="14"/>
                <w:color w:val="000000"/>
              </w:rPr>
              <w:t>Oversees risks related to (i) significant financial exposures and contingent liabilities of the</w:t>
            </w:r>
          </w:p>
        </w:tc>
      </w:tr>
      <w:tr>
        <w:trPr>
          <w:trHeight w:val="190"/>
        </w:trPr>
        <w:tc>
          <w:tcPr>
            <w:tcW w:w="160" w:type="dxa"/>
            <w:vAlign w:val="bottom"/>
            <w:shd w:val="clear" w:color="auto" w:fill="ECEBEB"/>
          </w:tcPr>
          <w:p>
            <w:pPr>
              <w:spacing w:after="0"/>
              <w:rPr>
                <w:sz w:val="16"/>
                <w:szCs w:val="16"/>
                <w:color w:val="auto"/>
              </w:rPr>
            </w:pPr>
          </w:p>
        </w:tc>
        <w:tc>
          <w:tcPr>
            <w:tcW w:w="2320" w:type="dxa"/>
            <w:vAlign w:val="bottom"/>
            <w:shd w:val="clear" w:color="auto" w:fill="ECEBEB"/>
          </w:tcPr>
          <w:p>
            <w:pPr>
              <w:spacing w:after="0"/>
              <w:rPr>
                <w:sz w:val="16"/>
                <w:szCs w:val="16"/>
                <w:color w:val="auto"/>
              </w:rPr>
            </w:pPr>
          </w:p>
        </w:tc>
        <w:tc>
          <w:tcPr>
            <w:tcW w:w="6600" w:type="dxa"/>
            <w:vAlign w:val="bottom"/>
          </w:tcPr>
          <w:p>
            <w:pPr>
              <w:ind w:left="360"/>
              <w:spacing w:after="0"/>
              <w:rPr>
                <w:sz w:val="20"/>
                <w:szCs w:val="20"/>
                <w:color w:val="auto"/>
              </w:rPr>
            </w:pPr>
            <w:r>
              <w:rPr>
                <w:rFonts w:ascii="Arial" w:cs="Arial" w:eastAsia="Arial" w:hAnsi="Arial"/>
                <w:sz w:val="14"/>
                <w:szCs w:val="14"/>
                <w:color w:val="auto"/>
              </w:rPr>
              <w:t>Company; (ii) regulatory compliance of employee-defined benefit plans; and (iii) M&amp;A activity.</w:t>
            </w:r>
          </w:p>
        </w:tc>
      </w:tr>
      <w:tr>
        <w:trPr>
          <w:trHeight w:val="76"/>
        </w:trPr>
        <w:tc>
          <w:tcPr>
            <w:tcW w:w="160" w:type="dxa"/>
            <w:vAlign w:val="bottom"/>
            <w:tcBorders>
              <w:bottom w:val="single" w:sz="8" w:color="ECEBEB"/>
            </w:tcBorders>
            <w:shd w:val="clear" w:color="auto" w:fill="ECEBEB"/>
          </w:tcPr>
          <w:p>
            <w:pPr>
              <w:spacing w:after="0"/>
              <w:rPr>
                <w:sz w:val="6"/>
                <w:szCs w:val="6"/>
                <w:color w:val="auto"/>
              </w:rPr>
            </w:pPr>
          </w:p>
        </w:tc>
        <w:tc>
          <w:tcPr>
            <w:tcW w:w="2320" w:type="dxa"/>
            <w:vAlign w:val="bottom"/>
            <w:tcBorders>
              <w:bottom w:val="single" w:sz="8" w:color="D8D7D7"/>
            </w:tcBorders>
            <w:shd w:val="clear" w:color="auto" w:fill="ECEBEB"/>
          </w:tcPr>
          <w:p>
            <w:pPr>
              <w:spacing w:after="0"/>
              <w:rPr>
                <w:sz w:val="6"/>
                <w:szCs w:val="6"/>
                <w:color w:val="auto"/>
              </w:rPr>
            </w:pPr>
          </w:p>
        </w:tc>
        <w:tc>
          <w:tcPr>
            <w:tcW w:w="6600" w:type="dxa"/>
            <w:vAlign w:val="bottom"/>
            <w:tcBorders>
              <w:bottom w:val="single" w:sz="8" w:color="D8D7D7"/>
            </w:tcBorders>
          </w:tcPr>
          <w:p>
            <w:pPr>
              <w:spacing w:after="0"/>
              <w:rPr>
                <w:sz w:val="6"/>
                <w:szCs w:val="6"/>
                <w:color w:val="auto"/>
              </w:rPr>
            </w:pPr>
          </w:p>
        </w:tc>
      </w:tr>
      <w:tr>
        <w:trPr>
          <w:trHeight w:val="263"/>
        </w:trPr>
        <w:tc>
          <w:tcPr>
            <w:tcW w:w="160" w:type="dxa"/>
            <w:vAlign w:val="bottom"/>
            <w:shd w:val="clear" w:color="auto" w:fill="ECEBEB"/>
          </w:tcPr>
          <w:p>
            <w:pPr>
              <w:spacing w:after="0"/>
              <w:rPr>
                <w:sz w:val="22"/>
                <w:szCs w:val="22"/>
                <w:color w:val="auto"/>
              </w:rPr>
            </w:pPr>
          </w:p>
        </w:tc>
        <w:tc>
          <w:tcPr>
            <w:tcW w:w="2320" w:type="dxa"/>
            <w:vAlign w:val="bottom"/>
            <w:shd w:val="clear" w:color="auto" w:fill="ECEBEB"/>
          </w:tcPr>
          <w:p>
            <w:pPr>
              <w:ind w:left="40"/>
              <w:spacing w:after="0"/>
              <w:rPr>
                <w:sz w:val="20"/>
                <w:szCs w:val="20"/>
                <w:color w:val="auto"/>
              </w:rPr>
            </w:pPr>
            <w:r>
              <w:rPr>
                <w:rFonts w:ascii="Arial" w:cs="Arial" w:eastAsia="Arial" w:hAnsi="Arial"/>
                <w:sz w:val="16"/>
                <w:szCs w:val="16"/>
                <w:b w:val="1"/>
                <w:bCs w:val="1"/>
                <w:color w:val="auto"/>
              </w:rPr>
              <w:t>Governance and Corporate</w:t>
            </w:r>
          </w:p>
        </w:tc>
        <w:tc>
          <w:tcPr>
            <w:tcW w:w="6600" w:type="dxa"/>
            <w:vAlign w:val="bottom"/>
          </w:tcPr>
          <w:p>
            <w:pPr>
              <w:ind w:left="1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4"/>
                <w:szCs w:val="14"/>
                <w:color w:val="000000"/>
              </w:rPr>
              <w:t>Oversees risks related to (i) public policy and political activities; (ii) director independence</w:t>
            </w:r>
          </w:p>
        </w:tc>
      </w:tr>
      <w:tr>
        <w:trPr>
          <w:trHeight w:val="223"/>
        </w:trPr>
        <w:tc>
          <w:tcPr>
            <w:tcW w:w="160" w:type="dxa"/>
            <w:vAlign w:val="bottom"/>
            <w:shd w:val="clear" w:color="auto" w:fill="ECEBEB"/>
          </w:tcPr>
          <w:p>
            <w:pPr>
              <w:spacing w:after="0"/>
              <w:rPr>
                <w:sz w:val="19"/>
                <w:szCs w:val="19"/>
                <w:color w:val="auto"/>
              </w:rPr>
            </w:pPr>
          </w:p>
        </w:tc>
        <w:tc>
          <w:tcPr>
            <w:tcW w:w="2320" w:type="dxa"/>
            <w:vAlign w:val="bottom"/>
            <w:shd w:val="clear" w:color="auto" w:fill="ECEBEB"/>
          </w:tcPr>
          <w:p>
            <w:pPr>
              <w:ind w:left="40"/>
              <w:spacing w:after="0"/>
              <w:rPr>
                <w:sz w:val="20"/>
                <w:szCs w:val="20"/>
                <w:color w:val="auto"/>
              </w:rPr>
            </w:pPr>
            <w:r>
              <w:rPr>
                <w:rFonts w:ascii="Arial" w:cs="Arial" w:eastAsia="Arial" w:hAnsi="Arial"/>
                <w:sz w:val="16"/>
                <w:szCs w:val="16"/>
                <w:b w:val="1"/>
                <w:bCs w:val="1"/>
                <w:color w:val="auto"/>
              </w:rPr>
              <w:t>Responsibility Committee</w:t>
            </w:r>
          </w:p>
        </w:tc>
        <w:tc>
          <w:tcPr>
            <w:tcW w:w="6600" w:type="dxa"/>
            <w:vAlign w:val="bottom"/>
          </w:tcPr>
          <w:p>
            <w:pPr>
              <w:ind w:left="360"/>
              <w:spacing w:after="0"/>
              <w:rPr>
                <w:sz w:val="20"/>
                <w:szCs w:val="20"/>
                <w:color w:val="auto"/>
              </w:rPr>
            </w:pPr>
            <w:r>
              <w:rPr>
                <w:rFonts w:ascii="Arial" w:cs="Arial" w:eastAsia="Arial" w:hAnsi="Arial"/>
                <w:sz w:val="14"/>
                <w:szCs w:val="14"/>
                <w:color w:val="auto"/>
              </w:rPr>
              <w:t>and related party transactions; and (iii) sustainability and corporate giving.</w:t>
            </w:r>
          </w:p>
        </w:tc>
      </w:tr>
      <w:tr>
        <w:trPr>
          <w:trHeight w:val="75"/>
        </w:trPr>
        <w:tc>
          <w:tcPr>
            <w:tcW w:w="160" w:type="dxa"/>
            <w:vAlign w:val="bottom"/>
            <w:tcBorders>
              <w:bottom w:val="single" w:sz="8" w:color="ECEBEB"/>
            </w:tcBorders>
            <w:shd w:val="clear" w:color="auto" w:fill="ECEBEB"/>
          </w:tcPr>
          <w:p>
            <w:pPr>
              <w:spacing w:after="0"/>
              <w:rPr>
                <w:sz w:val="6"/>
                <w:szCs w:val="6"/>
                <w:color w:val="auto"/>
              </w:rPr>
            </w:pPr>
          </w:p>
        </w:tc>
        <w:tc>
          <w:tcPr>
            <w:tcW w:w="2320" w:type="dxa"/>
            <w:vAlign w:val="bottom"/>
            <w:tcBorders>
              <w:bottom w:val="single" w:sz="8" w:color="D8D7D7"/>
            </w:tcBorders>
            <w:shd w:val="clear" w:color="auto" w:fill="ECEBEB"/>
          </w:tcPr>
          <w:p>
            <w:pPr>
              <w:spacing w:after="0"/>
              <w:rPr>
                <w:sz w:val="6"/>
                <w:szCs w:val="6"/>
                <w:color w:val="auto"/>
              </w:rPr>
            </w:pPr>
          </w:p>
        </w:tc>
        <w:tc>
          <w:tcPr>
            <w:tcW w:w="6600" w:type="dxa"/>
            <w:vAlign w:val="bottom"/>
            <w:tcBorders>
              <w:bottom w:val="single" w:sz="8" w:color="D8D7D7"/>
            </w:tcBorders>
          </w:tcPr>
          <w:p>
            <w:pPr>
              <w:spacing w:after="0"/>
              <w:rPr>
                <w:sz w:val="6"/>
                <w:szCs w:val="6"/>
                <w:color w:val="auto"/>
              </w:rPr>
            </w:pPr>
          </w:p>
        </w:tc>
      </w:tr>
      <w:tr>
        <w:trPr>
          <w:trHeight w:val="263"/>
        </w:trPr>
        <w:tc>
          <w:tcPr>
            <w:tcW w:w="160" w:type="dxa"/>
            <w:vAlign w:val="bottom"/>
            <w:shd w:val="clear" w:color="auto" w:fill="ECEBEB"/>
          </w:tcPr>
          <w:p>
            <w:pPr>
              <w:spacing w:after="0"/>
              <w:rPr>
                <w:sz w:val="22"/>
                <w:szCs w:val="22"/>
                <w:color w:val="auto"/>
              </w:rPr>
            </w:pPr>
          </w:p>
        </w:tc>
        <w:tc>
          <w:tcPr>
            <w:tcW w:w="2320" w:type="dxa"/>
            <w:vAlign w:val="bottom"/>
            <w:shd w:val="clear" w:color="auto" w:fill="ECEBEB"/>
          </w:tcPr>
          <w:p>
            <w:pPr>
              <w:ind w:left="40"/>
              <w:spacing w:after="0"/>
              <w:rPr>
                <w:sz w:val="20"/>
                <w:szCs w:val="20"/>
                <w:color w:val="auto"/>
              </w:rPr>
            </w:pPr>
            <w:r>
              <w:rPr>
                <w:rFonts w:ascii="Arial" w:cs="Arial" w:eastAsia="Arial" w:hAnsi="Arial"/>
                <w:sz w:val="16"/>
                <w:szCs w:val="16"/>
                <w:b w:val="1"/>
                <w:bCs w:val="1"/>
                <w:color w:val="auto"/>
              </w:rPr>
              <w:t>Risk and Cybersecurity</w:t>
            </w:r>
          </w:p>
        </w:tc>
        <w:tc>
          <w:tcPr>
            <w:tcW w:w="6600" w:type="dxa"/>
            <w:vAlign w:val="bottom"/>
          </w:tcPr>
          <w:p>
            <w:pPr>
              <w:ind w:left="1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4"/>
                <w:szCs w:val="14"/>
                <w:color w:val="000000"/>
              </w:rPr>
              <w:t>Oversees risks related to the Company’s key strategic, enterprise, and cybersecurity risks,</w:t>
            </w:r>
          </w:p>
        </w:tc>
      </w:tr>
      <w:tr>
        <w:trPr>
          <w:trHeight w:val="223"/>
        </w:trPr>
        <w:tc>
          <w:tcPr>
            <w:tcW w:w="160" w:type="dxa"/>
            <w:vAlign w:val="bottom"/>
            <w:shd w:val="clear" w:color="auto" w:fill="ECEBEB"/>
          </w:tcPr>
          <w:p>
            <w:pPr>
              <w:spacing w:after="0"/>
              <w:rPr>
                <w:sz w:val="19"/>
                <w:szCs w:val="19"/>
                <w:color w:val="auto"/>
              </w:rPr>
            </w:pPr>
          </w:p>
        </w:tc>
        <w:tc>
          <w:tcPr>
            <w:tcW w:w="2320" w:type="dxa"/>
            <w:vAlign w:val="bottom"/>
            <w:shd w:val="clear" w:color="auto" w:fill="ECEBEB"/>
          </w:tcPr>
          <w:p>
            <w:pPr>
              <w:ind w:left="40"/>
              <w:spacing w:after="0"/>
              <w:rPr>
                <w:sz w:val="20"/>
                <w:szCs w:val="20"/>
                <w:color w:val="auto"/>
              </w:rPr>
            </w:pPr>
            <w:r>
              <w:rPr>
                <w:rFonts w:ascii="Arial" w:cs="Arial" w:eastAsia="Arial" w:hAnsi="Arial"/>
                <w:sz w:val="16"/>
                <w:szCs w:val="16"/>
                <w:b w:val="1"/>
                <w:bCs w:val="1"/>
                <w:color w:val="auto"/>
              </w:rPr>
              <w:t>Committee</w:t>
            </w:r>
          </w:p>
        </w:tc>
        <w:tc>
          <w:tcPr>
            <w:tcW w:w="6600" w:type="dxa"/>
            <w:vAlign w:val="bottom"/>
          </w:tcPr>
          <w:p>
            <w:pPr>
              <w:ind w:left="360"/>
              <w:spacing w:after="0"/>
              <w:rPr>
                <w:sz w:val="20"/>
                <w:szCs w:val="20"/>
                <w:color w:val="auto"/>
              </w:rPr>
            </w:pPr>
            <w:r>
              <w:rPr>
                <w:rFonts w:ascii="Arial" w:cs="Arial" w:eastAsia="Arial" w:hAnsi="Arial"/>
                <w:sz w:val="14"/>
                <w:szCs w:val="14"/>
                <w:color w:val="auto"/>
              </w:rPr>
              <w:t>including workplace and product safety, and customer privacy;</w:t>
            </w:r>
          </w:p>
        </w:tc>
      </w:tr>
      <w:tr>
        <w:trPr>
          <w:trHeight w:val="255"/>
        </w:trPr>
        <w:tc>
          <w:tcPr>
            <w:tcW w:w="160" w:type="dxa"/>
            <w:vAlign w:val="bottom"/>
            <w:shd w:val="clear" w:color="auto" w:fill="ECEBEB"/>
          </w:tcPr>
          <w:p>
            <w:pPr>
              <w:spacing w:after="0"/>
              <w:rPr>
                <w:sz w:val="22"/>
                <w:szCs w:val="22"/>
                <w:color w:val="auto"/>
              </w:rPr>
            </w:pPr>
          </w:p>
        </w:tc>
        <w:tc>
          <w:tcPr>
            <w:tcW w:w="2320" w:type="dxa"/>
            <w:vAlign w:val="bottom"/>
            <w:shd w:val="clear" w:color="auto" w:fill="ECEBEB"/>
          </w:tcPr>
          <w:p>
            <w:pPr>
              <w:spacing w:after="0"/>
              <w:rPr>
                <w:sz w:val="22"/>
                <w:szCs w:val="22"/>
                <w:color w:val="auto"/>
              </w:rPr>
            </w:pPr>
          </w:p>
        </w:tc>
        <w:tc>
          <w:tcPr>
            <w:tcW w:w="6600" w:type="dxa"/>
            <w:vAlign w:val="bottom"/>
          </w:tcPr>
          <w:p>
            <w:pPr>
              <w:ind w:left="1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4"/>
                <w:szCs w:val="14"/>
                <w:color w:val="000000"/>
              </w:rPr>
              <w:t>Coordinates with the chairs of the other committees to support them in managing the</w:t>
            </w:r>
          </w:p>
        </w:tc>
      </w:tr>
      <w:tr>
        <w:trPr>
          <w:trHeight w:val="190"/>
        </w:trPr>
        <w:tc>
          <w:tcPr>
            <w:tcW w:w="160" w:type="dxa"/>
            <w:vAlign w:val="bottom"/>
            <w:shd w:val="clear" w:color="auto" w:fill="ECEBEB"/>
          </w:tcPr>
          <w:p>
            <w:pPr>
              <w:spacing w:after="0"/>
              <w:rPr>
                <w:sz w:val="16"/>
                <w:szCs w:val="16"/>
                <w:color w:val="auto"/>
              </w:rPr>
            </w:pPr>
          </w:p>
        </w:tc>
        <w:tc>
          <w:tcPr>
            <w:tcW w:w="2320" w:type="dxa"/>
            <w:vAlign w:val="bottom"/>
            <w:shd w:val="clear" w:color="auto" w:fill="ECEBEB"/>
          </w:tcPr>
          <w:p>
            <w:pPr>
              <w:spacing w:after="0"/>
              <w:rPr>
                <w:sz w:val="16"/>
                <w:szCs w:val="16"/>
                <w:color w:val="auto"/>
              </w:rPr>
            </w:pPr>
          </w:p>
        </w:tc>
        <w:tc>
          <w:tcPr>
            <w:tcW w:w="6600" w:type="dxa"/>
            <w:vAlign w:val="bottom"/>
          </w:tcPr>
          <w:p>
            <w:pPr>
              <w:ind w:left="360"/>
              <w:spacing w:after="0"/>
              <w:rPr>
                <w:sz w:val="20"/>
                <w:szCs w:val="20"/>
                <w:color w:val="auto"/>
              </w:rPr>
            </w:pPr>
            <w:r>
              <w:rPr>
                <w:rFonts w:ascii="Arial" w:cs="Arial" w:eastAsia="Arial" w:hAnsi="Arial"/>
                <w:sz w:val="14"/>
                <w:szCs w:val="14"/>
                <w:color w:val="auto"/>
              </w:rPr>
              <w:t>relationship between risk management policies and practices and their respective</w:t>
            </w:r>
          </w:p>
        </w:tc>
      </w:tr>
      <w:tr>
        <w:trPr>
          <w:trHeight w:val="216"/>
        </w:trPr>
        <w:tc>
          <w:tcPr>
            <w:tcW w:w="160" w:type="dxa"/>
            <w:vAlign w:val="bottom"/>
            <w:shd w:val="clear" w:color="auto" w:fill="ECEBEB"/>
          </w:tcPr>
          <w:p>
            <w:pPr>
              <w:spacing w:after="0"/>
              <w:rPr>
                <w:sz w:val="18"/>
                <w:szCs w:val="18"/>
                <w:color w:val="auto"/>
              </w:rPr>
            </w:pPr>
          </w:p>
        </w:tc>
        <w:tc>
          <w:tcPr>
            <w:tcW w:w="2320" w:type="dxa"/>
            <w:vAlign w:val="bottom"/>
            <w:shd w:val="clear" w:color="auto" w:fill="ECEBEB"/>
          </w:tcPr>
          <w:p>
            <w:pPr>
              <w:spacing w:after="0"/>
              <w:rPr>
                <w:sz w:val="18"/>
                <w:szCs w:val="18"/>
                <w:color w:val="auto"/>
              </w:rPr>
            </w:pPr>
          </w:p>
        </w:tc>
        <w:tc>
          <w:tcPr>
            <w:tcW w:w="6600" w:type="dxa"/>
            <w:vAlign w:val="bottom"/>
          </w:tcPr>
          <w:p>
            <w:pPr>
              <w:ind w:left="360"/>
              <w:spacing w:after="0"/>
              <w:rPr>
                <w:sz w:val="20"/>
                <w:szCs w:val="20"/>
                <w:color w:val="auto"/>
              </w:rPr>
            </w:pPr>
            <w:r>
              <w:rPr>
                <w:rFonts w:ascii="Arial" w:cs="Arial" w:eastAsia="Arial" w:hAnsi="Arial"/>
                <w:sz w:val="14"/>
                <w:szCs w:val="14"/>
                <w:color w:val="auto"/>
              </w:rPr>
              <w:t>oversight responsibilities; and</w:t>
            </w:r>
          </w:p>
        </w:tc>
      </w:tr>
      <w:tr>
        <w:trPr>
          <w:trHeight w:val="263"/>
        </w:trPr>
        <w:tc>
          <w:tcPr>
            <w:tcW w:w="160" w:type="dxa"/>
            <w:vAlign w:val="bottom"/>
            <w:shd w:val="clear" w:color="auto" w:fill="ECEBEB"/>
          </w:tcPr>
          <w:p>
            <w:pPr>
              <w:spacing w:after="0"/>
              <w:rPr>
                <w:sz w:val="22"/>
                <w:szCs w:val="22"/>
                <w:color w:val="auto"/>
              </w:rPr>
            </w:pPr>
          </w:p>
        </w:tc>
        <w:tc>
          <w:tcPr>
            <w:tcW w:w="2320" w:type="dxa"/>
            <w:vAlign w:val="bottom"/>
            <w:shd w:val="clear" w:color="auto" w:fill="ECEBEB"/>
          </w:tcPr>
          <w:p>
            <w:pPr>
              <w:spacing w:after="0"/>
              <w:rPr>
                <w:sz w:val="22"/>
                <w:szCs w:val="22"/>
                <w:color w:val="auto"/>
              </w:rPr>
            </w:pPr>
          </w:p>
        </w:tc>
        <w:tc>
          <w:tcPr>
            <w:tcW w:w="6600" w:type="dxa"/>
            <w:vAlign w:val="bottom"/>
          </w:tcPr>
          <w:p>
            <w:pPr>
              <w:ind w:left="1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4"/>
                <w:szCs w:val="14"/>
                <w:color w:val="000000"/>
              </w:rPr>
              <w:t>Assists the Board by monitoring the overall effectiveness of the Company’s risk management</w:t>
            </w:r>
          </w:p>
        </w:tc>
      </w:tr>
      <w:tr>
        <w:trPr>
          <w:trHeight w:val="196"/>
        </w:trPr>
        <w:tc>
          <w:tcPr>
            <w:tcW w:w="160" w:type="dxa"/>
            <w:vAlign w:val="bottom"/>
            <w:shd w:val="clear" w:color="auto" w:fill="ECEBEB"/>
          </w:tcPr>
          <w:p>
            <w:pPr>
              <w:spacing w:after="0"/>
              <w:rPr>
                <w:sz w:val="17"/>
                <w:szCs w:val="17"/>
                <w:color w:val="auto"/>
              </w:rPr>
            </w:pPr>
          </w:p>
        </w:tc>
        <w:tc>
          <w:tcPr>
            <w:tcW w:w="2320" w:type="dxa"/>
            <w:vAlign w:val="bottom"/>
            <w:shd w:val="clear" w:color="auto" w:fill="ECEBEB"/>
          </w:tcPr>
          <w:p>
            <w:pPr>
              <w:spacing w:after="0"/>
              <w:rPr>
                <w:sz w:val="17"/>
                <w:szCs w:val="17"/>
                <w:color w:val="auto"/>
              </w:rPr>
            </w:pPr>
          </w:p>
        </w:tc>
        <w:tc>
          <w:tcPr>
            <w:tcW w:w="6600" w:type="dxa"/>
            <w:vAlign w:val="bottom"/>
          </w:tcPr>
          <w:p>
            <w:pPr>
              <w:ind w:left="360"/>
              <w:spacing w:after="0"/>
              <w:rPr>
                <w:sz w:val="20"/>
                <w:szCs w:val="20"/>
                <w:color w:val="auto"/>
              </w:rPr>
            </w:pPr>
            <w:r>
              <w:rPr>
                <w:rFonts w:ascii="Arial" w:cs="Arial" w:eastAsia="Arial" w:hAnsi="Arial"/>
                <w:sz w:val="14"/>
                <w:szCs w:val="14"/>
                <w:color w:val="auto"/>
              </w:rPr>
              <w:t>framework and processes.</w:t>
            </w:r>
          </w:p>
        </w:tc>
      </w:tr>
      <w:tr>
        <w:trPr>
          <w:trHeight w:val="89"/>
        </w:trPr>
        <w:tc>
          <w:tcPr>
            <w:tcW w:w="160" w:type="dxa"/>
            <w:vAlign w:val="bottom"/>
            <w:tcBorders>
              <w:bottom w:val="single" w:sz="8" w:color="0956FF"/>
            </w:tcBorders>
            <w:shd w:val="clear" w:color="auto" w:fill="ECEBEB"/>
          </w:tcPr>
          <w:p>
            <w:pPr>
              <w:spacing w:after="0"/>
              <w:rPr>
                <w:sz w:val="7"/>
                <w:szCs w:val="7"/>
                <w:color w:val="auto"/>
              </w:rPr>
            </w:pPr>
          </w:p>
        </w:tc>
        <w:tc>
          <w:tcPr>
            <w:tcW w:w="2320" w:type="dxa"/>
            <w:vAlign w:val="bottom"/>
            <w:tcBorders>
              <w:bottom w:val="single" w:sz="8" w:color="0956FF"/>
            </w:tcBorders>
            <w:shd w:val="clear" w:color="auto" w:fill="ECEBEB"/>
          </w:tcPr>
          <w:p>
            <w:pPr>
              <w:spacing w:after="0"/>
              <w:rPr>
                <w:sz w:val="7"/>
                <w:szCs w:val="7"/>
                <w:color w:val="auto"/>
              </w:rPr>
            </w:pPr>
          </w:p>
        </w:tc>
        <w:tc>
          <w:tcPr>
            <w:tcW w:w="6600" w:type="dxa"/>
            <w:vAlign w:val="bottom"/>
            <w:tcBorders>
              <w:bottom w:val="single" w:sz="8" w:color="0956FF"/>
            </w:tcBorders>
          </w:tcPr>
          <w:p>
            <w:pPr>
              <w:spacing w:after="0"/>
              <w:rPr>
                <w:sz w:val="7"/>
                <w:szCs w:val="7"/>
                <w:color w:val="auto"/>
              </w:rPr>
            </w:pPr>
          </w:p>
        </w:tc>
      </w:tr>
      <w:tr>
        <w:trPr>
          <w:trHeight w:val="102"/>
        </w:trPr>
        <w:tc>
          <w:tcPr>
            <w:tcW w:w="1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600" w:type="dxa"/>
            <w:vAlign w:val="bottom"/>
          </w:tcPr>
          <w:p>
            <w:pPr>
              <w:spacing w:after="0"/>
              <w:rPr>
                <w:sz w:val="8"/>
                <w:szCs w:val="8"/>
                <w:color w:val="auto"/>
              </w:rPr>
            </w:pPr>
          </w:p>
        </w:tc>
      </w:tr>
      <w:tr>
        <w:trPr>
          <w:trHeight w:val="108"/>
        </w:trPr>
        <w:tc>
          <w:tcPr>
            <w:tcW w:w="160" w:type="dxa"/>
            <w:vAlign w:val="bottom"/>
            <w:shd w:val="clear" w:color="auto" w:fill="ECEBEB"/>
          </w:tcPr>
          <w:p>
            <w:pPr>
              <w:spacing w:after="0"/>
              <w:rPr>
                <w:sz w:val="9"/>
                <w:szCs w:val="9"/>
                <w:color w:val="auto"/>
              </w:rPr>
            </w:pPr>
          </w:p>
        </w:tc>
        <w:tc>
          <w:tcPr>
            <w:tcW w:w="2320" w:type="dxa"/>
            <w:vAlign w:val="bottom"/>
            <w:shd w:val="clear" w:color="auto" w:fill="ECEBEB"/>
          </w:tcPr>
          <w:p>
            <w:pPr>
              <w:spacing w:after="0"/>
              <w:rPr>
                <w:sz w:val="9"/>
                <w:szCs w:val="9"/>
                <w:color w:val="auto"/>
              </w:rPr>
            </w:pPr>
          </w:p>
        </w:tc>
        <w:tc>
          <w:tcPr>
            <w:tcW w:w="6600" w:type="dxa"/>
            <w:vAlign w:val="bottom"/>
            <w:shd w:val="clear" w:color="auto" w:fill="ECEBEB"/>
          </w:tcPr>
          <w:p>
            <w:pPr>
              <w:spacing w:after="0"/>
              <w:rPr>
                <w:sz w:val="9"/>
                <w:szCs w:val="9"/>
                <w:color w:val="auto"/>
              </w:rPr>
            </w:pPr>
          </w:p>
        </w:tc>
      </w:tr>
    </w:tbl>
    <w:p>
      <w:pPr>
        <w:spacing w:after="0" w:line="4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0956FF"/>
        </w:rPr>
        <w:t>Identification and Monitoring of Evolving Risk</w:t>
      </w:r>
    </w:p>
    <w:p>
      <w:pPr>
        <w:spacing w:after="0" w:line="39" w:lineRule="exact"/>
        <w:rPr>
          <w:sz w:val="20"/>
          <w:szCs w:val="20"/>
          <w:color w:val="auto"/>
        </w:rPr>
      </w:pPr>
    </w:p>
    <w:p>
      <w:pPr>
        <w:ind w:left="200" w:right="460"/>
        <w:spacing w:after="0" w:line="186" w:lineRule="exact"/>
        <w:rPr>
          <w:sz w:val="20"/>
          <w:szCs w:val="20"/>
          <w:color w:val="auto"/>
        </w:rPr>
      </w:pPr>
      <w:r>
        <w:rPr>
          <w:rFonts w:ascii="Arial" w:cs="Arial" w:eastAsia="Arial" w:hAnsi="Arial"/>
          <w:sz w:val="14"/>
          <w:szCs w:val="14"/>
          <w:color w:val="auto"/>
        </w:rPr>
        <w:t>The Company’s risk governance framework operates through a combination of top</w:t>
      </w:r>
      <w:r>
        <w:rPr>
          <w:rFonts w:ascii="MS PGothic" w:cs="MS PGothic" w:eastAsia="MS PGothic" w:hAnsi="MS PGothic"/>
          <w:sz w:val="14"/>
          <w:szCs w:val="14"/>
          <w:color w:val="auto"/>
        </w:rPr>
        <w:t>‑</w:t>
      </w:r>
      <w:r>
        <w:rPr>
          <w:rFonts w:ascii="Arial" w:cs="Arial" w:eastAsia="Arial" w:hAnsi="Arial"/>
          <w:sz w:val="14"/>
          <w:szCs w:val="14"/>
          <w:color w:val="auto"/>
        </w:rPr>
        <w:t>down and bottom</w:t>
      </w:r>
      <w:r>
        <w:rPr>
          <w:rFonts w:ascii="MS PGothic" w:cs="MS PGothic" w:eastAsia="MS PGothic" w:hAnsi="MS PGothic"/>
          <w:sz w:val="14"/>
          <w:szCs w:val="14"/>
          <w:color w:val="auto"/>
        </w:rPr>
        <w:t>‑</w:t>
      </w:r>
      <w:r>
        <w:rPr>
          <w:rFonts w:ascii="Arial" w:cs="Arial" w:eastAsia="Arial" w:hAnsi="Arial"/>
          <w:sz w:val="14"/>
          <w:szCs w:val="14"/>
          <w:color w:val="auto"/>
        </w:rPr>
        <w:t>up processes, with the tone set by Ms. Barra, our Chair and CEO, and other members of senior management. The Strategic Risk Management team conducts a year</w:t>
      </w:r>
      <w:r>
        <w:rPr>
          <w:rFonts w:ascii="MS PGothic" w:cs="MS PGothic" w:eastAsia="MS PGothic" w:hAnsi="MS PGothic"/>
          <w:sz w:val="14"/>
          <w:szCs w:val="14"/>
          <w:color w:val="auto"/>
        </w:rPr>
        <w:t>‑</w:t>
      </w:r>
      <w:r>
        <w:rPr>
          <w:rFonts w:ascii="Arial" w:cs="Arial" w:eastAsia="Arial" w:hAnsi="Arial"/>
          <w:sz w:val="14"/>
          <w:szCs w:val="14"/>
          <w:color w:val="auto"/>
        </w:rPr>
        <w:t>round risk assessment and provides regular updates on enterprise and emerging risks to senior leaders. In addition, a Risk Advisory Council and the Risk and Cybersecurity Committee also receive detailed updates on these critical risks throughout the year.</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23</w:t>
      </w:r>
    </w:p>
    <w:p>
      <w:pPr>
        <w:sectPr>
          <w:pgSz w:w="11900" w:h="16838" w:orient="portrait"/>
          <w:cols w:equalWidth="0" w:num="1">
            <w:col w:w="9100"/>
          </w:cols>
          <w:pgMar w:left="1400" w:top="657" w:right="13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Enterprise Risk Management</w:t>
      </w:r>
    </w:p>
    <w:p>
      <w:pPr>
        <w:spacing w:after="0" w:line="114"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The selected areas of risk oversight highlighted below were identified by the Risk and Cybersecurity Committee as focus areas in 2026. These topics are continuously reviewed to ensure effective oversight of emerging and inherent risks.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Areas of Risk Oversight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Workforce Strategy</w:t>
            </w:r>
          </w:p>
        </w:tc>
        <w:tc>
          <w:tcPr>
            <w:tcW w:w="7360" w:type="dxa"/>
            <w:vAlign w:val="bottom"/>
          </w:tcPr>
          <w:p>
            <w:pPr>
              <w:ind w:left="140"/>
              <w:spacing w:after="0"/>
              <w:rPr>
                <w:sz w:val="20"/>
                <w:szCs w:val="20"/>
                <w:color w:val="auto"/>
              </w:rPr>
            </w:pPr>
            <w:r>
              <w:rPr>
                <w:rFonts w:ascii="Arial" w:cs="Arial" w:eastAsia="Arial" w:hAnsi="Arial"/>
                <w:sz w:val="16"/>
                <w:szCs w:val="16"/>
                <w:color w:val="auto"/>
              </w:rPr>
              <w:t>The Board along with the Compensation Committee oversees matters related to the Company’s</w:t>
            </w:r>
          </w:p>
        </w:tc>
      </w:tr>
      <w:tr>
        <w:trPr>
          <w:trHeight w:val="215"/>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workforce strategy, including attraction of critical skill sets, incentive compensation structure,</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enhancements to organizational design, and labor relations.</w:t>
            </w:r>
          </w:p>
        </w:tc>
      </w:tr>
      <w:tr>
        <w:trPr>
          <w:trHeight w:val="56"/>
        </w:trPr>
        <w:tc>
          <w:tcPr>
            <w:tcW w:w="1720" w:type="dxa"/>
            <w:vAlign w:val="bottom"/>
            <w:tcBorders>
              <w:bottom w:val="single" w:sz="8" w:color="D8D7D7"/>
            </w:tcBorders>
          </w:tcPr>
          <w:p>
            <w:pPr>
              <w:spacing w:after="0"/>
              <w:rPr>
                <w:sz w:val="4"/>
                <w:szCs w:val="4"/>
                <w:color w:val="auto"/>
              </w:rPr>
            </w:pPr>
          </w:p>
        </w:tc>
        <w:tc>
          <w:tcPr>
            <w:tcW w:w="7360" w:type="dxa"/>
            <w:vAlign w:val="bottom"/>
            <w:tcBorders>
              <w:bottom w:val="single" w:sz="8" w:color="D8D7D7"/>
            </w:tcBorders>
          </w:tcPr>
          <w:p>
            <w:pPr>
              <w:spacing w:after="0"/>
              <w:rPr>
                <w:sz w:val="4"/>
                <w:szCs w:val="4"/>
                <w:color w:val="auto"/>
              </w:rPr>
            </w:pPr>
          </w:p>
        </w:tc>
      </w:tr>
      <w:tr>
        <w:trPr>
          <w:trHeight w:val="290"/>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Core Operations</w:t>
            </w:r>
          </w:p>
        </w:tc>
        <w:tc>
          <w:tcPr>
            <w:tcW w:w="7360" w:type="dxa"/>
            <w:vAlign w:val="bottom"/>
          </w:tcPr>
          <w:p>
            <w:pPr>
              <w:ind w:left="140"/>
              <w:spacing w:after="0"/>
              <w:rPr>
                <w:sz w:val="20"/>
                <w:szCs w:val="20"/>
                <w:color w:val="auto"/>
              </w:rPr>
            </w:pPr>
            <w:r>
              <w:rPr>
                <w:rFonts w:ascii="Arial" w:cs="Arial" w:eastAsia="Arial" w:hAnsi="Arial"/>
                <w:sz w:val="16"/>
                <w:szCs w:val="16"/>
                <w:color w:val="auto"/>
              </w:rPr>
              <w:t>The Board directly oversees matters related to the Company’s core operations, including</w:t>
            </w:r>
          </w:p>
        </w:tc>
      </w:tr>
      <w:tr>
        <w:trPr>
          <w:trHeight w:val="215"/>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workplace safety, sustainability initiatives, asset and plant management, and GM’s</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overall reputation.</w:t>
            </w:r>
          </w:p>
        </w:tc>
      </w:tr>
      <w:tr>
        <w:trPr>
          <w:trHeight w:val="56"/>
        </w:trPr>
        <w:tc>
          <w:tcPr>
            <w:tcW w:w="1720" w:type="dxa"/>
            <w:vAlign w:val="bottom"/>
            <w:tcBorders>
              <w:bottom w:val="single" w:sz="8" w:color="D8D7D7"/>
            </w:tcBorders>
          </w:tcPr>
          <w:p>
            <w:pPr>
              <w:spacing w:after="0"/>
              <w:rPr>
                <w:sz w:val="4"/>
                <w:szCs w:val="4"/>
                <w:color w:val="auto"/>
              </w:rPr>
            </w:pPr>
          </w:p>
        </w:tc>
        <w:tc>
          <w:tcPr>
            <w:tcW w:w="7360" w:type="dxa"/>
            <w:vAlign w:val="bottom"/>
            <w:tcBorders>
              <w:bottom w:val="single" w:sz="8" w:color="D8D7D7"/>
            </w:tcBorders>
          </w:tcPr>
          <w:p>
            <w:pPr>
              <w:spacing w:after="0"/>
              <w:rPr>
                <w:sz w:val="4"/>
                <w:szCs w:val="4"/>
                <w:color w:val="auto"/>
              </w:rPr>
            </w:pPr>
          </w:p>
        </w:tc>
      </w:tr>
      <w:tr>
        <w:trPr>
          <w:trHeight w:val="290"/>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Product Execution</w:t>
            </w:r>
          </w:p>
        </w:tc>
        <w:tc>
          <w:tcPr>
            <w:tcW w:w="7360" w:type="dxa"/>
            <w:vAlign w:val="bottom"/>
          </w:tcPr>
          <w:p>
            <w:pPr>
              <w:ind w:left="140"/>
              <w:spacing w:after="0"/>
              <w:rPr>
                <w:sz w:val="20"/>
                <w:szCs w:val="20"/>
                <w:color w:val="auto"/>
              </w:rPr>
            </w:pPr>
            <w:r>
              <w:rPr>
                <w:rFonts w:ascii="Arial" w:cs="Arial" w:eastAsia="Arial" w:hAnsi="Arial"/>
                <w:sz w:val="16"/>
                <w:szCs w:val="16"/>
                <w:color w:val="auto"/>
              </w:rPr>
              <w:t>GM’s full Board directly oversees product strategy and execution and receives regular updates on</w:t>
            </w:r>
          </w:p>
        </w:tc>
      </w:tr>
      <w:tr>
        <w:trPr>
          <w:trHeight w:val="215"/>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product safety, software and services, and U.S. regulations related to product development. In</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addition, the Board directly engages with the Company’s brand leads to discuss and review</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product updates.</w:t>
            </w:r>
          </w:p>
        </w:tc>
      </w:tr>
      <w:tr>
        <w:trPr>
          <w:trHeight w:val="56"/>
        </w:trPr>
        <w:tc>
          <w:tcPr>
            <w:tcW w:w="1720" w:type="dxa"/>
            <w:vAlign w:val="bottom"/>
            <w:tcBorders>
              <w:bottom w:val="single" w:sz="8" w:color="D8D7D7"/>
            </w:tcBorders>
          </w:tcPr>
          <w:p>
            <w:pPr>
              <w:spacing w:after="0"/>
              <w:rPr>
                <w:sz w:val="4"/>
                <w:szCs w:val="4"/>
                <w:color w:val="auto"/>
              </w:rPr>
            </w:pPr>
          </w:p>
        </w:tc>
        <w:tc>
          <w:tcPr>
            <w:tcW w:w="7360" w:type="dxa"/>
            <w:vAlign w:val="bottom"/>
            <w:tcBorders>
              <w:bottom w:val="single" w:sz="8" w:color="D8D7D7"/>
            </w:tcBorders>
          </w:tcPr>
          <w:p>
            <w:pPr>
              <w:spacing w:after="0"/>
              <w:rPr>
                <w:sz w:val="4"/>
                <w:szCs w:val="4"/>
                <w:color w:val="auto"/>
              </w:rPr>
            </w:pPr>
          </w:p>
        </w:tc>
      </w:tr>
      <w:tr>
        <w:trPr>
          <w:trHeight w:val="290"/>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Market and</w:t>
            </w:r>
          </w:p>
        </w:tc>
        <w:tc>
          <w:tcPr>
            <w:tcW w:w="7360" w:type="dxa"/>
            <w:vAlign w:val="bottom"/>
          </w:tcPr>
          <w:p>
            <w:pPr>
              <w:ind w:left="140"/>
              <w:spacing w:after="0"/>
              <w:rPr>
                <w:sz w:val="20"/>
                <w:szCs w:val="20"/>
                <w:color w:val="auto"/>
              </w:rPr>
            </w:pPr>
            <w:r>
              <w:rPr>
                <w:rFonts w:ascii="Arial" w:cs="Arial" w:eastAsia="Arial" w:hAnsi="Arial"/>
                <w:sz w:val="16"/>
                <w:szCs w:val="16"/>
                <w:color w:val="auto"/>
              </w:rPr>
              <w:t>The Board reviews and discusses updates on global market competition with members of the</w:t>
            </w:r>
          </w:p>
        </w:tc>
      </w:tr>
      <w:tr>
        <w:trPr>
          <w:trHeight w:val="216"/>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Competition</w:t>
            </w:r>
          </w:p>
        </w:tc>
        <w:tc>
          <w:tcPr>
            <w:tcW w:w="7360" w:type="dxa"/>
            <w:vAlign w:val="bottom"/>
          </w:tcPr>
          <w:p>
            <w:pPr>
              <w:ind w:left="140"/>
              <w:spacing w:after="0"/>
              <w:rPr>
                <w:sz w:val="20"/>
                <w:szCs w:val="20"/>
                <w:color w:val="auto"/>
              </w:rPr>
            </w:pPr>
            <w:r>
              <w:rPr>
                <w:rFonts w:ascii="Arial" w:cs="Arial" w:eastAsia="Arial" w:hAnsi="Arial"/>
                <w:sz w:val="16"/>
                <w:szCs w:val="16"/>
                <w:color w:val="auto"/>
              </w:rPr>
              <w:t>Senior Leadership Team. These reports include updates on industry partnerships, infrastructure</w:t>
            </w:r>
          </w:p>
        </w:tc>
      </w:tr>
      <w:tr>
        <w:trPr>
          <w:trHeight w:val="215"/>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and adoption rates of electric vehicles, and analyses of competitive landscapes.</w:t>
            </w:r>
          </w:p>
        </w:tc>
      </w:tr>
      <w:tr>
        <w:trPr>
          <w:trHeight w:val="56"/>
        </w:trPr>
        <w:tc>
          <w:tcPr>
            <w:tcW w:w="1720" w:type="dxa"/>
            <w:vAlign w:val="bottom"/>
            <w:tcBorders>
              <w:bottom w:val="single" w:sz="8" w:color="D8D7D7"/>
            </w:tcBorders>
          </w:tcPr>
          <w:p>
            <w:pPr>
              <w:spacing w:after="0"/>
              <w:rPr>
                <w:sz w:val="4"/>
                <w:szCs w:val="4"/>
                <w:color w:val="auto"/>
              </w:rPr>
            </w:pPr>
          </w:p>
        </w:tc>
        <w:tc>
          <w:tcPr>
            <w:tcW w:w="7360" w:type="dxa"/>
            <w:vAlign w:val="bottom"/>
            <w:tcBorders>
              <w:bottom w:val="single" w:sz="8" w:color="D8D7D7"/>
            </w:tcBorders>
          </w:tcPr>
          <w:p>
            <w:pPr>
              <w:spacing w:after="0"/>
              <w:rPr>
                <w:sz w:val="4"/>
                <w:szCs w:val="4"/>
                <w:color w:val="auto"/>
              </w:rPr>
            </w:pPr>
          </w:p>
        </w:tc>
      </w:tr>
      <w:tr>
        <w:trPr>
          <w:trHeight w:val="290"/>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New Ventures and</w:t>
            </w:r>
          </w:p>
        </w:tc>
        <w:tc>
          <w:tcPr>
            <w:tcW w:w="7360" w:type="dxa"/>
            <w:vAlign w:val="bottom"/>
          </w:tcPr>
          <w:p>
            <w:pPr>
              <w:ind w:left="140"/>
              <w:spacing w:after="0"/>
              <w:rPr>
                <w:sz w:val="20"/>
                <w:szCs w:val="20"/>
                <w:color w:val="auto"/>
              </w:rPr>
            </w:pPr>
            <w:r>
              <w:rPr>
                <w:rFonts w:ascii="Arial" w:cs="Arial" w:eastAsia="Arial" w:hAnsi="Arial"/>
                <w:sz w:val="16"/>
                <w:szCs w:val="16"/>
                <w:color w:val="auto"/>
              </w:rPr>
              <w:t>The Finance Committee, along with the Board, regularly reviews GM’s diverse product portfolio,</w:t>
            </w:r>
          </w:p>
        </w:tc>
      </w:tr>
      <w:tr>
        <w:trPr>
          <w:trHeight w:val="216"/>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Innovation</w:t>
            </w:r>
          </w:p>
        </w:tc>
        <w:tc>
          <w:tcPr>
            <w:tcW w:w="7360" w:type="dxa"/>
            <w:vAlign w:val="bottom"/>
          </w:tcPr>
          <w:p>
            <w:pPr>
              <w:ind w:left="140"/>
              <w:spacing w:after="0"/>
              <w:rPr>
                <w:sz w:val="20"/>
                <w:szCs w:val="20"/>
                <w:color w:val="auto"/>
              </w:rPr>
            </w:pPr>
            <w:r>
              <w:rPr>
                <w:rFonts w:ascii="Arial" w:cs="Arial" w:eastAsia="Arial" w:hAnsi="Arial"/>
                <w:sz w:val="16"/>
                <w:szCs w:val="16"/>
                <w:color w:val="auto"/>
              </w:rPr>
              <w:t>new ventures, and disruptive technologies like artificial intelligence. These reviews help create</w:t>
            </w:r>
          </w:p>
        </w:tc>
      </w:tr>
      <w:tr>
        <w:trPr>
          <w:trHeight w:val="215"/>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opportunities for recurring revenue from software and services and other innovations that align</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with the Company’s long-term business objectives.</w:t>
            </w:r>
          </w:p>
        </w:tc>
      </w:tr>
      <w:tr>
        <w:trPr>
          <w:trHeight w:val="56"/>
        </w:trPr>
        <w:tc>
          <w:tcPr>
            <w:tcW w:w="1720" w:type="dxa"/>
            <w:vAlign w:val="bottom"/>
            <w:tcBorders>
              <w:bottom w:val="single" w:sz="8" w:color="D8D7D7"/>
            </w:tcBorders>
          </w:tcPr>
          <w:p>
            <w:pPr>
              <w:spacing w:after="0"/>
              <w:rPr>
                <w:sz w:val="4"/>
                <w:szCs w:val="4"/>
                <w:color w:val="auto"/>
              </w:rPr>
            </w:pPr>
          </w:p>
        </w:tc>
        <w:tc>
          <w:tcPr>
            <w:tcW w:w="7360" w:type="dxa"/>
            <w:vAlign w:val="bottom"/>
            <w:tcBorders>
              <w:bottom w:val="single" w:sz="8" w:color="D8D7D7"/>
            </w:tcBorders>
          </w:tcPr>
          <w:p>
            <w:pPr>
              <w:spacing w:after="0"/>
              <w:rPr>
                <w:sz w:val="4"/>
                <w:szCs w:val="4"/>
                <w:color w:val="auto"/>
              </w:rPr>
            </w:pPr>
          </w:p>
        </w:tc>
      </w:tr>
      <w:tr>
        <w:trPr>
          <w:trHeight w:val="290"/>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Financial</w:t>
            </w:r>
          </w:p>
        </w:tc>
        <w:tc>
          <w:tcPr>
            <w:tcW w:w="7360" w:type="dxa"/>
            <w:vAlign w:val="bottom"/>
          </w:tcPr>
          <w:p>
            <w:pPr>
              <w:ind w:left="140"/>
              <w:spacing w:after="0"/>
              <w:rPr>
                <w:sz w:val="20"/>
                <w:szCs w:val="20"/>
                <w:color w:val="auto"/>
              </w:rPr>
            </w:pPr>
            <w:r>
              <w:rPr>
                <w:rFonts w:ascii="Arial" w:cs="Arial" w:eastAsia="Arial" w:hAnsi="Arial"/>
                <w:sz w:val="16"/>
                <w:szCs w:val="16"/>
                <w:color w:val="auto"/>
              </w:rPr>
              <w:t>The Audit and Finance Committees review and discuss with management financial reporting from</w:t>
            </w:r>
          </w:p>
        </w:tc>
      </w:tr>
      <w:tr>
        <w:trPr>
          <w:trHeight w:val="215"/>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the Chief Financial Officer, Compliance, and Internal Audit, as well as GM’s external independent</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auditor. These reports include updates on significant financial developments, financial policy, and</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cost discipline measures.</w:t>
            </w:r>
          </w:p>
        </w:tc>
      </w:tr>
      <w:tr>
        <w:trPr>
          <w:trHeight w:val="56"/>
        </w:trPr>
        <w:tc>
          <w:tcPr>
            <w:tcW w:w="1720" w:type="dxa"/>
            <w:vAlign w:val="bottom"/>
            <w:tcBorders>
              <w:bottom w:val="single" w:sz="8" w:color="D8D7D7"/>
            </w:tcBorders>
          </w:tcPr>
          <w:p>
            <w:pPr>
              <w:spacing w:after="0"/>
              <w:rPr>
                <w:sz w:val="4"/>
                <w:szCs w:val="4"/>
                <w:color w:val="auto"/>
              </w:rPr>
            </w:pPr>
          </w:p>
        </w:tc>
        <w:tc>
          <w:tcPr>
            <w:tcW w:w="7360" w:type="dxa"/>
            <w:vAlign w:val="bottom"/>
            <w:tcBorders>
              <w:bottom w:val="single" w:sz="8" w:color="D8D7D7"/>
            </w:tcBorders>
          </w:tcPr>
          <w:p>
            <w:pPr>
              <w:spacing w:after="0"/>
              <w:rPr>
                <w:sz w:val="4"/>
                <w:szCs w:val="4"/>
                <w:color w:val="auto"/>
              </w:rPr>
            </w:pPr>
          </w:p>
        </w:tc>
      </w:tr>
      <w:tr>
        <w:trPr>
          <w:trHeight w:val="290"/>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Regulatory</w:t>
            </w:r>
          </w:p>
        </w:tc>
        <w:tc>
          <w:tcPr>
            <w:tcW w:w="7360" w:type="dxa"/>
            <w:vAlign w:val="bottom"/>
          </w:tcPr>
          <w:p>
            <w:pPr>
              <w:ind w:left="140"/>
              <w:spacing w:after="0"/>
              <w:rPr>
                <w:sz w:val="20"/>
                <w:szCs w:val="20"/>
                <w:color w:val="auto"/>
              </w:rPr>
            </w:pPr>
            <w:r>
              <w:rPr>
                <w:rFonts w:ascii="Arial" w:cs="Arial" w:eastAsia="Arial" w:hAnsi="Arial"/>
                <w:sz w:val="16"/>
                <w:szCs w:val="16"/>
                <w:color w:val="auto"/>
              </w:rPr>
              <w:t>Each of the Committees has direct oversight of specific legal and regulatory risks related to GM’s</w:t>
            </w:r>
          </w:p>
        </w:tc>
      </w:tr>
      <w:tr>
        <w:trPr>
          <w:trHeight w:val="215"/>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business. The Company’s full Board also receives regular updates on legal and regulatory</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developments, including updates on legislative developments, government investigations,</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litigation, and other legal proceedings.</w:t>
            </w:r>
          </w:p>
        </w:tc>
      </w:tr>
      <w:tr>
        <w:trPr>
          <w:trHeight w:val="56"/>
        </w:trPr>
        <w:tc>
          <w:tcPr>
            <w:tcW w:w="1720" w:type="dxa"/>
            <w:vAlign w:val="bottom"/>
            <w:tcBorders>
              <w:bottom w:val="single" w:sz="8" w:color="D8D7D7"/>
            </w:tcBorders>
          </w:tcPr>
          <w:p>
            <w:pPr>
              <w:spacing w:after="0"/>
              <w:rPr>
                <w:sz w:val="4"/>
                <w:szCs w:val="4"/>
                <w:color w:val="auto"/>
              </w:rPr>
            </w:pPr>
          </w:p>
        </w:tc>
        <w:tc>
          <w:tcPr>
            <w:tcW w:w="7360" w:type="dxa"/>
            <w:vAlign w:val="bottom"/>
            <w:tcBorders>
              <w:bottom w:val="single" w:sz="8" w:color="D8D7D7"/>
            </w:tcBorders>
          </w:tcPr>
          <w:p>
            <w:pPr>
              <w:spacing w:after="0"/>
              <w:rPr>
                <w:sz w:val="4"/>
                <w:szCs w:val="4"/>
                <w:color w:val="auto"/>
              </w:rPr>
            </w:pPr>
          </w:p>
        </w:tc>
      </w:tr>
      <w:tr>
        <w:trPr>
          <w:trHeight w:val="290"/>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Geopolitical</w:t>
            </w:r>
          </w:p>
        </w:tc>
        <w:tc>
          <w:tcPr>
            <w:tcW w:w="7360" w:type="dxa"/>
            <w:vAlign w:val="bottom"/>
          </w:tcPr>
          <w:p>
            <w:pPr>
              <w:ind w:left="140"/>
              <w:spacing w:after="0"/>
              <w:rPr>
                <w:sz w:val="20"/>
                <w:szCs w:val="20"/>
                <w:color w:val="auto"/>
              </w:rPr>
            </w:pPr>
            <w:r>
              <w:rPr>
                <w:rFonts w:ascii="Arial" w:cs="Arial" w:eastAsia="Arial" w:hAnsi="Arial"/>
                <w:sz w:val="16"/>
                <w:szCs w:val="16"/>
                <w:color w:val="auto"/>
              </w:rPr>
              <w:t>Management addresses geopolitical risks, including conflicts and shifting trade policies, by</w:t>
            </w:r>
          </w:p>
        </w:tc>
      </w:tr>
      <w:tr>
        <w:trPr>
          <w:trHeight w:val="215"/>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managing relationships with customers, employees, business partners, and stakeholders across</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our supply chain. The Board oversees these efforts and receives regular updates regarding</w:t>
            </w:r>
          </w:p>
        </w:tc>
      </w:tr>
      <w:tr>
        <w:trPr>
          <w:trHeight w:val="216"/>
        </w:trPr>
        <w:tc>
          <w:tcPr>
            <w:tcW w:w="17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6"/>
                <w:szCs w:val="16"/>
                <w:color w:val="auto"/>
              </w:rPr>
              <w:t>ongoing implementation and reporting on significant issues and progress.</w:t>
            </w:r>
          </w:p>
        </w:tc>
      </w:tr>
      <w:tr>
        <w:trPr>
          <w:trHeight w:val="56"/>
        </w:trPr>
        <w:tc>
          <w:tcPr>
            <w:tcW w:w="1720" w:type="dxa"/>
            <w:vAlign w:val="bottom"/>
            <w:tcBorders>
              <w:bottom w:val="single" w:sz="8" w:color="D8D7D7"/>
            </w:tcBorders>
          </w:tcPr>
          <w:p>
            <w:pPr>
              <w:spacing w:after="0"/>
              <w:rPr>
                <w:sz w:val="4"/>
                <w:szCs w:val="4"/>
                <w:color w:val="auto"/>
              </w:rPr>
            </w:pPr>
          </w:p>
        </w:tc>
        <w:tc>
          <w:tcPr>
            <w:tcW w:w="7360" w:type="dxa"/>
            <w:vAlign w:val="bottom"/>
            <w:tcBorders>
              <w:bottom w:val="single" w:sz="8" w:color="D8D7D7"/>
            </w:tcBorders>
          </w:tcPr>
          <w:p>
            <w:pPr>
              <w:spacing w:after="0"/>
              <w:rPr>
                <w:sz w:val="4"/>
                <w:szCs w:val="4"/>
                <w:color w:val="auto"/>
              </w:rPr>
            </w:pPr>
          </w:p>
        </w:tc>
      </w:tr>
      <w:tr>
        <w:trPr>
          <w:trHeight w:val="263"/>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Supply Chain</w:t>
            </w:r>
          </w:p>
        </w:tc>
        <w:tc>
          <w:tcPr>
            <w:tcW w:w="7360" w:type="dxa"/>
            <w:vAlign w:val="bottom"/>
          </w:tcPr>
          <w:p>
            <w:pPr>
              <w:ind w:left="140"/>
              <w:spacing w:after="0"/>
              <w:rPr>
                <w:sz w:val="20"/>
                <w:szCs w:val="20"/>
                <w:color w:val="auto"/>
              </w:rPr>
            </w:pPr>
            <w:r>
              <w:rPr>
                <w:rFonts w:ascii="Arial" w:cs="Arial" w:eastAsia="Arial" w:hAnsi="Arial"/>
                <w:sz w:val="16"/>
                <w:szCs w:val="16"/>
                <w:color w:val="auto"/>
              </w:rPr>
              <w:t>The Board, along with support from the Committees, oversees aspects related to the Company’s</w:t>
            </w:r>
          </w:p>
        </w:tc>
      </w:tr>
      <w:tr>
        <w:trPr>
          <w:trHeight w:val="223"/>
        </w:trPr>
        <w:tc>
          <w:tcPr>
            <w:tcW w:w="1720" w:type="dxa"/>
            <w:vAlign w:val="bottom"/>
          </w:tcPr>
          <w:p>
            <w:pPr>
              <w:ind w:left="60"/>
              <w:spacing w:after="0"/>
              <w:rPr>
                <w:sz w:val="20"/>
                <w:szCs w:val="20"/>
                <w:color w:val="auto"/>
              </w:rPr>
            </w:pPr>
            <w:r>
              <w:rPr>
                <w:rFonts w:ascii="Arial" w:cs="Arial" w:eastAsia="Arial" w:hAnsi="Arial"/>
                <w:sz w:val="16"/>
                <w:szCs w:val="16"/>
                <w:b w:val="1"/>
                <w:bCs w:val="1"/>
                <w:color w:val="0956FF"/>
              </w:rPr>
              <w:t>Resiliency</w:t>
            </w:r>
          </w:p>
        </w:tc>
        <w:tc>
          <w:tcPr>
            <w:tcW w:w="7360" w:type="dxa"/>
            <w:vAlign w:val="bottom"/>
          </w:tcPr>
          <w:p>
            <w:pPr>
              <w:ind w:left="140"/>
              <w:spacing w:after="0"/>
              <w:rPr>
                <w:sz w:val="20"/>
                <w:szCs w:val="20"/>
                <w:color w:val="auto"/>
              </w:rPr>
            </w:pPr>
            <w:r>
              <w:rPr>
                <w:rFonts w:ascii="Arial" w:cs="Arial" w:eastAsia="Arial" w:hAnsi="Arial"/>
                <w:sz w:val="16"/>
                <w:szCs w:val="16"/>
                <w:color w:val="auto"/>
              </w:rPr>
              <w:t>supply chain, including material costs, logistics, and sustainability.</w:t>
            </w:r>
          </w:p>
        </w:tc>
      </w:tr>
      <w:tr>
        <w:trPr>
          <w:trHeight w:val="75"/>
        </w:trPr>
        <w:tc>
          <w:tcPr>
            <w:tcW w:w="1720" w:type="dxa"/>
            <w:vAlign w:val="bottom"/>
            <w:tcBorders>
              <w:bottom w:val="single" w:sz="8" w:color="0956FF"/>
            </w:tcBorders>
          </w:tcPr>
          <w:p>
            <w:pPr>
              <w:spacing w:after="0"/>
              <w:rPr>
                <w:sz w:val="6"/>
                <w:szCs w:val="6"/>
                <w:color w:val="auto"/>
              </w:rPr>
            </w:pPr>
          </w:p>
        </w:tc>
        <w:tc>
          <w:tcPr>
            <w:tcW w:w="7360" w:type="dxa"/>
            <w:vAlign w:val="bottom"/>
            <w:tcBorders>
              <w:bottom w:val="single" w:sz="8" w:color="0956FF"/>
            </w:tcBorders>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9080"/>
          </w:cols>
          <w:pgMar w:left="1400" w:top="657" w:right="141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Cybersecurity Risk Oversight</w:t>
      </w:r>
    </w:p>
    <w:p>
      <w:pPr>
        <w:spacing w:after="0" w:line="99" w:lineRule="exact"/>
        <w:rPr>
          <w:sz w:val="20"/>
          <w:szCs w:val="20"/>
          <w:color w:val="auto"/>
        </w:rPr>
      </w:pPr>
    </w:p>
    <w:p>
      <w:pPr>
        <w:ind w:right="200"/>
        <w:spacing w:after="0" w:line="216" w:lineRule="exact"/>
        <w:rPr>
          <w:sz w:val="20"/>
          <w:szCs w:val="20"/>
          <w:color w:val="auto"/>
        </w:rPr>
      </w:pPr>
      <w:r>
        <w:rPr>
          <w:rFonts w:ascii="Arial" w:cs="Arial" w:eastAsia="Arial" w:hAnsi="Arial"/>
          <w:sz w:val="16"/>
          <w:szCs w:val="16"/>
          <w:color w:val="auto"/>
        </w:rPr>
        <w:t>In addition to the selected areas above, the Board has assigned its Risk and Cybersecurity Committee specific responsibility for overseeing the Company’s cybersecurity risks and related threats. Material risks from cybersecurity threats are managed across GM and service providers such as data processors, third</w:t>
      </w:r>
      <w:r>
        <w:rPr>
          <w:rFonts w:ascii="MS PGothic" w:cs="MS PGothic" w:eastAsia="MS PGothic" w:hAnsi="MS PGothic"/>
          <w:sz w:val="16"/>
          <w:szCs w:val="16"/>
          <w:color w:val="auto"/>
        </w:rPr>
        <w:t>‑</w:t>
      </w:r>
      <w:r>
        <w:rPr>
          <w:rFonts w:ascii="Arial" w:cs="Arial" w:eastAsia="Arial" w:hAnsi="Arial"/>
          <w:sz w:val="16"/>
          <w:szCs w:val="16"/>
          <w:color w:val="auto"/>
        </w:rPr>
        <w:t>party suppliers, dealers, and vendors, and monitoring of such risks and threats is integrated into the Company’s enterprise risk management program described above.</w:t>
      </w:r>
    </w:p>
    <w:p>
      <w:pPr>
        <w:spacing w:after="0" w:line="151" w:lineRule="exact"/>
        <w:rPr>
          <w:sz w:val="20"/>
          <w:szCs w:val="20"/>
          <w:color w:val="auto"/>
        </w:rPr>
      </w:pPr>
    </w:p>
    <w:p>
      <w:pPr>
        <w:jc w:val="both"/>
        <w:ind w:right="620"/>
        <w:spacing w:after="0" w:line="301" w:lineRule="auto"/>
        <w:rPr>
          <w:sz w:val="20"/>
          <w:szCs w:val="20"/>
          <w:color w:val="auto"/>
        </w:rPr>
      </w:pPr>
      <w:r>
        <w:rPr>
          <w:rFonts w:ascii="Arial" w:cs="Arial" w:eastAsia="Arial" w:hAnsi="Arial"/>
          <w:sz w:val="16"/>
          <w:szCs w:val="16"/>
          <w:color w:val="auto"/>
        </w:rPr>
        <w:t>The Company’s cybersecurity organization is led by the Company’s Chief Information Security Officer (“CISO”), who is responsible for assessing and managing material risks from cybersecurity threats and regularly reports to the Risk and Cybersecurity Committee on these matters.</w:t>
      </w:r>
    </w:p>
    <w:p>
      <w:pPr>
        <w:spacing w:after="0" w:line="91"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The Company’s cybersecurity maturity scorecard, key cybersecurity threats, and significant incident information are reviewed by the CISO, the Risk and Cybersecurity Committee, and the Cybersecurity Management Board during standing meetings, as well as in special sessions, when appropriate. During the reviews, various topics are discussed, which may include: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72"/>
        </w:trPr>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Implementation and</w:t>
            </w:r>
          </w:p>
        </w:tc>
        <w:tc>
          <w:tcPr>
            <w:tcW w:w="40" w:type="dxa"/>
            <w:vAlign w:val="bottom"/>
          </w:tcPr>
          <w:p>
            <w:pPr>
              <w:spacing w:after="0"/>
              <w:rPr>
                <w:sz w:val="24"/>
                <w:szCs w:val="24"/>
                <w:color w:val="auto"/>
              </w:rPr>
            </w:pPr>
          </w:p>
        </w:tc>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Cybersecurity and</w:t>
            </w:r>
          </w:p>
        </w:tc>
        <w:tc>
          <w:tcPr>
            <w:tcW w:w="60" w:type="dxa"/>
            <w:vAlign w:val="bottom"/>
          </w:tcPr>
          <w:p>
            <w:pPr>
              <w:spacing w:after="0"/>
              <w:rPr>
                <w:sz w:val="24"/>
                <w:szCs w:val="24"/>
                <w:color w:val="auto"/>
              </w:rPr>
            </w:pPr>
          </w:p>
        </w:tc>
        <w:tc>
          <w:tcPr>
            <w:tcW w:w="2220" w:type="dxa"/>
            <w:vAlign w:val="bottom"/>
            <w:shd w:val="clear" w:color="auto" w:fill="0956FF"/>
          </w:tcPr>
          <w:p>
            <w:pPr>
              <w:ind w:left="220"/>
              <w:spacing w:after="0"/>
              <w:rPr>
                <w:sz w:val="20"/>
                <w:szCs w:val="20"/>
                <w:color w:val="auto"/>
              </w:rPr>
            </w:pPr>
            <w:r>
              <w:rPr>
                <w:rFonts w:ascii="Arial" w:cs="Arial" w:eastAsia="Arial" w:hAnsi="Arial"/>
                <w:sz w:val="16"/>
                <w:szCs w:val="16"/>
                <w:color w:val="FFFFFF"/>
              </w:rPr>
              <w:t>Intelligence briefings on</w:t>
            </w:r>
          </w:p>
        </w:tc>
        <w:tc>
          <w:tcPr>
            <w:tcW w:w="60" w:type="dxa"/>
            <w:vAlign w:val="bottom"/>
          </w:tcPr>
          <w:p>
            <w:pPr>
              <w:spacing w:after="0"/>
              <w:rPr>
                <w:sz w:val="24"/>
                <w:szCs w:val="24"/>
                <w:color w:val="auto"/>
              </w:rPr>
            </w:pPr>
          </w:p>
        </w:tc>
        <w:tc>
          <w:tcPr>
            <w:tcW w:w="2220" w:type="dxa"/>
            <w:vAlign w:val="bottom"/>
            <w:shd w:val="clear" w:color="auto" w:fill="0956FF"/>
          </w:tcPr>
          <w:p>
            <w:pPr>
              <w:ind w:left="220"/>
              <w:spacing w:after="0"/>
              <w:rPr>
                <w:sz w:val="20"/>
                <w:szCs w:val="20"/>
                <w:color w:val="auto"/>
              </w:rPr>
            </w:pPr>
            <w:r>
              <w:rPr>
                <w:rFonts w:ascii="Arial" w:cs="Arial" w:eastAsia="Arial" w:hAnsi="Arial"/>
                <w:sz w:val="16"/>
                <w:szCs w:val="16"/>
                <w:color w:val="FFFFFF"/>
              </w:rPr>
              <w:t>Cybersecurity budget</w:t>
            </w:r>
          </w:p>
        </w:tc>
      </w:tr>
      <w:tr>
        <w:trPr>
          <w:trHeight w:val="216"/>
        </w:trPr>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maturity of the</w:t>
            </w:r>
          </w:p>
        </w:tc>
        <w:tc>
          <w:tcPr>
            <w:tcW w:w="40" w:type="dxa"/>
            <w:vAlign w:val="bottom"/>
          </w:tcPr>
          <w:p>
            <w:pPr>
              <w:spacing w:after="0"/>
              <w:rPr>
                <w:sz w:val="18"/>
                <w:szCs w:val="18"/>
                <w:color w:val="auto"/>
              </w:rPr>
            </w:pPr>
          </w:p>
        </w:tc>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privacy risk, including</w:t>
            </w:r>
          </w:p>
        </w:tc>
        <w:tc>
          <w:tcPr>
            <w:tcW w:w="60" w:type="dxa"/>
            <w:vAlign w:val="bottom"/>
          </w:tcPr>
          <w:p>
            <w:pPr>
              <w:spacing w:after="0"/>
              <w:rPr>
                <w:sz w:val="18"/>
                <w:szCs w:val="18"/>
                <w:color w:val="auto"/>
              </w:rPr>
            </w:pPr>
          </w:p>
        </w:tc>
        <w:tc>
          <w:tcPr>
            <w:tcW w:w="2220" w:type="dxa"/>
            <w:vAlign w:val="bottom"/>
            <w:shd w:val="clear" w:color="auto" w:fill="0956FF"/>
          </w:tcPr>
          <w:p>
            <w:pPr>
              <w:ind w:left="220"/>
              <w:spacing w:after="0"/>
              <w:rPr>
                <w:sz w:val="20"/>
                <w:szCs w:val="20"/>
                <w:color w:val="auto"/>
              </w:rPr>
            </w:pPr>
            <w:r>
              <w:rPr>
                <w:rFonts w:ascii="Arial" w:cs="Arial" w:eastAsia="Arial" w:hAnsi="Arial"/>
                <w:sz w:val="16"/>
                <w:szCs w:val="16"/>
                <w:color w:val="FFFFFF"/>
              </w:rPr>
              <w:t>notable cyber events</w:t>
            </w:r>
          </w:p>
        </w:tc>
        <w:tc>
          <w:tcPr>
            <w:tcW w:w="60" w:type="dxa"/>
            <w:vAlign w:val="bottom"/>
          </w:tcPr>
          <w:p>
            <w:pPr>
              <w:spacing w:after="0"/>
              <w:rPr>
                <w:sz w:val="18"/>
                <w:szCs w:val="18"/>
                <w:color w:val="auto"/>
              </w:rPr>
            </w:pPr>
          </w:p>
        </w:tc>
        <w:tc>
          <w:tcPr>
            <w:tcW w:w="2220" w:type="dxa"/>
            <w:vAlign w:val="bottom"/>
            <w:shd w:val="clear" w:color="auto" w:fill="0956FF"/>
          </w:tcPr>
          <w:p>
            <w:pPr>
              <w:ind w:left="220"/>
              <w:spacing w:after="0"/>
              <w:rPr>
                <w:sz w:val="20"/>
                <w:szCs w:val="20"/>
                <w:color w:val="auto"/>
              </w:rPr>
            </w:pPr>
            <w:r>
              <w:rPr>
                <w:rFonts w:ascii="Arial" w:cs="Arial" w:eastAsia="Arial" w:hAnsi="Arial"/>
                <w:sz w:val="16"/>
                <w:szCs w:val="16"/>
                <w:color w:val="FFFFFF"/>
              </w:rPr>
              <w:t>and resource allocation,</w:t>
            </w:r>
          </w:p>
        </w:tc>
      </w:tr>
      <w:tr>
        <w:trPr>
          <w:trHeight w:val="216"/>
        </w:trPr>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cybersecurity program</w:t>
            </w:r>
          </w:p>
        </w:tc>
        <w:tc>
          <w:tcPr>
            <w:tcW w:w="40" w:type="dxa"/>
            <w:vAlign w:val="bottom"/>
          </w:tcPr>
          <w:p>
            <w:pPr>
              <w:spacing w:after="0"/>
              <w:rPr>
                <w:sz w:val="18"/>
                <w:szCs w:val="18"/>
                <w:color w:val="auto"/>
              </w:rPr>
            </w:pPr>
          </w:p>
        </w:tc>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potential impacts to our</w:t>
            </w:r>
          </w:p>
        </w:tc>
        <w:tc>
          <w:tcPr>
            <w:tcW w:w="60" w:type="dxa"/>
            <w:vAlign w:val="bottom"/>
          </w:tcPr>
          <w:p>
            <w:pPr>
              <w:spacing w:after="0"/>
              <w:rPr>
                <w:sz w:val="18"/>
                <w:szCs w:val="18"/>
                <w:color w:val="auto"/>
              </w:rPr>
            </w:pPr>
          </w:p>
        </w:tc>
        <w:tc>
          <w:tcPr>
            <w:tcW w:w="2220" w:type="dxa"/>
            <w:vAlign w:val="bottom"/>
            <w:shd w:val="clear" w:color="auto" w:fill="0956FF"/>
          </w:tcPr>
          <w:p>
            <w:pPr>
              <w:ind w:left="220"/>
              <w:spacing w:after="0"/>
              <w:rPr>
                <w:sz w:val="20"/>
                <w:szCs w:val="20"/>
                <w:color w:val="auto"/>
              </w:rPr>
            </w:pPr>
            <w:r>
              <w:rPr>
                <w:rFonts w:ascii="Arial" w:cs="Arial" w:eastAsia="Arial" w:hAnsi="Arial"/>
                <w:sz w:val="16"/>
                <w:szCs w:val="16"/>
                <w:color w:val="FFFFFF"/>
              </w:rPr>
              <w:t>impacting the industry</w:t>
            </w:r>
          </w:p>
        </w:tc>
        <w:tc>
          <w:tcPr>
            <w:tcW w:w="60" w:type="dxa"/>
            <w:vAlign w:val="bottom"/>
          </w:tcPr>
          <w:p>
            <w:pPr>
              <w:spacing w:after="0"/>
              <w:rPr>
                <w:sz w:val="18"/>
                <w:szCs w:val="18"/>
                <w:color w:val="auto"/>
              </w:rPr>
            </w:pPr>
          </w:p>
        </w:tc>
        <w:tc>
          <w:tcPr>
            <w:tcW w:w="2220" w:type="dxa"/>
            <w:vAlign w:val="bottom"/>
            <w:shd w:val="clear" w:color="auto" w:fill="0956FF"/>
          </w:tcPr>
          <w:p>
            <w:pPr>
              <w:ind w:left="220"/>
              <w:spacing w:after="0"/>
              <w:rPr>
                <w:sz w:val="20"/>
                <w:szCs w:val="20"/>
                <w:color w:val="auto"/>
              </w:rPr>
            </w:pPr>
            <w:r>
              <w:rPr>
                <w:rFonts w:ascii="Arial" w:cs="Arial" w:eastAsia="Arial" w:hAnsi="Arial"/>
                <w:sz w:val="16"/>
                <w:szCs w:val="16"/>
                <w:color w:val="FFFFFF"/>
              </w:rPr>
              <w:t>including industry</w:t>
            </w:r>
          </w:p>
        </w:tc>
      </w:tr>
      <w:tr>
        <w:trPr>
          <w:trHeight w:val="182"/>
        </w:trPr>
        <w:tc>
          <w:tcPr>
            <w:tcW w:w="2240" w:type="dxa"/>
            <w:vAlign w:val="bottom"/>
            <w:shd w:val="clear" w:color="auto" w:fill="0956FF"/>
          </w:tcPr>
          <w:p>
            <w:pPr>
              <w:ind w:left="240"/>
              <w:spacing w:after="0" w:line="181" w:lineRule="exact"/>
              <w:rPr>
                <w:sz w:val="20"/>
                <w:szCs w:val="20"/>
                <w:color w:val="auto"/>
              </w:rPr>
            </w:pPr>
            <w:r>
              <w:rPr>
                <w:rFonts w:ascii="Arial" w:cs="Arial" w:eastAsia="Arial" w:hAnsi="Arial"/>
                <w:sz w:val="16"/>
                <w:szCs w:val="16"/>
                <w:color w:val="FFFFFF"/>
              </w:rPr>
              <w:t>and cybersecurity</w:t>
            </w:r>
          </w:p>
        </w:tc>
        <w:tc>
          <w:tcPr>
            <w:tcW w:w="40" w:type="dxa"/>
            <w:vAlign w:val="bottom"/>
          </w:tcPr>
          <w:p>
            <w:pPr>
              <w:spacing w:after="0"/>
              <w:rPr>
                <w:sz w:val="15"/>
                <w:szCs w:val="15"/>
                <w:color w:val="auto"/>
              </w:rPr>
            </w:pPr>
          </w:p>
        </w:tc>
        <w:tc>
          <w:tcPr>
            <w:tcW w:w="2240" w:type="dxa"/>
            <w:vAlign w:val="bottom"/>
            <w:shd w:val="clear" w:color="auto" w:fill="0956FF"/>
          </w:tcPr>
          <w:p>
            <w:pPr>
              <w:ind w:left="240"/>
              <w:spacing w:after="0" w:line="181" w:lineRule="exact"/>
              <w:rPr>
                <w:sz w:val="20"/>
                <w:szCs w:val="20"/>
                <w:color w:val="auto"/>
              </w:rPr>
            </w:pPr>
            <w:r>
              <w:rPr>
                <w:rFonts w:ascii="Arial" w:cs="Arial" w:eastAsia="Arial" w:hAnsi="Arial"/>
                <w:sz w:val="16"/>
                <w:szCs w:val="16"/>
                <w:color w:val="FFFFFF"/>
              </w:rPr>
              <w:t>employees, customers,</w:t>
            </w:r>
          </w:p>
        </w:tc>
        <w:tc>
          <w:tcPr>
            <w:tcW w:w="60" w:type="dxa"/>
            <w:vAlign w:val="bottom"/>
          </w:tcPr>
          <w:p>
            <w:pPr>
              <w:spacing w:after="0"/>
              <w:rPr>
                <w:sz w:val="15"/>
                <w:szCs w:val="15"/>
                <w:color w:val="auto"/>
              </w:rPr>
            </w:pPr>
          </w:p>
        </w:tc>
        <w:tc>
          <w:tcPr>
            <w:tcW w:w="2220" w:type="dxa"/>
            <w:vAlign w:val="bottom"/>
            <w:shd w:val="clear" w:color="auto" w:fill="0956FF"/>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shd w:val="clear" w:color="auto" w:fill="0956FF"/>
          </w:tcPr>
          <w:p>
            <w:pPr>
              <w:ind w:left="220"/>
              <w:spacing w:after="0" w:line="181" w:lineRule="exact"/>
              <w:rPr>
                <w:sz w:val="20"/>
                <w:szCs w:val="20"/>
                <w:color w:val="auto"/>
              </w:rPr>
            </w:pPr>
            <w:r>
              <w:rPr>
                <w:rFonts w:ascii="Arial" w:cs="Arial" w:eastAsia="Arial" w:hAnsi="Arial"/>
                <w:sz w:val="16"/>
                <w:szCs w:val="16"/>
                <w:color w:val="FFFFFF"/>
              </w:rPr>
              <w:t>benchmarking and</w:t>
            </w:r>
          </w:p>
        </w:tc>
      </w:tr>
      <w:tr>
        <w:trPr>
          <w:trHeight w:val="252"/>
        </w:trPr>
        <w:tc>
          <w:tcPr>
            <w:tcW w:w="2240" w:type="dxa"/>
            <w:vAlign w:val="bottom"/>
            <w:shd w:val="clear" w:color="auto" w:fill="0956FF"/>
          </w:tcPr>
          <w:p>
            <w:pPr>
              <w:ind w:left="240"/>
              <w:spacing w:after="0" w:line="184" w:lineRule="exact"/>
              <w:rPr>
                <w:sz w:val="20"/>
                <w:szCs w:val="20"/>
                <w:color w:val="auto"/>
              </w:rPr>
            </w:pPr>
            <w:r>
              <w:rPr>
                <w:rFonts w:ascii="Arial" w:cs="Arial" w:eastAsia="Arial" w:hAnsi="Arial"/>
                <w:sz w:val="16"/>
                <w:szCs w:val="16"/>
                <w:color w:val="FFFFFF"/>
              </w:rPr>
              <w:t>risk</w:t>
            </w:r>
            <w:r>
              <w:rPr>
                <w:rFonts w:ascii="MS PGothic" w:cs="MS PGothic" w:eastAsia="MS PGothic" w:hAnsi="MS PGothic"/>
                <w:sz w:val="16"/>
                <w:szCs w:val="16"/>
                <w:color w:val="FFFFFF"/>
              </w:rPr>
              <w:t>‑</w:t>
            </w:r>
            <w:r>
              <w:rPr>
                <w:rFonts w:ascii="Arial" w:cs="Arial" w:eastAsia="Arial" w:hAnsi="Arial"/>
                <w:sz w:val="16"/>
                <w:szCs w:val="16"/>
                <w:color w:val="FFFFFF"/>
              </w:rPr>
              <w:t>management</w:t>
            </w:r>
          </w:p>
        </w:tc>
        <w:tc>
          <w:tcPr>
            <w:tcW w:w="40" w:type="dxa"/>
            <w:vAlign w:val="bottom"/>
          </w:tcPr>
          <w:p>
            <w:pPr>
              <w:spacing w:after="0"/>
              <w:rPr>
                <w:sz w:val="21"/>
                <w:szCs w:val="21"/>
                <w:color w:val="auto"/>
              </w:rPr>
            </w:pPr>
          </w:p>
        </w:tc>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supply chain, joint</w:t>
            </w:r>
          </w:p>
        </w:tc>
        <w:tc>
          <w:tcPr>
            <w:tcW w:w="60" w:type="dxa"/>
            <w:vAlign w:val="bottom"/>
          </w:tcPr>
          <w:p>
            <w:pPr>
              <w:spacing w:after="0"/>
              <w:rPr>
                <w:sz w:val="21"/>
                <w:szCs w:val="21"/>
                <w:color w:val="auto"/>
              </w:rPr>
            </w:pPr>
          </w:p>
        </w:tc>
        <w:tc>
          <w:tcPr>
            <w:tcW w:w="2220" w:type="dxa"/>
            <w:vAlign w:val="bottom"/>
            <w:shd w:val="clear" w:color="auto" w:fill="0956FF"/>
          </w:tcPr>
          <w:p>
            <w:pPr>
              <w:spacing w:after="0"/>
              <w:rPr>
                <w:sz w:val="21"/>
                <w:szCs w:val="21"/>
                <w:color w:val="auto"/>
              </w:rPr>
            </w:pPr>
          </w:p>
        </w:tc>
        <w:tc>
          <w:tcPr>
            <w:tcW w:w="60" w:type="dxa"/>
            <w:vAlign w:val="bottom"/>
          </w:tcPr>
          <w:p>
            <w:pPr>
              <w:spacing w:after="0"/>
              <w:rPr>
                <w:sz w:val="21"/>
                <w:szCs w:val="21"/>
                <w:color w:val="auto"/>
              </w:rPr>
            </w:pPr>
          </w:p>
        </w:tc>
        <w:tc>
          <w:tcPr>
            <w:tcW w:w="2220" w:type="dxa"/>
            <w:vAlign w:val="bottom"/>
            <w:shd w:val="clear" w:color="auto" w:fill="0956FF"/>
          </w:tcPr>
          <w:p>
            <w:pPr>
              <w:ind w:left="220"/>
              <w:spacing w:after="0" w:line="184" w:lineRule="exact"/>
              <w:rPr>
                <w:sz w:val="20"/>
                <w:szCs w:val="20"/>
                <w:color w:val="auto"/>
              </w:rPr>
            </w:pPr>
            <w:r>
              <w:rPr>
                <w:rFonts w:ascii="Arial" w:cs="Arial" w:eastAsia="Arial" w:hAnsi="Arial"/>
                <w:sz w:val="16"/>
                <w:szCs w:val="16"/>
                <w:color w:val="FFFFFF"/>
              </w:rPr>
              <w:t>scenario</w:t>
            </w:r>
            <w:r>
              <w:rPr>
                <w:rFonts w:ascii="MS PGothic" w:cs="MS PGothic" w:eastAsia="MS PGothic" w:hAnsi="MS PGothic"/>
                <w:sz w:val="16"/>
                <w:szCs w:val="16"/>
                <w:color w:val="FFFFFF"/>
              </w:rPr>
              <w:t>‑</w:t>
            </w:r>
            <w:r>
              <w:rPr>
                <w:rFonts w:ascii="Arial" w:cs="Arial" w:eastAsia="Arial" w:hAnsi="Arial"/>
                <w:sz w:val="16"/>
                <w:szCs w:val="16"/>
                <w:color w:val="FFFFFF"/>
              </w:rPr>
              <w:t>based</w:t>
            </w:r>
          </w:p>
        </w:tc>
      </w:tr>
      <w:tr>
        <w:trPr>
          <w:trHeight w:val="215"/>
        </w:trPr>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framework, including</w:t>
            </w:r>
          </w:p>
        </w:tc>
        <w:tc>
          <w:tcPr>
            <w:tcW w:w="40" w:type="dxa"/>
            <w:vAlign w:val="bottom"/>
          </w:tcPr>
          <w:p>
            <w:pPr>
              <w:spacing w:after="0"/>
              <w:rPr>
                <w:sz w:val="18"/>
                <w:szCs w:val="18"/>
                <w:color w:val="auto"/>
              </w:rPr>
            </w:pPr>
          </w:p>
        </w:tc>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ventures, and other</w:t>
            </w:r>
          </w:p>
        </w:tc>
        <w:tc>
          <w:tcPr>
            <w:tcW w:w="60" w:type="dxa"/>
            <w:vAlign w:val="bottom"/>
          </w:tcPr>
          <w:p>
            <w:pPr>
              <w:spacing w:after="0"/>
              <w:rPr>
                <w:sz w:val="18"/>
                <w:szCs w:val="18"/>
                <w:color w:val="auto"/>
              </w:rPr>
            </w:pPr>
          </w:p>
        </w:tc>
        <w:tc>
          <w:tcPr>
            <w:tcW w:w="2220" w:type="dxa"/>
            <w:vAlign w:val="bottom"/>
            <w:shd w:val="clear" w:color="auto" w:fill="0956FF"/>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956FF"/>
          </w:tcPr>
          <w:p>
            <w:pPr>
              <w:ind w:left="220"/>
              <w:spacing w:after="0"/>
              <w:rPr>
                <w:sz w:val="20"/>
                <w:szCs w:val="20"/>
                <w:color w:val="auto"/>
              </w:rPr>
            </w:pPr>
            <w:r>
              <w:rPr>
                <w:rFonts w:ascii="Arial" w:cs="Arial" w:eastAsia="Arial" w:hAnsi="Arial"/>
                <w:sz w:val="16"/>
                <w:szCs w:val="16"/>
                <w:color w:val="FFFFFF"/>
              </w:rPr>
              <w:t>economic modeling of</w:t>
            </w:r>
          </w:p>
        </w:tc>
      </w:tr>
      <w:tr>
        <w:trPr>
          <w:trHeight w:val="216"/>
        </w:trPr>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key cybersecurity</w:t>
            </w:r>
          </w:p>
        </w:tc>
        <w:tc>
          <w:tcPr>
            <w:tcW w:w="40" w:type="dxa"/>
            <w:vAlign w:val="bottom"/>
          </w:tcPr>
          <w:p>
            <w:pPr>
              <w:spacing w:after="0"/>
              <w:rPr>
                <w:sz w:val="18"/>
                <w:szCs w:val="18"/>
                <w:color w:val="auto"/>
              </w:rPr>
            </w:pPr>
          </w:p>
        </w:tc>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stakeholders</w:t>
            </w:r>
          </w:p>
        </w:tc>
        <w:tc>
          <w:tcPr>
            <w:tcW w:w="60" w:type="dxa"/>
            <w:vAlign w:val="bottom"/>
          </w:tcPr>
          <w:p>
            <w:pPr>
              <w:spacing w:after="0"/>
              <w:rPr>
                <w:sz w:val="18"/>
                <w:szCs w:val="18"/>
                <w:color w:val="auto"/>
              </w:rPr>
            </w:pPr>
          </w:p>
        </w:tc>
        <w:tc>
          <w:tcPr>
            <w:tcW w:w="2220" w:type="dxa"/>
            <w:vAlign w:val="bottom"/>
            <w:shd w:val="clear" w:color="auto" w:fill="0956FF"/>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956FF"/>
          </w:tcPr>
          <w:p>
            <w:pPr>
              <w:ind w:left="220"/>
              <w:spacing w:after="0"/>
              <w:rPr>
                <w:sz w:val="20"/>
                <w:szCs w:val="20"/>
                <w:color w:val="auto"/>
              </w:rPr>
            </w:pPr>
            <w:r>
              <w:rPr>
                <w:rFonts w:ascii="Arial" w:cs="Arial" w:eastAsia="Arial" w:hAnsi="Arial"/>
                <w:sz w:val="16"/>
                <w:szCs w:val="16"/>
                <w:color w:val="FFFFFF"/>
              </w:rPr>
              <w:t>various cybersecurity</w:t>
            </w:r>
          </w:p>
        </w:tc>
      </w:tr>
      <w:tr>
        <w:trPr>
          <w:trHeight w:val="216"/>
        </w:trPr>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policies, standards,</w:t>
            </w:r>
          </w:p>
        </w:tc>
        <w:tc>
          <w:tcPr>
            <w:tcW w:w="40" w:type="dxa"/>
            <w:vAlign w:val="bottom"/>
          </w:tcPr>
          <w:p>
            <w:pPr>
              <w:spacing w:after="0"/>
              <w:rPr>
                <w:sz w:val="18"/>
                <w:szCs w:val="18"/>
                <w:color w:val="auto"/>
              </w:rPr>
            </w:pPr>
          </w:p>
        </w:tc>
        <w:tc>
          <w:tcPr>
            <w:tcW w:w="2240" w:type="dxa"/>
            <w:vAlign w:val="bottom"/>
            <w:shd w:val="clear" w:color="auto" w:fill="0956FF"/>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956FF"/>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956FF"/>
          </w:tcPr>
          <w:p>
            <w:pPr>
              <w:ind w:left="220"/>
              <w:spacing w:after="0"/>
              <w:rPr>
                <w:sz w:val="20"/>
                <w:szCs w:val="20"/>
                <w:color w:val="auto"/>
              </w:rPr>
            </w:pPr>
            <w:r>
              <w:rPr>
                <w:rFonts w:ascii="Arial" w:cs="Arial" w:eastAsia="Arial" w:hAnsi="Arial"/>
                <w:sz w:val="16"/>
                <w:szCs w:val="16"/>
                <w:color w:val="FFFFFF"/>
              </w:rPr>
              <w:t>events</w:t>
            </w:r>
          </w:p>
        </w:tc>
      </w:tr>
      <w:tr>
        <w:trPr>
          <w:trHeight w:val="216"/>
        </w:trPr>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procedures, and</w:t>
            </w:r>
          </w:p>
        </w:tc>
        <w:tc>
          <w:tcPr>
            <w:tcW w:w="40" w:type="dxa"/>
            <w:vAlign w:val="bottom"/>
          </w:tcPr>
          <w:p>
            <w:pPr>
              <w:spacing w:after="0"/>
              <w:rPr>
                <w:sz w:val="18"/>
                <w:szCs w:val="18"/>
                <w:color w:val="auto"/>
              </w:rPr>
            </w:pPr>
          </w:p>
        </w:tc>
        <w:tc>
          <w:tcPr>
            <w:tcW w:w="2240" w:type="dxa"/>
            <w:vAlign w:val="bottom"/>
            <w:shd w:val="clear" w:color="auto" w:fill="0956FF"/>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956FF"/>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956FF"/>
          </w:tcPr>
          <w:p>
            <w:pPr>
              <w:spacing w:after="0"/>
              <w:rPr>
                <w:sz w:val="18"/>
                <w:szCs w:val="18"/>
                <w:color w:val="auto"/>
              </w:rPr>
            </w:pPr>
          </w:p>
        </w:tc>
      </w:tr>
      <w:tr>
        <w:trPr>
          <w:trHeight w:val="216"/>
        </w:trPr>
        <w:tc>
          <w:tcPr>
            <w:tcW w:w="2240" w:type="dxa"/>
            <w:vAlign w:val="bottom"/>
            <w:shd w:val="clear" w:color="auto" w:fill="0956FF"/>
          </w:tcPr>
          <w:p>
            <w:pPr>
              <w:ind w:left="240"/>
              <w:spacing w:after="0"/>
              <w:rPr>
                <w:sz w:val="20"/>
                <w:szCs w:val="20"/>
                <w:color w:val="auto"/>
              </w:rPr>
            </w:pPr>
            <w:r>
              <w:rPr>
                <w:rFonts w:ascii="Arial" w:cs="Arial" w:eastAsia="Arial" w:hAnsi="Arial"/>
                <w:sz w:val="16"/>
                <w:szCs w:val="16"/>
                <w:color w:val="FFFFFF"/>
              </w:rPr>
              <w:t>governance</w:t>
            </w:r>
          </w:p>
        </w:tc>
        <w:tc>
          <w:tcPr>
            <w:tcW w:w="40" w:type="dxa"/>
            <w:vAlign w:val="bottom"/>
          </w:tcPr>
          <w:p>
            <w:pPr>
              <w:spacing w:after="0"/>
              <w:rPr>
                <w:sz w:val="18"/>
                <w:szCs w:val="18"/>
                <w:color w:val="auto"/>
              </w:rPr>
            </w:pPr>
          </w:p>
        </w:tc>
        <w:tc>
          <w:tcPr>
            <w:tcW w:w="2240" w:type="dxa"/>
            <w:vAlign w:val="bottom"/>
            <w:shd w:val="clear" w:color="auto" w:fill="0956FF"/>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956FF"/>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shd w:val="clear" w:color="auto" w:fill="0956FF"/>
          </w:tcPr>
          <w:p>
            <w:pPr>
              <w:spacing w:after="0"/>
              <w:rPr>
                <w:sz w:val="18"/>
                <w:szCs w:val="18"/>
                <w:color w:val="auto"/>
              </w:rPr>
            </w:pPr>
          </w:p>
        </w:tc>
      </w:tr>
      <w:tr>
        <w:trPr>
          <w:trHeight w:val="205"/>
        </w:trPr>
        <w:tc>
          <w:tcPr>
            <w:tcW w:w="2240" w:type="dxa"/>
            <w:vAlign w:val="bottom"/>
            <w:shd w:val="clear" w:color="auto" w:fill="0956FF"/>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shd w:val="clear" w:color="auto" w:fill="0956FF"/>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shd w:val="clear" w:color="auto" w:fill="0956FF"/>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shd w:val="clear" w:color="auto" w:fill="0956FF"/>
          </w:tcPr>
          <w:p>
            <w:pPr>
              <w:spacing w:after="0"/>
              <w:rPr>
                <w:sz w:val="17"/>
                <w:szCs w:val="17"/>
                <w:color w:val="auto"/>
              </w:rPr>
            </w:pPr>
          </w:p>
        </w:tc>
      </w:tr>
      <w:tr>
        <w:trPr>
          <w:trHeight w:val="310"/>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83"/>
        </w:trPr>
        <w:tc>
          <w:tcPr>
            <w:tcW w:w="2240" w:type="dxa"/>
            <w:vAlign w:val="bottom"/>
            <w:shd w:val="clear" w:color="auto" w:fill="ECEBEB"/>
          </w:tcPr>
          <w:p>
            <w:pPr>
              <w:spacing w:after="0"/>
              <w:rPr>
                <w:sz w:val="24"/>
                <w:szCs w:val="24"/>
                <w:color w:val="auto"/>
              </w:rPr>
            </w:pPr>
          </w:p>
        </w:tc>
        <w:tc>
          <w:tcPr>
            <w:tcW w:w="40" w:type="dxa"/>
            <w:vAlign w:val="bottom"/>
            <w:shd w:val="clear" w:color="auto" w:fill="ECEBEB"/>
          </w:tcPr>
          <w:p>
            <w:pPr>
              <w:spacing w:after="0"/>
              <w:rPr>
                <w:sz w:val="24"/>
                <w:szCs w:val="24"/>
                <w:color w:val="auto"/>
              </w:rPr>
            </w:pPr>
          </w:p>
        </w:tc>
        <w:tc>
          <w:tcPr>
            <w:tcW w:w="2240" w:type="dxa"/>
            <w:vAlign w:val="bottom"/>
            <w:shd w:val="clear" w:color="auto" w:fill="ECEBEB"/>
          </w:tcPr>
          <w:p>
            <w:pPr>
              <w:spacing w:after="0"/>
              <w:rPr>
                <w:sz w:val="24"/>
                <w:szCs w:val="24"/>
                <w:color w:val="auto"/>
              </w:rPr>
            </w:pPr>
          </w:p>
        </w:tc>
        <w:tc>
          <w:tcPr>
            <w:tcW w:w="60" w:type="dxa"/>
            <w:vAlign w:val="bottom"/>
            <w:shd w:val="clear" w:color="auto" w:fill="ECEBEB"/>
          </w:tcPr>
          <w:p>
            <w:pPr>
              <w:spacing w:after="0"/>
              <w:rPr>
                <w:sz w:val="24"/>
                <w:szCs w:val="24"/>
                <w:color w:val="auto"/>
              </w:rPr>
            </w:pPr>
          </w:p>
        </w:tc>
        <w:tc>
          <w:tcPr>
            <w:tcW w:w="2220" w:type="dxa"/>
            <w:vAlign w:val="bottom"/>
            <w:shd w:val="clear" w:color="auto" w:fill="ECEBEB"/>
          </w:tcPr>
          <w:p>
            <w:pPr>
              <w:spacing w:after="0"/>
              <w:rPr>
                <w:sz w:val="24"/>
                <w:szCs w:val="24"/>
                <w:color w:val="auto"/>
              </w:rPr>
            </w:pPr>
          </w:p>
        </w:tc>
        <w:tc>
          <w:tcPr>
            <w:tcW w:w="60" w:type="dxa"/>
            <w:vAlign w:val="bottom"/>
            <w:shd w:val="clear" w:color="auto" w:fill="ECEBEB"/>
          </w:tcPr>
          <w:p>
            <w:pPr>
              <w:spacing w:after="0"/>
              <w:rPr>
                <w:sz w:val="24"/>
                <w:szCs w:val="24"/>
                <w:color w:val="auto"/>
              </w:rPr>
            </w:pPr>
          </w:p>
        </w:tc>
        <w:tc>
          <w:tcPr>
            <w:tcW w:w="2220" w:type="dxa"/>
            <w:vAlign w:val="bottom"/>
            <w:shd w:val="clear" w:color="auto" w:fill="ECEBEB"/>
          </w:tcPr>
          <w:p>
            <w:pPr>
              <w:spacing w:after="0"/>
              <w:rPr>
                <w:sz w:val="24"/>
                <w:szCs w:val="24"/>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956FF"/>
        </w:rPr>
        <w:t>Director Education Spotlight</w:t>
      </w:r>
    </w:p>
    <w:p>
      <w:pPr>
        <w:spacing w:after="0" w:line="95" w:lineRule="exact"/>
        <w:rPr>
          <w:sz w:val="20"/>
          <w:szCs w:val="20"/>
          <w:color w:val="auto"/>
        </w:rPr>
      </w:pPr>
    </w:p>
    <w:p>
      <w:pPr>
        <w:ind w:left="340" w:right="500"/>
        <w:spacing w:after="0" w:line="291" w:lineRule="auto"/>
        <w:rPr>
          <w:sz w:val="20"/>
          <w:szCs w:val="20"/>
          <w:color w:val="auto"/>
        </w:rPr>
      </w:pPr>
      <w:r>
        <w:rPr>
          <w:rFonts w:ascii="Arial" w:cs="Arial" w:eastAsia="Arial" w:hAnsi="Arial"/>
          <w:sz w:val="16"/>
          <w:szCs w:val="16"/>
          <w:color w:val="auto"/>
        </w:rPr>
        <w:t>Throughout the year, the Board receives targeted educational briefings to support its oversight of the Company’s strategy and key risks. Over the past year, these briefings have included deep dives on notable cybersecurity threat actor groups, their tactics, techniques, and procedures, and how those campaigns map to GM’s security controls and areas of residual risk. The Board has also received external presentations on emerging technologies such as artificial intelligence, with a particular focus on the associated cybersecurity, privacy, and governance risks.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CEO Succession Planning</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Independent Lead Director oversees the CEO succession planning process, which includes the Board’s discussion of CEO succession planning at least annually. During this review, our CEO provides the Board with recommendations for, and evaluations of, potential CEO successors and discusses developmental plans for these successors. Directors engage with CEO candidates and senior management talent at Board and committee meetings and other forums to enable directors to personally assess candidates. The Board reviews management succession planning in the ordinary course of business as well as contingency planning in the event of an emergency or unanticipated event.</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25</w:t>
      </w:r>
    </w:p>
    <w:p>
      <w:pPr>
        <w:sectPr>
          <w:pgSz w:w="11900" w:h="16838" w:orient="portrait"/>
          <w:cols w:equalWidth="0" w:num="1">
            <w:col w:w="9100"/>
          </w:cols>
          <w:pgMar w:left="1400" w:top="657" w:right="13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956FF"/>
        </w:rPr>
        <w:t>Focus on Next-Generation Talent</w:t>
      </w:r>
    </w:p>
    <w:p>
      <w:pPr>
        <w:spacing w:after="0" w:line="95" w:lineRule="exact"/>
        <w:rPr>
          <w:sz w:val="20"/>
          <w:szCs w:val="20"/>
          <w:color w:val="auto"/>
        </w:rPr>
      </w:pPr>
    </w:p>
    <w:p>
      <w:pPr>
        <w:ind w:left="340" w:right="500"/>
        <w:spacing w:after="0" w:line="295" w:lineRule="auto"/>
        <w:rPr>
          <w:sz w:val="20"/>
          <w:szCs w:val="20"/>
          <w:color w:val="auto"/>
        </w:rPr>
      </w:pPr>
      <w:r>
        <w:rPr>
          <w:rFonts w:ascii="Arial" w:cs="Arial" w:eastAsia="Arial" w:hAnsi="Arial"/>
          <w:sz w:val="16"/>
          <w:szCs w:val="16"/>
          <w:color w:val="auto"/>
        </w:rPr>
        <w:t>Throughout 2025, the Board met with Company executives during meetings and other events, demonstrating the ongoing integration of talent management into Board oversight. These interactions are designed to expose the Board to the next generation of leaders. For instance, the Board had dinner with new software hires in August 2025 and lunch with high performers in December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Evaluation of CEO</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Each year, the Board reviews the CEO’s performance against her annual strategic goals. The non-management directors, meeting separately in executive session, annually conduct a formal evaluation of the CEO, and the results are communicated to the CEO by the Independent Lead Director and Compensation Committee Chair. The evaluation is based on both objective and subjective criteria, including, but not limited to, the Company’s financial performance, accomplishment of ongoing initiatives in furtherance of the Company’s long-term strategic objectives, and development of the Company’s senior management talent. The results of the evaluation are considered by the Compensation Committee in determining the compensation of the CEO as further described in the “Compensation Discussion and Analysis” section beginning on page 42 .</w:t>
      </w: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Board Processes and Insights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and Committee Meetings and Attendance</w:t>
      </w:r>
    </w:p>
    <w:p>
      <w:pPr>
        <w:spacing w:after="0" w:line="132"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In 2025, the Board conducted seven meetings. In addition, the Board’s committees held a combined 22 meetings throughout the year. The average director attendance at Board and committee meetings was 99 percent. Each director standing for re-election attended at least 92 percent of the total meetings of the Board and the respective committees on which they served in 2025.</w:t>
      </w:r>
    </w:p>
    <w:p>
      <w:pPr>
        <w:spacing w:after="0" w:line="94" w:lineRule="exact"/>
        <w:rPr>
          <w:sz w:val="20"/>
          <w:szCs w:val="20"/>
          <w:color w:val="auto"/>
        </w:rPr>
      </w:pPr>
    </w:p>
    <w:p>
      <w:pPr>
        <w:ind w:right="780"/>
        <w:spacing w:after="0" w:line="321" w:lineRule="auto"/>
        <w:rPr>
          <w:sz w:val="20"/>
          <w:szCs w:val="20"/>
          <w:color w:val="auto"/>
        </w:rPr>
      </w:pPr>
      <w:r>
        <w:rPr>
          <w:rFonts w:ascii="Arial" w:cs="Arial" w:eastAsia="Arial" w:hAnsi="Arial"/>
          <w:sz w:val="16"/>
          <w:szCs w:val="16"/>
          <w:color w:val="auto"/>
        </w:rPr>
        <w:t>Directors are encouraged to attend our annual meetings of shareholders. All directors that stood for election in 2025 attended the 2025 annual meeting.</w:t>
      </w:r>
    </w:p>
    <w:p>
      <w:pPr>
        <w:spacing w:after="0" w:line="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Sessions</w:t>
      </w:r>
    </w:p>
    <w:p>
      <w:pPr>
        <w:spacing w:after="0" w:line="11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Independent directors have an opportunity to meet in executive session without management present as part of each regularly scheduled Board and committee meeting. Executive sessions are chaired by our Independent Lead Director or the respective committee chair.</w:t>
      </w:r>
    </w:p>
    <w:p>
      <w:pPr>
        <w:spacing w:after="0" w:line="104"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During executive sessions of the Board, the independent directors may review CEO performance, compensation, and succession planning; strategy; key enterprise risks; future Board agendas and the flow of information to directors; corporate governance matters; and any other matters of importance to the Company raised during a meeting or otherwise presented by the independent directors.</w:t>
      </w:r>
    </w:p>
    <w:p>
      <w:pPr>
        <w:spacing w:after="0" w:line="108"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The non-management directors, all of whom are independent, met in executive session of the Board at each meeting in 2025, in addition to numerous executive sessions of the committees.</w:t>
      </w:r>
    </w:p>
    <w:p>
      <w:pPr>
        <w:spacing w:after="0" w:line="6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Orientation and Continuing Education</w:t>
      </w:r>
    </w:p>
    <w:p>
      <w:pPr>
        <w:spacing w:after="0" w:line="13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All new directors complete the Company’s director orientation program within the first year of their election. The orientation enables new directors to become familiar with the Company’s business and strategic plans, significant financial matters, core values and behaviors, compliance programs, corporate governance practices, and other key policies and practices. As part of the orientation, they meet individually with the Board Chair and CEO, President, and other key members of the Senior Leadership Team. They also attend a meeting of each Board committee at least once before being assigned to committees by the Board.</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9080"/>
          </w:cols>
          <w:pgMar w:left="1400" w:top="657" w:right="141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7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Continuing education opportunities are also provided to keep directors updated with information about the Company and its strategy, operations and products, and other matters relevant to Board service. Board members are also encouraged to visit GM facilities and dealers and attend auto shows and other key corporate and industry events to enhance their understanding of the Company and its competitors. In addition, all directors are encouraged to attend, at our expense, director continuing education programs sponsored by governance organizations and other institutions.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956FF"/>
        </w:rPr>
        <w:t>Hands-On Director Education Opportunities</w:t>
      </w:r>
    </w:p>
    <w:p>
      <w:pPr>
        <w:spacing w:after="0" w:line="59" w:lineRule="exact"/>
        <w:rPr>
          <w:sz w:val="20"/>
          <w:szCs w:val="20"/>
          <w:color w:val="auto"/>
        </w:rPr>
      </w:pPr>
    </w:p>
    <w:p>
      <w:pPr>
        <w:ind w:left="500" w:right="660" w:hanging="202"/>
        <w:spacing w:after="0" w:line="224" w:lineRule="exact"/>
        <w:tabs>
          <w:tab w:leader="none" w:pos="500" w:val="left"/>
        </w:tabs>
        <w:numPr>
          <w:ilvl w:val="0"/>
          <w:numId w:val="47"/>
        </w:numPr>
        <w:rPr>
          <w:rFonts w:ascii="Arial" w:cs="Arial" w:eastAsia="Arial" w:hAnsi="Arial"/>
          <w:sz w:val="14"/>
          <w:szCs w:val="14"/>
          <w:color w:val="0956FF"/>
        </w:rPr>
      </w:pPr>
      <w:r>
        <w:rPr>
          <w:rFonts w:ascii="Arial" w:cs="Arial" w:eastAsia="Arial" w:hAnsi="Arial"/>
          <w:sz w:val="16"/>
          <w:szCs w:val="16"/>
          <w:b w:val="1"/>
          <w:bCs w:val="1"/>
          <w:color w:val="auto"/>
        </w:rPr>
        <w:t xml:space="preserve">Building On-Site Knowledge: </w:t>
      </w:r>
      <w:r>
        <w:rPr>
          <w:rFonts w:ascii="Arial" w:cs="Arial" w:eastAsia="Arial" w:hAnsi="Arial"/>
          <w:sz w:val="16"/>
          <w:szCs w:val="16"/>
          <w:color w:val="auto"/>
        </w:rPr>
        <w:t>In June 2025, the Board participated in an on</w:t>
      </w:r>
      <w:r>
        <w:rPr>
          <w:rFonts w:ascii="MS PGothic" w:cs="MS PGothic" w:eastAsia="MS PGothic" w:hAnsi="MS PGothic"/>
          <w:sz w:val="16"/>
          <w:szCs w:val="16"/>
          <w:color w:val="auto"/>
        </w:rPr>
        <w:t>‑</w:t>
      </w:r>
      <w:r>
        <w:rPr>
          <w:rFonts w:ascii="Arial" w:cs="Arial" w:eastAsia="Arial" w:hAnsi="Arial"/>
          <w:sz w:val="16"/>
          <w:szCs w:val="16"/>
          <w:color w:val="auto"/>
        </w:rPr>
        <w:t>site tour of the Autonomous</w:t>
      </w:r>
      <w:r>
        <w:rPr>
          <w:rFonts w:ascii="Arial" w:cs="Arial" w:eastAsia="Arial" w:hAnsi="Arial"/>
          <w:sz w:val="16"/>
          <w:szCs w:val="16"/>
          <w:b w:val="1"/>
          <w:bCs w:val="1"/>
          <w:color w:val="auto"/>
        </w:rPr>
        <w:t xml:space="preserve"> </w:t>
      </w:r>
      <w:r>
        <w:rPr>
          <w:rFonts w:ascii="Arial" w:cs="Arial" w:eastAsia="Arial" w:hAnsi="Arial"/>
          <w:sz w:val="16"/>
          <w:szCs w:val="16"/>
          <w:color w:val="auto"/>
        </w:rPr>
        <w:t>Robotics Center (ARC) in Warren, MI, a hub for developing end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end robotic solutions to advance automotive manufacturing. Through live demonstrations led by senior Manufacturing Engineering leaders, directors gained firsthand insight into emerging automation technologies, plant layout innovation, and evolving</w:t>
      </w:r>
    </w:p>
    <w:p>
      <w:pPr>
        <w:spacing w:after="0" w:line="4" w:lineRule="exact"/>
        <w:rPr>
          <w:rFonts w:ascii="Arial" w:cs="Arial" w:eastAsia="Arial" w:hAnsi="Arial"/>
          <w:sz w:val="14"/>
          <w:szCs w:val="14"/>
          <w:color w:val="0956FF"/>
        </w:rPr>
      </w:pPr>
    </w:p>
    <w:p>
      <w:pPr>
        <w:ind w:left="500"/>
        <w:spacing w:after="0"/>
        <w:rPr>
          <w:rFonts w:ascii="Arial" w:cs="Arial" w:eastAsia="Arial" w:hAnsi="Arial"/>
          <w:sz w:val="14"/>
          <w:szCs w:val="14"/>
          <w:color w:val="0956FF"/>
        </w:rPr>
      </w:pPr>
      <w:r>
        <w:rPr>
          <w:rFonts w:ascii="Arial" w:cs="Arial" w:eastAsia="Arial" w:hAnsi="Arial"/>
          <w:sz w:val="16"/>
          <w:szCs w:val="16"/>
          <w:color w:val="auto"/>
        </w:rPr>
        <w:t>production strategies.</w:t>
      </w:r>
    </w:p>
    <w:p>
      <w:pPr>
        <w:spacing w:after="0" w:line="86" w:lineRule="exact"/>
        <w:rPr>
          <w:rFonts w:ascii="Arial" w:cs="Arial" w:eastAsia="Arial" w:hAnsi="Arial"/>
          <w:sz w:val="14"/>
          <w:szCs w:val="14"/>
          <w:color w:val="0956FF"/>
        </w:rPr>
      </w:pPr>
    </w:p>
    <w:p>
      <w:pPr>
        <w:ind w:left="500" w:right="560" w:hanging="202"/>
        <w:spacing w:after="0" w:line="295" w:lineRule="auto"/>
        <w:tabs>
          <w:tab w:leader="none" w:pos="500" w:val="left"/>
        </w:tabs>
        <w:numPr>
          <w:ilvl w:val="0"/>
          <w:numId w:val="47"/>
        </w:numPr>
        <w:rPr>
          <w:rFonts w:ascii="Arial" w:cs="Arial" w:eastAsia="Arial" w:hAnsi="Arial"/>
          <w:sz w:val="14"/>
          <w:szCs w:val="14"/>
          <w:color w:val="0956FF"/>
        </w:rPr>
      </w:pPr>
      <w:r>
        <w:rPr>
          <w:rFonts w:ascii="Arial" w:cs="Arial" w:eastAsia="Arial" w:hAnsi="Arial"/>
          <w:sz w:val="16"/>
          <w:szCs w:val="16"/>
          <w:b w:val="1"/>
          <w:bCs w:val="1"/>
          <w:color w:val="auto"/>
        </w:rPr>
        <w:t xml:space="preserve">Hearing Directly From Dealers: </w:t>
      </w:r>
      <w:r>
        <w:rPr>
          <w:rFonts w:ascii="Arial" w:cs="Arial" w:eastAsia="Arial" w:hAnsi="Arial"/>
          <w:sz w:val="16"/>
          <w:szCs w:val="16"/>
          <w:color w:val="auto"/>
        </w:rPr>
        <w:t>The Board actively seeks feedback about every aspect of the business to</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drive strategy. In October 2025, the Board hosted 15 influential dealers from across the country to provide their perspectives on the Company’s performance and industry trends in partnership with key executives supporting the dealership network.</w:t>
      </w: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and Committee Evaluations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Board’s evaluation process is based on extensive benchmarking, engagement with shareholders, and internal discussion.</w:t>
      </w:r>
    </w:p>
    <w:p>
      <w:pPr>
        <w:sectPr>
          <w:pgSz w:w="11900" w:h="16838" w:orient="portrait"/>
          <w:cols w:equalWidth="0" w:num="1">
            <w:col w:w="9100"/>
          </w:cols>
          <w:pgMar w:left="1400" w:top="657" w:right="1399" w:bottom="1440" w:gutter="0" w:footer="0" w:header="0"/>
        </w:sectPr>
      </w:pPr>
    </w:p>
    <w:p>
      <w:pPr>
        <w:spacing w:after="0" w:line="192" w:lineRule="exact"/>
        <w:rPr>
          <w:sz w:val="20"/>
          <w:szCs w:val="20"/>
          <w:color w:val="auto"/>
        </w:rPr>
      </w:pPr>
    </w:p>
    <w:p>
      <w:pPr>
        <w:ind w:left="220"/>
        <w:spacing w:after="0"/>
        <w:rPr>
          <w:sz w:val="20"/>
          <w:szCs w:val="20"/>
          <w:color w:val="auto"/>
        </w:rPr>
      </w:pPr>
      <w:r>
        <w:rPr>
          <w:rFonts w:ascii="Arial" w:cs="Arial" w:eastAsia="Arial" w:hAnsi="Arial"/>
          <w:sz w:val="43"/>
          <w:szCs w:val="43"/>
          <w:b w:val="1"/>
          <w:bCs w:val="1"/>
          <w:color w:val="0956FF"/>
        </w:rPr>
        <w:t>1</w:t>
      </w:r>
    </w:p>
    <w:p>
      <w:pPr>
        <w:spacing w:after="0" w:line="286" w:lineRule="exact"/>
        <w:rPr>
          <w:sz w:val="20"/>
          <w:szCs w:val="20"/>
          <w:color w:val="auto"/>
        </w:rPr>
      </w:pPr>
    </w:p>
    <w:p>
      <w:pPr>
        <w:ind w:left="180"/>
        <w:spacing w:after="0" w:line="317" w:lineRule="auto"/>
        <w:rPr>
          <w:sz w:val="20"/>
          <w:szCs w:val="20"/>
          <w:color w:val="auto"/>
        </w:rPr>
      </w:pPr>
      <w:r>
        <w:rPr>
          <w:rFonts w:ascii="Arial" w:cs="Arial" w:eastAsia="Arial" w:hAnsi="Arial"/>
          <w:sz w:val="17"/>
          <w:szCs w:val="17"/>
          <w:b w:val="1"/>
          <w:bCs w:val="1"/>
          <w:color w:val="0956FF"/>
        </w:rPr>
        <w:t>Review of Evaluation Forms</w:t>
      </w:r>
    </w:p>
    <w:p>
      <w:pPr>
        <w:spacing w:after="0" w:line="1" w:lineRule="exact"/>
        <w:rPr>
          <w:sz w:val="20"/>
          <w:szCs w:val="20"/>
          <w:color w:val="auto"/>
        </w:rPr>
      </w:pPr>
    </w:p>
    <w:p>
      <w:pPr>
        <w:ind w:left="180"/>
        <w:spacing w:after="0" w:line="289" w:lineRule="auto"/>
        <w:rPr>
          <w:sz w:val="20"/>
          <w:szCs w:val="20"/>
          <w:color w:val="auto"/>
        </w:rPr>
      </w:pPr>
      <w:r>
        <w:rPr>
          <w:rFonts w:ascii="Arial" w:cs="Arial" w:eastAsia="Arial" w:hAnsi="Arial"/>
          <w:sz w:val="16"/>
          <w:szCs w:val="16"/>
          <w:color w:val="auto"/>
        </w:rPr>
        <w:t>The Governance Committee annually reviews the form and process for Board and committee self-evaluations.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3"/>
        <w:spacing w:after="0"/>
        <w:rPr>
          <w:sz w:val="20"/>
          <w:szCs w:val="20"/>
          <w:color w:val="auto"/>
        </w:rPr>
      </w:pPr>
      <w:r>
        <w:rPr>
          <w:rFonts w:ascii="Arial" w:cs="Arial" w:eastAsia="Arial" w:hAnsi="Arial"/>
          <w:sz w:val="43"/>
          <w:szCs w:val="43"/>
          <w:b w:val="1"/>
          <w:bCs w:val="1"/>
          <w:color w:val="0956FF"/>
        </w:rPr>
        <w:t>2</w:t>
      </w:r>
    </w:p>
    <w:p>
      <w:pPr>
        <w:spacing w:after="0" w:line="28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0956FF"/>
        </w:rPr>
        <w:t>Self-Evaluation</w:t>
      </w:r>
    </w:p>
    <w:p>
      <w:pPr>
        <w:spacing w:after="0" w:line="95" w:lineRule="exact"/>
        <w:rPr>
          <w:sz w:val="20"/>
          <w:szCs w:val="20"/>
          <w:color w:val="auto"/>
        </w:rPr>
      </w:pPr>
    </w:p>
    <w:p>
      <w:pPr>
        <w:ind w:left="3" w:right="120"/>
        <w:spacing w:after="0" w:line="316" w:lineRule="auto"/>
        <w:rPr>
          <w:sz w:val="20"/>
          <w:szCs w:val="20"/>
          <w:color w:val="auto"/>
        </w:rPr>
      </w:pPr>
      <w:r>
        <w:rPr>
          <w:rFonts w:ascii="Arial" w:cs="Arial" w:eastAsia="Arial" w:hAnsi="Arial"/>
          <w:sz w:val="16"/>
          <w:szCs w:val="16"/>
          <w:color w:val="auto"/>
        </w:rPr>
        <w:t>In 2025, the self-evaluation process for the Board and its committees included:</w:t>
      </w:r>
    </w:p>
    <w:p>
      <w:pPr>
        <w:spacing w:after="0" w:line="2" w:lineRule="exact"/>
        <w:rPr>
          <w:sz w:val="20"/>
          <w:szCs w:val="20"/>
          <w:color w:val="auto"/>
        </w:rPr>
      </w:pPr>
    </w:p>
    <w:p>
      <w:pPr>
        <w:ind w:left="203" w:hanging="203"/>
        <w:spacing w:after="0"/>
        <w:tabs>
          <w:tab w:leader="none" w:pos="203" w:val="left"/>
        </w:tabs>
        <w:numPr>
          <w:ilvl w:val="0"/>
          <w:numId w:val="48"/>
        </w:numPr>
        <w:rPr>
          <w:rFonts w:ascii="Arial" w:cs="Arial" w:eastAsia="Arial" w:hAnsi="Arial"/>
          <w:sz w:val="16"/>
          <w:szCs w:val="16"/>
          <w:color w:val="0956FF"/>
        </w:rPr>
      </w:pPr>
      <w:r>
        <w:rPr>
          <w:rFonts w:ascii="Arial" w:cs="Arial" w:eastAsia="Arial" w:hAnsi="Arial"/>
          <w:sz w:val="16"/>
          <w:szCs w:val="16"/>
          <w:color w:val="auto"/>
        </w:rPr>
        <w:t>committee evaluations led by each committee chair;</w:t>
      </w:r>
    </w:p>
    <w:p>
      <w:pPr>
        <w:spacing w:after="0" w:line="86" w:lineRule="exact"/>
        <w:rPr>
          <w:rFonts w:ascii="Arial" w:cs="Arial" w:eastAsia="Arial" w:hAnsi="Arial"/>
          <w:sz w:val="16"/>
          <w:szCs w:val="16"/>
          <w:color w:val="0956FF"/>
        </w:rPr>
      </w:pPr>
    </w:p>
    <w:p>
      <w:pPr>
        <w:ind w:left="203" w:right="200" w:hanging="203"/>
        <w:spacing w:after="0" w:line="316" w:lineRule="auto"/>
        <w:tabs>
          <w:tab w:leader="none" w:pos="203" w:val="left"/>
        </w:tabs>
        <w:numPr>
          <w:ilvl w:val="0"/>
          <w:numId w:val="48"/>
        </w:numPr>
        <w:rPr>
          <w:rFonts w:ascii="Arial" w:cs="Arial" w:eastAsia="Arial" w:hAnsi="Arial"/>
          <w:sz w:val="16"/>
          <w:szCs w:val="16"/>
          <w:color w:val="0956FF"/>
        </w:rPr>
      </w:pPr>
      <w:r>
        <w:rPr>
          <w:rFonts w:ascii="Arial" w:cs="Arial" w:eastAsia="Arial" w:hAnsi="Arial"/>
          <w:sz w:val="16"/>
          <w:szCs w:val="16"/>
          <w:color w:val="auto"/>
        </w:rPr>
        <w:t>interviews between the Board Chair and CEO and each director; and</w:t>
      </w:r>
    </w:p>
    <w:p>
      <w:pPr>
        <w:spacing w:after="0" w:line="1" w:lineRule="exact"/>
        <w:rPr>
          <w:rFonts w:ascii="Arial" w:cs="Arial" w:eastAsia="Arial" w:hAnsi="Arial"/>
          <w:sz w:val="16"/>
          <w:szCs w:val="16"/>
          <w:color w:val="0956FF"/>
        </w:rPr>
      </w:pPr>
    </w:p>
    <w:p>
      <w:pPr>
        <w:ind w:left="203" w:right="320" w:hanging="203"/>
        <w:spacing w:after="0" w:line="321" w:lineRule="auto"/>
        <w:tabs>
          <w:tab w:leader="none" w:pos="203" w:val="left"/>
        </w:tabs>
        <w:numPr>
          <w:ilvl w:val="0"/>
          <w:numId w:val="48"/>
        </w:numPr>
        <w:rPr>
          <w:rFonts w:ascii="Arial" w:cs="Arial" w:eastAsia="Arial" w:hAnsi="Arial"/>
          <w:sz w:val="16"/>
          <w:szCs w:val="16"/>
          <w:color w:val="0956FF"/>
        </w:rPr>
      </w:pPr>
      <w:r>
        <w:rPr>
          <w:rFonts w:ascii="Arial" w:cs="Arial" w:eastAsia="Arial" w:hAnsi="Arial"/>
          <w:sz w:val="16"/>
          <w:szCs w:val="16"/>
          <w:color w:val="auto"/>
        </w:rPr>
        <w:t>an executive session of the Board to review the feedback received by the Board Chair and CEO.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43"/>
          <w:szCs w:val="43"/>
          <w:b w:val="1"/>
          <w:bCs w:val="1"/>
          <w:color w:val="0956FF"/>
        </w:rPr>
        <w:t>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Gathering Feedback</w:t>
      </w:r>
    </w:p>
    <w:p>
      <w:pPr>
        <w:spacing w:after="0" w:line="95"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The Independent Lead Director met in executive session after each Board meeting without the Board Chair and CEO to gather feedback from the other non-employee directors.</w:t>
      </w:r>
    </w:p>
    <w:p>
      <w:pPr>
        <w:spacing w:after="0" w:line="200" w:lineRule="exact"/>
        <w:rPr>
          <w:sz w:val="20"/>
          <w:szCs w:val="20"/>
          <w:color w:val="auto"/>
        </w:rPr>
      </w:pPr>
    </w:p>
    <w:p>
      <w:pPr>
        <w:sectPr>
          <w:pgSz w:w="11900" w:h="16838" w:orient="portrait"/>
          <w:cols w:equalWidth="0" w:num="3">
            <w:col w:w="1680" w:space="657"/>
            <w:col w:w="3983" w:space="720"/>
            <w:col w:w="2060"/>
          </w:cols>
          <w:pgMar w:left="1400" w:top="657" w:right="1399" w:bottom="1440" w:gutter="0" w:footer="0" w:header="0"/>
          <w:type w:val="continuous"/>
        </w:sectPr>
      </w:pPr>
    </w:p>
    <w:p>
      <w:pPr>
        <w:spacing w:after="0" w:line="65" w:lineRule="exact"/>
        <w:rPr>
          <w:sz w:val="20"/>
          <w:szCs w:val="20"/>
          <w:color w:val="auto"/>
        </w:rPr>
      </w:pPr>
    </w:p>
    <w:p>
      <w:pPr>
        <w:ind w:right="640"/>
        <w:spacing w:after="0" w:line="289" w:lineRule="auto"/>
        <w:rPr>
          <w:sz w:val="20"/>
          <w:szCs w:val="20"/>
          <w:color w:val="auto"/>
        </w:rPr>
      </w:pPr>
      <w:r>
        <w:rPr>
          <w:rFonts w:ascii="Arial" w:cs="Arial" w:eastAsia="Arial" w:hAnsi="Arial"/>
          <w:sz w:val="16"/>
          <w:szCs w:val="16"/>
          <w:color w:val="auto"/>
        </w:rPr>
        <w:t>The Board believes this process provides ample opportunity to provide feedback on Board, committee, and individual director performance. The Board is committed to implementing feedback from its self-evaluations. Recent examples of changes to practices include evolving the composition of the Board; conducting extensive reviews of the Company’s marketing, software, and digital strategies; focusing on supply chain sustainability and battery raw material costs; and prioritizing Board meetings outside Company headquarters to increase interaction with employees and experience the Company’s transformation efforts.</w:t>
      </w:r>
    </w:p>
    <w:p>
      <w:pPr>
        <w:sectPr>
          <w:pgSz w:w="11900" w:h="16838" w:orient="portrait"/>
          <w:cols w:equalWidth="0" w:num="1">
            <w:col w:w="9100"/>
          </w:cols>
          <w:pgMar w:left="140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27</w:t>
      </w:r>
    </w:p>
    <w:p>
      <w:pPr>
        <w:sectPr>
          <w:pgSz w:w="11900" w:h="16838" w:orient="portrait"/>
          <w:cols w:equalWidth="0" w:num="1">
            <w:col w:w="9100"/>
          </w:cols>
          <w:pgMar w:left="1400" w:top="657" w:right="1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Governance Guidelines</w:t>
      </w:r>
    </w:p>
    <w:p>
      <w:pPr>
        <w:spacing w:after="0" w:line="132" w:lineRule="exact"/>
        <w:rPr>
          <w:sz w:val="20"/>
          <w:szCs w:val="20"/>
          <w:color w:val="auto"/>
        </w:rPr>
      </w:pPr>
    </w:p>
    <w:p>
      <w:pPr>
        <w:ind w:right="139"/>
        <w:spacing w:after="0" w:line="284" w:lineRule="auto"/>
        <w:rPr>
          <w:sz w:val="20"/>
          <w:szCs w:val="20"/>
          <w:color w:val="auto"/>
        </w:rPr>
      </w:pPr>
      <w:r>
        <w:rPr>
          <w:rFonts w:ascii="Arial" w:cs="Arial" w:eastAsia="Arial" w:hAnsi="Arial"/>
          <w:sz w:val="16"/>
          <w:szCs w:val="16"/>
          <w:color w:val="auto"/>
        </w:rPr>
        <w:t>Our Corporate Governance Guidelines provide a transparent framework for the effective governance of the Company. They address, among other things, the respective roles and responsibilities of the Board and management, the Board’s leadership structure, the responsibilities of the Independent Lead Director, director independence, Board membership criteria, Board committees, and Board and CEO evaluations. The Governance Committee annually reviews the Corporate Governance Guidelines and periodically recommends to the Board the adoption of amendments in response to changing regulations, evolving best practices, and shareholder feedback. In 2025, to help ensure continuity of our Board while also balancing the importance of refreshment, the Governance Committee recommended, and the Board approved, an amendment to our Corporate Governance Guidelines that sets the non-employee director retirement age at 75 and adds a 20-year term limit, unless otherwise determined by the Board, reflecting longer life expectancies and the broad view that age often brings additional wisdom, experience, and sound judgment.</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9059"/>
          </w:cols>
          <w:pgMar w:left="1400" w:top="657" w:right="1440"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43" w:lineRule="exact"/>
        <w:rPr>
          <w:sz w:val="20"/>
          <w:szCs w:val="20"/>
          <w:color w:val="auto"/>
        </w:rPr>
      </w:pPr>
    </w:p>
    <w:p>
      <w:pPr>
        <w:ind w:right="1280"/>
        <w:spacing w:after="0" w:line="291" w:lineRule="auto"/>
        <w:rPr>
          <w:sz w:val="20"/>
          <w:szCs w:val="20"/>
          <w:color w:val="auto"/>
        </w:rPr>
      </w:pPr>
      <w:r>
        <w:rPr>
          <w:rFonts w:ascii="Arial" w:cs="Arial" w:eastAsia="Arial" w:hAnsi="Arial"/>
          <w:sz w:val="40"/>
          <w:szCs w:val="40"/>
          <w:b w:val="1"/>
          <w:bCs w:val="1"/>
          <w:color w:val="0956FF"/>
        </w:rPr>
        <w:t>Shareholder Protections and Governance Best Practices</w:t>
      </w:r>
    </w:p>
    <w:p>
      <w:pPr>
        <w:spacing w:after="0" w:line="79"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The Board is committed to governance structures and practices that protect shareholder value and important shareholder rights. The Governance Committee regularly reviews these structures and practices and makes updates as appropriate. Highlights of GM’s governance structures include the following:</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0956FF"/>
        </w:rPr>
        <w:t>Independence</w:t>
      </w:r>
    </w:p>
    <w:p>
      <w:pPr>
        <w:spacing w:after="0" w:line="68" w:lineRule="exact"/>
        <w:rPr>
          <w:sz w:val="20"/>
          <w:szCs w:val="20"/>
          <w:color w:val="auto"/>
        </w:rPr>
      </w:pPr>
    </w:p>
    <w:p>
      <w:pPr>
        <w:ind w:left="500" w:hanging="188"/>
        <w:spacing w:after="0"/>
        <w:tabs>
          <w:tab w:leader="none" w:pos="500" w:val="left"/>
        </w:tabs>
        <w:numPr>
          <w:ilvl w:val="0"/>
          <w:numId w:val="49"/>
        </w:numPr>
        <w:rPr>
          <w:rFonts w:ascii="Arial" w:cs="Arial" w:eastAsia="Arial" w:hAnsi="Arial"/>
          <w:sz w:val="16"/>
          <w:szCs w:val="16"/>
          <w:color w:val="0956FF"/>
        </w:rPr>
      </w:pPr>
      <w:r>
        <w:rPr>
          <w:rFonts w:ascii="Arial" w:cs="Arial" w:eastAsia="Arial" w:hAnsi="Arial"/>
          <w:sz w:val="16"/>
          <w:szCs w:val="16"/>
          <w:color w:val="auto"/>
        </w:rPr>
        <w:t>Ten out of 11 director nominees are independent</w:t>
      </w:r>
    </w:p>
    <w:p>
      <w:pPr>
        <w:spacing w:after="0" w:line="86" w:lineRule="exact"/>
        <w:rPr>
          <w:rFonts w:ascii="Arial" w:cs="Arial" w:eastAsia="Arial" w:hAnsi="Arial"/>
          <w:sz w:val="16"/>
          <w:szCs w:val="16"/>
          <w:color w:val="0956FF"/>
        </w:rPr>
      </w:pPr>
    </w:p>
    <w:p>
      <w:pPr>
        <w:ind w:left="500" w:right="355" w:hanging="188"/>
        <w:spacing w:after="0" w:line="316" w:lineRule="auto"/>
        <w:tabs>
          <w:tab w:leader="none" w:pos="500" w:val="left"/>
        </w:tabs>
        <w:numPr>
          <w:ilvl w:val="0"/>
          <w:numId w:val="49"/>
        </w:numPr>
        <w:rPr>
          <w:rFonts w:ascii="Arial" w:cs="Arial" w:eastAsia="Arial" w:hAnsi="Arial"/>
          <w:sz w:val="16"/>
          <w:szCs w:val="16"/>
          <w:color w:val="0956FF"/>
        </w:rPr>
      </w:pPr>
      <w:r>
        <w:rPr>
          <w:rFonts w:ascii="Arial" w:cs="Arial" w:eastAsia="Arial" w:hAnsi="Arial"/>
          <w:sz w:val="16"/>
          <w:szCs w:val="16"/>
          <w:color w:val="auto"/>
        </w:rPr>
        <w:t>Strong Independent Lead Director with clearly delineated duties</w:t>
      </w:r>
    </w:p>
    <w:p>
      <w:pPr>
        <w:spacing w:after="0" w:line="1" w:lineRule="exact"/>
        <w:rPr>
          <w:rFonts w:ascii="Arial" w:cs="Arial" w:eastAsia="Arial" w:hAnsi="Arial"/>
          <w:sz w:val="16"/>
          <w:szCs w:val="16"/>
          <w:color w:val="0956FF"/>
        </w:rPr>
      </w:pPr>
    </w:p>
    <w:p>
      <w:pPr>
        <w:ind w:left="500" w:right="375" w:hanging="188"/>
        <w:spacing w:after="0" w:line="301" w:lineRule="auto"/>
        <w:tabs>
          <w:tab w:leader="none" w:pos="500" w:val="left"/>
        </w:tabs>
        <w:numPr>
          <w:ilvl w:val="0"/>
          <w:numId w:val="49"/>
        </w:numPr>
        <w:rPr>
          <w:rFonts w:ascii="Arial" w:cs="Arial" w:eastAsia="Arial" w:hAnsi="Arial"/>
          <w:sz w:val="16"/>
          <w:szCs w:val="16"/>
          <w:color w:val="0956FF"/>
        </w:rPr>
      </w:pPr>
      <w:r>
        <w:rPr>
          <w:rFonts w:ascii="Arial" w:cs="Arial" w:eastAsia="Arial" w:hAnsi="Arial"/>
          <w:sz w:val="16"/>
          <w:szCs w:val="16"/>
          <w:color w:val="auto"/>
        </w:rPr>
        <w:t>All standing Board committees, other than the Executive Committee, composed entirely of independent directors</w:t>
      </w:r>
    </w:p>
    <w:p>
      <w:pPr>
        <w:spacing w:after="0" w:line="9" w:lineRule="exact"/>
        <w:rPr>
          <w:rFonts w:ascii="Arial" w:cs="Arial" w:eastAsia="Arial" w:hAnsi="Arial"/>
          <w:sz w:val="16"/>
          <w:szCs w:val="16"/>
          <w:color w:val="0956FF"/>
        </w:rPr>
      </w:pPr>
    </w:p>
    <w:p>
      <w:pPr>
        <w:ind w:left="500" w:right="555" w:hanging="188"/>
        <w:spacing w:after="0" w:line="316" w:lineRule="auto"/>
        <w:tabs>
          <w:tab w:leader="none" w:pos="500" w:val="left"/>
        </w:tabs>
        <w:numPr>
          <w:ilvl w:val="0"/>
          <w:numId w:val="49"/>
        </w:numPr>
        <w:rPr>
          <w:rFonts w:ascii="Arial" w:cs="Arial" w:eastAsia="Arial" w:hAnsi="Arial"/>
          <w:sz w:val="16"/>
          <w:szCs w:val="16"/>
          <w:color w:val="0956FF"/>
        </w:rPr>
      </w:pPr>
      <w:r>
        <w:rPr>
          <w:rFonts w:ascii="Arial" w:cs="Arial" w:eastAsia="Arial" w:hAnsi="Arial"/>
          <w:sz w:val="16"/>
          <w:szCs w:val="16"/>
          <w:color w:val="auto"/>
        </w:rPr>
        <w:t>Regular executive sessions of independent directors without management present</w:t>
      </w:r>
    </w:p>
    <w:p>
      <w:pPr>
        <w:spacing w:after="0" w:line="1" w:lineRule="exact"/>
        <w:rPr>
          <w:rFonts w:ascii="Arial" w:cs="Arial" w:eastAsia="Arial" w:hAnsi="Arial"/>
          <w:sz w:val="16"/>
          <w:szCs w:val="16"/>
          <w:color w:val="0956FF"/>
        </w:rPr>
      </w:pPr>
    </w:p>
    <w:p>
      <w:pPr>
        <w:ind w:left="500" w:right="155" w:hanging="188"/>
        <w:spacing w:after="0" w:line="321" w:lineRule="auto"/>
        <w:tabs>
          <w:tab w:leader="none" w:pos="500" w:val="left"/>
        </w:tabs>
        <w:numPr>
          <w:ilvl w:val="0"/>
          <w:numId w:val="49"/>
        </w:numPr>
        <w:rPr>
          <w:rFonts w:ascii="Arial" w:cs="Arial" w:eastAsia="Arial" w:hAnsi="Arial"/>
          <w:sz w:val="16"/>
          <w:szCs w:val="16"/>
          <w:color w:val="0956FF"/>
        </w:rPr>
      </w:pPr>
      <w:r>
        <w:rPr>
          <w:rFonts w:ascii="Arial" w:cs="Arial" w:eastAsia="Arial" w:hAnsi="Arial"/>
          <w:sz w:val="16"/>
          <w:szCs w:val="16"/>
          <w:color w:val="auto"/>
        </w:rPr>
        <w:t>Board and committees may hire outside advisors independently of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1325"/>
        <w:spacing w:after="0"/>
        <w:rPr>
          <w:sz w:val="20"/>
          <w:szCs w:val="20"/>
          <w:color w:val="auto"/>
        </w:rPr>
      </w:pPr>
      <w:r>
        <w:rPr>
          <w:rFonts w:ascii="Arial" w:cs="Arial" w:eastAsia="Arial" w:hAnsi="Arial"/>
          <w:sz w:val="18"/>
          <w:szCs w:val="18"/>
          <w:b w:val="1"/>
          <w:bCs w:val="1"/>
          <w:color w:val="0956FF"/>
        </w:rPr>
        <w:t>Best Practices</w:t>
      </w:r>
    </w:p>
    <w:p>
      <w:pPr>
        <w:spacing w:after="0" w:line="95" w:lineRule="exact"/>
        <w:rPr>
          <w:sz w:val="20"/>
          <w:szCs w:val="20"/>
          <w:color w:val="auto"/>
        </w:rPr>
      </w:pPr>
    </w:p>
    <w:p>
      <w:pPr>
        <w:ind w:left="185" w:hanging="185"/>
        <w:spacing w:after="0"/>
        <w:tabs>
          <w:tab w:leader="none" w:pos="185" w:val="left"/>
        </w:tabs>
        <w:numPr>
          <w:ilvl w:val="0"/>
          <w:numId w:val="50"/>
        </w:numPr>
        <w:rPr>
          <w:rFonts w:ascii="Arial" w:cs="Arial" w:eastAsia="Arial" w:hAnsi="Arial"/>
          <w:sz w:val="16"/>
          <w:szCs w:val="16"/>
          <w:color w:val="0956FF"/>
        </w:rPr>
      </w:pPr>
      <w:r>
        <w:rPr>
          <w:rFonts w:ascii="Arial" w:cs="Arial" w:eastAsia="Arial" w:hAnsi="Arial"/>
          <w:sz w:val="16"/>
          <w:szCs w:val="16"/>
          <w:color w:val="auto"/>
        </w:rPr>
        <w:t>CEO and executive leadership succession planning</w:t>
      </w:r>
    </w:p>
    <w:p>
      <w:pPr>
        <w:spacing w:after="0" w:line="86" w:lineRule="exact"/>
        <w:rPr>
          <w:rFonts w:ascii="Arial" w:cs="Arial" w:eastAsia="Arial" w:hAnsi="Arial"/>
          <w:sz w:val="16"/>
          <w:szCs w:val="16"/>
          <w:color w:val="0956FF"/>
        </w:rPr>
      </w:pPr>
    </w:p>
    <w:p>
      <w:pPr>
        <w:ind w:left="185" w:right="480" w:hanging="185"/>
        <w:spacing w:after="0" w:line="316" w:lineRule="auto"/>
        <w:tabs>
          <w:tab w:leader="none" w:pos="185" w:val="left"/>
        </w:tabs>
        <w:numPr>
          <w:ilvl w:val="0"/>
          <w:numId w:val="50"/>
        </w:numPr>
        <w:rPr>
          <w:rFonts w:ascii="Arial" w:cs="Arial" w:eastAsia="Arial" w:hAnsi="Arial"/>
          <w:sz w:val="16"/>
          <w:szCs w:val="16"/>
          <w:color w:val="0956FF"/>
        </w:rPr>
      </w:pPr>
      <w:r>
        <w:rPr>
          <w:rFonts w:ascii="Arial" w:cs="Arial" w:eastAsia="Arial" w:hAnsi="Arial"/>
          <w:sz w:val="16"/>
          <w:szCs w:val="16"/>
          <w:color w:val="auto"/>
        </w:rPr>
        <w:t>Routine engagement with shareholders and other key stakeholders</w:t>
      </w:r>
    </w:p>
    <w:p>
      <w:pPr>
        <w:spacing w:after="0" w:line="1" w:lineRule="exact"/>
        <w:rPr>
          <w:rFonts w:ascii="Arial" w:cs="Arial" w:eastAsia="Arial" w:hAnsi="Arial"/>
          <w:sz w:val="16"/>
          <w:szCs w:val="16"/>
          <w:color w:val="0956FF"/>
        </w:rPr>
      </w:pPr>
    </w:p>
    <w:p>
      <w:pPr>
        <w:ind w:left="185" w:right="720" w:hanging="185"/>
        <w:spacing w:after="0" w:line="316" w:lineRule="auto"/>
        <w:tabs>
          <w:tab w:leader="none" w:pos="185" w:val="left"/>
        </w:tabs>
        <w:numPr>
          <w:ilvl w:val="0"/>
          <w:numId w:val="50"/>
        </w:numPr>
        <w:rPr>
          <w:rFonts w:ascii="Arial" w:cs="Arial" w:eastAsia="Arial" w:hAnsi="Arial"/>
          <w:sz w:val="16"/>
          <w:szCs w:val="16"/>
          <w:color w:val="0956FF"/>
        </w:rPr>
      </w:pPr>
      <w:r>
        <w:rPr>
          <w:rFonts w:ascii="Arial" w:cs="Arial" w:eastAsia="Arial" w:hAnsi="Arial"/>
          <w:sz w:val="16"/>
          <w:szCs w:val="16"/>
          <w:color w:val="auto"/>
        </w:rPr>
        <w:t>Diversified Board in terms of experiences, skill sets, and qualifications</w:t>
      </w:r>
    </w:p>
    <w:p>
      <w:pPr>
        <w:spacing w:after="0" w:line="1" w:lineRule="exact"/>
        <w:rPr>
          <w:rFonts w:ascii="Arial" w:cs="Arial" w:eastAsia="Arial" w:hAnsi="Arial"/>
          <w:sz w:val="16"/>
          <w:szCs w:val="16"/>
          <w:color w:val="0956FF"/>
        </w:rPr>
      </w:pPr>
    </w:p>
    <w:p>
      <w:pPr>
        <w:ind w:left="185" w:right="1160" w:hanging="185"/>
        <w:spacing w:after="0" w:line="316" w:lineRule="auto"/>
        <w:tabs>
          <w:tab w:leader="none" w:pos="185" w:val="left"/>
        </w:tabs>
        <w:numPr>
          <w:ilvl w:val="0"/>
          <w:numId w:val="50"/>
        </w:numPr>
        <w:rPr>
          <w:rFonts w:ascii="Arial" w:cs="Arial" w:eastAsia="Arial" w:hAnsi="Arial"/>
          <w:sz w:val="16"/>
          <w:szCs w:val="16"/>
          <w:color w:val="0956FF"/>
        </w:rPr>
      </w:pPr>
      <w:r>
        <w:rPr>
          <w:rFonts w:ascii="Arial" w:cs="Arial" w:eastAsia="Arial" w:hAnsi="Arial"/>
          <w:sz w:val="16"/>
          <w:szCs w:val="16"/>
          <w:color w:val="auto"/>
        </w:rPr>
        <w:t>Strategy and risk oversight by full Board and committees</w:t>
      </w:r>
    </w:p>
    <w:p>
      <w:pPr>
        <w:spacing w:after="0" w:line="1" w:lineRule="exact"/>
        <w:rPr>
          <w:rFonts w:ascii="Arial" w:cs="Arial" w:eastAsia="Arial" w:hAnsi="Arial"/>
          <w:sz w:val="16"/>
          <w:szCs w:val="16"/>
          <w:color w:val="0956FF"/>
        </w:rPr>
      </w:pPr>
    </w:p>
    <w:p>
      <w:pPr>
        <w:ind w:left="185" w:right="920" w:hanging="185"/>
        <w:spacing w:after="0" w:line="316" w:lineRule="auto"/>
        <w:tabs>
          <w:tab w:leader="none" w:pos="185" w:val="left"/>
        </w:tabs>
        <w:numPr>
          <w:ilvl w:val="0"/>
          <w:numId w:val="50"/>
        </w:numPr>
        <w:rPr>
          <w:rFonts w:ascii="Arial" w:cs="Arial" w:eastAsia="Arial" w:hAnsi="Arial"/>
          <w:sz w:val="16"/>
          <w:szCs w:val="16"/>
          <w:color w:val="0956FF"/>
        </w:rPr>
      </w:pPr>
      <w:r>
        <w:rPr>
          <w:rFonts w:ascii="Arial" w:cs="Arial" w:eastAsia="Arial" w:hAnsi="Arial"/>
          <w:sz w:val="16"/>
          <w:szCs w:val="16"/>
          <w:color w:val="auto"/>
        </w:rPr>
        <w:t>Stock ownership requirements for all senior leaders and non-employee directors</w:t>
      </w:r>
    </w:p>
    <w:p>
      <w:pPr>
        <w:spacing w:after="0" w:line="1" w:lineRule="exact"/>
        <w:rPr>
          <w:rFonts w:ascii="Arial" w:cs="Arial" w:eastAsia="Arial" w:hAnsi="Arial"/>
          <w:sz w:val="16"/>
          <w:szCs w:val="16"/>
          <w:color w:val="0956FF"/>
        </w:rPr>
      </w:pPr>
    </w:p>
    <w:p>
      <w:pPr>
        <w:ind w:left="185" w:hanging="185"/>
        <w:spacing w:after="0"/>
        <w:tabs>
          <w:tab w:leader="none" w:pos="185" w:val="left"/>
        </w:tabs>
        <w:numPr>
          <w:ilvl w:val="0"/>
          <w:numId w:val="50"/>
        </w:numPr>
        <w:rPr>
          <w:rFonts w:ascii="Arial" w:cs="Arial" w:eastAsia="Arial" w:hAnsi="Arial"/>
          <w:sz w:val="16"/>
          <w:szCs w:val="16"/>
          <w:color w:val="0956FF"/>
        </w:rPr>
      </w:pPr>
      <w:r>
        <w:rPr>
          <w:rFonts w:ascii="Arial" w:cs="Arial" w:eastAsia="Arial" w:hAnsi="Arial"/>
          <w:sz w:val="16"/>
          <w:szCs w:val="16"/>
          <w:color w:val="auto"/>
        </w:rPr>
        <w:t>“Overboarding” limits for our directors</w:t>
      </w:r>
    </w:p>
    <w:p>
      <w:pPr>
        <w:spacing w:after="0" w:line="86" w:lineRule="exact"/>
        <w:rPr>
          <w:rFonts w:ascii="Arial" w:cs="Arial" w:eastAsia="Arial" w:hAnsi="Arial"/>
          <w:sz w:val="16"/>
          <w:szCs w:val="16"/>
          <w:color w:val="0956FF"/>
        </w:rPr>
      </w:pPr>
    </w:p>
    <w:p>
      <w:pPr>
        <w:ind w:left="185" w:right="1040" w:hanging="185"/>
        <w:spacing w:after="0" w:line="321" w:lineRule="auto"/>
        <w:tabs>
          <w:tab w:leader="none" w:pos="185" w:val="left"/>
        </w:tabs>
        <w:numPr>
          <w:ilvl w:val="0"/>
          <w:numId w:val="50"/>
        </w:numPr>
        <w:rPr>
          <w:rFonts w:ascii="Arial" w:cs="Arial" w:eastAsia="Arial" w:hAnsi="Arial"/>
          <w:sz w:val="16"/>
          <w:szCs w:val="16"/>
          <w:color w:val="0956FF"/>
        </w:rPr>
      </w:pPr>
      <w:r>
        <w:rPr>
          <w:rFonts w:ascii="Arial" w:cs="Arial" w:eastAsia="Arial" w:hAnsi="Arial"/>
          <w:sz w:val="16"/>
          <w:szCs w:val="16"/>
          <w:color w:val="auto"/>
        </w:rPr>
        <w:t>Orientation program for new directors and continuing education for all directors</w:t>
      </w:r>
    </w:p>
    <w:p>
      <w:pPr>
        <w:spacing w:after="0" w:line="200" w:lineRule="exact"/>
        <w:rPr>
          <w:sz w:val="20"/>
          <w:szCs w:val="20"/>
          <w:color w:val="auto"/>
        </w:rPr>
      </w:pPr>
    </w:p>
    <w:p>
      <w:pPr>
        <w:sectPr>
          <w:pgSz w:w="11900" w:h="16838" w:orient="portrait"/>
          <w:cols w:equalWidth="0" w:num="2">
            <w:col w:w="4155" w:space="720"/>
            <w:col w:w="4225"/>
          </w:cols>
          <w:pgMar w:left="1400" w:top="657" w:right="1399" w:bottom="1440" w:gutter="0" w:footer="0" w:header="0"/>
          <w:type w:val="continuous"/>
        </w:sectPr>
      </w:pPr>
    </w:p>
    <w:p>
      <w:pPr>
        <w:spacing w:after="0" w:line="34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0956FF"/>
        </w:rPr>
        <w:t>Accountability</w:t>
      </w:r>
    </w:p>
    <w:p>
      <w:pPr>
        <w:spacing w:after="0" w:line="68" w:lineRule="exact"/>
        <w:rPr>
          <w:sz w:val="20"/>
          <w:szCs w:val="20"/>
          <w:color w:val="auto"/>
        </w:rPr>
      </w:pPr>
    </w:p>
    <w:p>
      <w:pPr>
        <w:ind w:left="500" w:hanging="188"/>
        <w:spacing w:after="0"/>
        <w:tabs>
          <w:tab w:leader="none" w:pos="500" w:val="left"/>
        </w:tabs>
        <w:numPr>
          <w:ilvl w:val="0"/>
          <w:numId w:val="51"/>
        </w:numPr>
        <w:rPr>
          <w:rFonts w:ascii="Arial" w:cs="Arial" w:eastAsia="Arial" w:hAnsi="Arial"/>
          <w:sz w:val="16"/>
          <w:szCs w:val="16"/>
          <w:color w:val="0956FF"/>
        </w:rPr>
      </w:pPr>
      <w:r>
        <w:rPr>
          <w:rFonts w:ascii="Arial" w:cs="Arial" w:eastAsia="Arial" w:hAnsi="Arial"/>
          <w:sz w:val="16"/>
          <w:szCs w:val="16"/>
          <w:color w:val="auto"/>
        </w:rPr>
        <w:t>Annual election of all directors</w:t>
      </w:r>
    </w:p>
    <w:p>
      <w:pPr>
        <w:spacing w:after="0" w:line="86" w:lineRule="exact"/>
        <w:rPr>
          <w:rFonts w:ascii="Arial" w:cs="Arial" w:eastAsia="Arial" w:hAnsi="Arial"/>
          <w:sz w:val="16"/>
          <w:szCs w:val="16"/>
          <w:color w:val="0956FF"/>
        </w:rPr>
      </w:pPr>
    </w:p>
    <w:p>
      <w:pPr>
        <w:ind w:left="500" w:right="55" w:hanging="188"/>
        <w:spacing w:after="0" w:line="316" w:lineRule="auto"/>
        <w:tabs>
          <w:tab w:leader="none" w:pos="500" w:val="left"/>
        </w:tabs>
        <w:numPr>
          <w:ilvl w:val="0"/>
          <w:numId w:val="51"/>
        </w:numPr>
        <w:rPr>
          <w:rFonts w:ascii="Arial" w:cs="Arial" w:eastAsia="Arial" w:hAnsi="Arial"/>
          <w:sz w:val="16"/>
          <w:szCs w:val="16"/>
          <w:color w:val="0956FF"/>
        </w:rPr>
      </w:pPr>
      <w:r>
        <w:rPr>
          <w:rFonts w:ascii="Arial" w:cs="Arial" w:eastAsia="Arial" w:hAnsi="Arial"/>
          <w:sz w:val="16"/>
          <w:szCs w:val="16"/>
          <w:color w:val="auto"/>
        </w:rPr>
        <w:t>Annual election of Chair and, if CEO, Independent Lead Director, by non-employee directors</w:t>
      </w:r>
    </w:p>
    <w:p>
      <w:pPr>
        <w:spacing w:after="0" w:line="1" w:lineRule="exact"/>
        <w:rPr>
          <w:rFonts w:ascii="Arial" w:cs="Arial" w:eastAsia="Arial" w:hAnsi="Arial"/>
          <w:sz w:val="16"/>
          <w:szCs w:val="16"/>
          <w:color w:val="0956FF"/>
        </w:rPr>
      </w:pPr>
    </w:p>
    <w:p>
      <w:pPr>
        <w:ind w:left="500" w:right="175" w:hanging="188"/>
        <w:spacing w:after="0" w:line="301" w:lineRule="auto"/>
        <w:tabs>
          <w:tab w:leader="none" w:pos="500" w:val="left"/>
        </w:tabs>
        <w:numPr>
          <w:ilvl w:val="0"/>
          <w:numId w:val="51"/>
        </w:numPr>
        <w:rPr>
          <w:rFonts w:ascii="Arial" w:cs="Arial" w:eastAsia="Arial" w:hAnsi="Arial"/>
          <w:sz w:val="16"/>
          <w:szCs w:val="16"/>
          <w:color w:val="0956FF"/>
        </w:rPr>
      </w:pPr>
      <w:r>
        <w:rPr>
          <w:rFonts w:ascii="Arial" w:cs="Arial" w:eastAsia="Arial" w:hAnsi="Arial"/>
          <w:sz w:val="16"/>
          <w:szCs w:val="16"/>
          <w:color w:val="auto"/>
        </w:rPr>
        <w:t>Majority voting for director elections with director resignation policy (plurality voting in contested elections)</w:t>
      </w:r>
    </w:p>
    <w:p>
      <w:pPr>
        <w:spacing w:after="0" w:line="9" w:lineRule="exact"/>
        <w:rPr>
          <w:rFonts w:ascii="Arial" w:cs="Arial" w:eastAsia="Arial" w:hAnsi="Arial"/>
          <w:sz w:val="16"/>
          <w:szCs w:val="16"/>
          <w:color w:val="0956FF"/>
        </w:rPr>
      </w:pPr>
    </w:p>
    <w:p>
      <w:pPr>
        <w:ind w:left="500" w:hanging="188"/>
        <w:spacing w:after="0"/>
        <w:tabs>
          <w:tab w:leader="none" w:pos="500" w:val="left"/>
        </w:tabs>
        <w:numPr>
          <w:ilvl w:val="0"/>
          <w:numId w:val="51"/>
        </w:numPr>
        <w:rPr>
          <w:rFonts w:ascii="Arial" w:cs="Arial" w:eastAsia="Arial" w:hAnsi="Arial"/>
          <w:sz w:val="16"/>
          <w:szCs w:val="16"/>
          <w:color w:val="0956FF"/>
        </w:rPr>
      </w:pPr>
      <w:r>
        <w:rPr>
          <w:rFonts w:ascii="Arial" w:cs="Arial" w:eastAsia="Arial" w:hAnsi="Arial"/>
          <w:sz w:val="16"/>
          <w:szCs w:val="16"/>
          <w:color w:val="auto"/>
        </w:rPr>
        <w:t>Annual Board and committee self-evaluations</w:t>
      </w:r>
    </w:p>
    <w:p>
      <w:pPr>
        <w:spacing w:after="0" w:line="86" w:lineRule="exact"/>
        <w:rPr>
          <w:rFonts w:ascii="Arial" w:cs="Arial" w:eastAsia="Arial" w:hAnsi="Arial"/>
          <w:sz w:val="16"/>
          <w:szCs w:val="16"/>
          <w:color w:val="0956FF"/>
        </w:rPr>
      </w:pPr>
    </w:p>
    <w:p>
      <w:pPr>
        <w:ind w:left="500" w:right="775" w:hanging="188"/>
        <w:spacing w:after="0" w:line="316" w:lineRule="auto"/>
        <w:tabs>
          <w:tab w:leader="none" w:pos="500" w:val="left"/>
        </w:tabs>
        <w:numPr>
          <w:ilvl w:val="0"/>
          <w:numId w:val="51"/>
        </w:numPr>
        <w:rPr>
          <w:rFonts w:ascii="Arial" w:cs="Arial" w:eastAsia="Arial" w:hAnsi="Arial"/>
          <w:sz w:val="16"/>
          <w:szCs w:val="16"/>
          <w:color w:val="0956FF"/>
        </w:rPr>
      </w:pPr>
      <w:r>
        <w:rPr>
          <w:rFonts w:ascii="Arial" w:cs="Arial" w:eastAsia="Arial" w:hAnsi="Arial"/>
          <w:sz w:val="16"/>
          <w:szCs w:val="16"/>
          <w:color w:val="auto"/>
        </w:rPr>
        <w:t>Annual evaluation of CEO (including compensation) by independent directors</w:t>
      </w:r>
    </w:p>
    <w:p>
      <w:pPr>
        <w:spacing w:after="0" w:line="1" w:lineRule="exact"/>
        <w:rPr>
          <w:rFonts w:ascii="Arial" w:cs="Arial" w:eastAsia="Arial" w:hAnsi="Arial"/>
          <w:sz w:val="16"/>
          <w:szCs w:val="16"/>
          <w:color w:val="0956FF"/>
        </w:rPr>
      </w:pPr>
    </w:p>
    <w:p>
      <w:pPr>
        <w:ind w:left="500" w:right="375" w:hanging="188"/>
        <w:spacing w:after="0" w:line="316" w:lineRule="auto"/>
        <w:tabs>
          <w:tab w:leader="none" w:pos="500" w:val="left"/>
        </w:tabs>
        <w:numPr>
          <w:ilvl w:val="0"/>
          <w:numId w:val="51"/>
        </w:numPr>
        <w:rPr>
          <w:rFonts w:ascii="Arial" w:cs="Arial" w:eastAsia="Arial" w:hAnsi="Arial"/>
          <w:sz w:val="16"/>
          <w:szCs w:val="16"/>
          <w:color w:val="0956FF"/>
        </w:rPr>
      </w:pPr>
      <w:r>
        <w:rPr>
          <w:rFonts w:ascii="Arial" w:cs="Arial" w:eastAsia="Arial" w:hAnsi="Arial"/>
          <w:sz w:val="16"/>
          <w:szCs w:val="16"/>
          <w:color w:val="auto"/>
        </w:rPr>
        <w:t>Clawback policy that applies to our short- and long-term incentive plans</w:t>
      </w:r>
    </w:p>
    <w:p>
      <w:pPr>
        <w:spacing w:after="0" w:line="1" w:lineRule="exact"/>
        <w:rPr>
          <w:rFonts w:ascii="Arial" w:cs="Arial" w:eastAsia="Arial" w:hAnsi="Arial"/>
          <w:sz w:val="16"/>
          <w:szCs w:val="16"/>
          <w:color w:val="0956FF"/>
        </w:rPr>
      </w:pPr>
    </w:p>
    <w:p>
      <w:pPr>
        <w:ind w:left="500" w:hanging="188"/>
        <w:spacing w:after="0"/>
        <w:tabs>
          <w:tab w:leader="none" w:pos="500" w:val="left"/>
        </w:tabs>
        <w:numPr>
          <w:ilvl w:val="0"/>
          <w:numId w:val="51"/>
        </w:numPr>
        <w:rPr>
          <w:rFonts w:ascii="Arial" w:cs="Arial" w:eastAsia="Arial" w:hAnsi="Arial"/>
          <w:sz w:val="16"/>
          <w:szCs w:val="16"/>
          <w:color w:val="0956FF"/>
        </w:rPr>
      </w:pPr>
      <w:r>
        <w:rPr>
          <w:rFonts w:ascii="Arial" w:cs="Arial" w:eastAsia="Arial" w:hAnsi="Arial"/>
          <w:sz w:val="16"/>
          <w:szCs w:val="16"/>
          <w:color w:val="auto"/>
        </w:rPr>
        <w:t>Oversight of political contributions and lobbying</w:t>
      </w:r>
    </w:p>
    <w:p>
      <w:pPr>
        <w:spacing w:after="0" w:line="86" w:lineRule="exact"/>
        <w:rPr>
          <w:rFonts w:ascii="Arial" w:cs="Arial" w:eastAsia="Arial" w:hAnsi="Arial"/>
          <w:sz w:val="16"/>
          <w:szCs w:val="16"/>
          <w:color w:val="0956FF"/>
        </w:rPr>
      </w:pPr>
    </w:p>
    <w:p>
      <w:pPr>
        <w:ind w:left="500" w:right="595" w:hanging="188"/>
        <w:spacing w:after="0" w:line="321" w:lineRule="auto"/>
        <w:tabs>
          <w:tab w:leader="none" w:pos="500" w:val="left"/>
        </w:tabs>
        <w:numPr>
          <w:ilvl w:val="0"/>
          <w:numId w:val="51"/>
        </w:numPr>
        <w:rPr>
          <w:rFonts w:ascii="Arial" w:cs="Arial" w:eastAsia="Arial" w:hAnsi="Arial"/>
          <w:sz w:val="16"/>
          <w:szCs w:val="16"/>
          <w:color w:val="0956FF"/>
        </w:rPr>
      </w:pPr>
      <w:r>
        <w:rPr>
          <w:rFonts w:ascii="Arial" w:cs="Arial" w:eastAsia="Arial" w:hAnsi="Arial"/>
          <w:sz w:val="16"/>
          <w:szCs w:val="16"/>
          <w:color w:val="auto"/>
        </w:rPr>
        <w:t>Comprehensive code of conduct, “Winning with Integrity”</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1125"/>
        <w:spacing w:after="0"/>
        <w:rPr>
          <w:sz w:val="20"/>
          <w:szCs w:val="20"/>
          <w:color w:val="auto"/>
        </w:rPr>
      </w:pPr>
      <w:r>
        <w:rPr>
          <w:rFonts w:ascii="Arial" w:cs="Arial" w:eastAsia="Arial" w:hAnsi="Arial"/>
          <w:sz w:val="18"/>
          <w:szCs w:val="18"/>
          <w:b w:val="1"/>
          <w:bCs w:val="1"/>
          <w:color w:val="0956FF"/>
        </w:rPr>
        <w:t>Shareholder Rights</w:t>
      </w:r>
    </w:p>
    <w:p>
      <w:pPr>
        <w:spacing w:after="0" w:line="68" w:lineRule="exact"/>
        <w:rPr>
          <w:sz w:val="20"/>
          <w:szCs w:val="20"/>
          <w:color w:val="auto"/>
        </w:rPr>
      </w:pPr>
    </w:p>
    <w:p>
      <w:pPr>
        <w:ind w:left="185" w:hanging="185"/>
        <w:spacing w:after="0"/>
        <w:tabs>
          <w:tab w:leader="none" w:pos="185" w:val="left"/>
        </w:tabs>
        <w:numPr>
          <w:ilvl w:val="0"/>
          <w:numId w:val="52"/>
        </w:numPr>
        <w:rPr>
          <w:rFonts w:ascii="Arial" w:cs="Arial" w:eastAsia="Arial" w:hAnsi="Arial"/>
          <w:sz w:val="16"/>
          <w:szCs w:val="16"/>
          <w:color w:val="0956FF"/>
        </w:rPr>
      </w:pPr>
      <w:r>
        <w:rPr>
          <w:rFonts w:ascii="Arial" w:cs="Arial" w:eastAsia="Arial" w:hAnsi="Arial"/>
          <w:sz w:val="16"/>
          <w:szCs w:val="16"/>
          <w:color w:val="auto"/>
        </w:rPr>
        <w:t>Proxy access</w:t>
      </w:r>
    </w:p>
    <w:p>
      <w:pPr>
        <w:spacing w:after="0" w:line="86" w:lineRule="exact"/>
        <w:rPr>
          <w:rFonts w:ascii="Arial" w:cs="Arial" w:eastAsia="Arial" w:hAnsi="Arial"/>
          <w:sz w:val="16"/>
          <w:szCs w:val="16"/>
          <w:color w:val="0956FF"/>
        </w:rPr>
      </w:pPr>
    </w:p>
    <w:p>
      <w:pPr>
        <w:ind w:left="185" w:hanging="185"/>
        <w:spacing w:after="0"/>
        <w:tabs>
          <w:tab w:leader="none" w:pos="185" w:val="left"/>
        </w:tabs>
        <w:numPr>
          <w:ilvl w:val="0"/>
          <w:numId w:val="52"/>
        </w:numPr>
        <w:rPr>
          <w:rFonts w:ascii="Arial" w:cs="Arial" w:eastAsia="Arial" w:hAnsi="Arial"/>
          <w:sz w:val="16"/>
          <w:szCs w:val="16"/>
          <w:color w:val="0956FF"/>
        </w:rPr>
      </w:pPr>
      <w:r>
        <w:rPr>
          <w:rFonts w:ascii="Arial" w:cs="Arial" w:eastAsia="Arial" w:hAnsi="Arial"/>
          <w:sz w:val="16"/>
          <w:szCs w:val="16"/>
          <w:color w:val="auto"/>
        </w:rPr>
        <w:t>Shareholder right to call special meetings</w:t>
      </w:r>
    </w:p>
    <w:p>
      <w:pPr>
        <w:spacing w:after="0" w:line="86" w:lineRule="exact"/>
        <w:rPr>
          <w:rFonts w:ascii="Arial" w:cs="Arial" w:eastAsia="Arial" w:hAnsi="Arial"/>
          <w:sz w:val="16"/>
          <w:szCs w:val="16"/>
          <w:color w:val="0956FF"/>
        </w:rPr>
      </w:pPr>
    </w:p>
    <w:p>
      <w:pPr>
        <w:ind w:left="185" w:hanging="185"/>
        <w:spacing w:after="0"/>
        <w:tabs>
          <w:tab w:leader="none" w:pos="185" w:val="left"/>
        </w:tabs>
        <w:numPr>
          <w:ilvl w:val="0"/>
          <w:numId w:val="52"/>
        </w:numPr>
        <w:rPr>
          <w:rFonts w:ascii="Arial" w:cs="Arial" w:eastAsia="Arial" w:hAnsi="Arial"/>
          <w:sz w:val="16"/>
          <w:szCs w:val="16"/>
          <w:color w:val="0956FF"/>
        </w:rPr>
      </w:pPr>
      <w:r>
        <w:rPr>
          <w:rFonts w:ascii="Arial" w:cs="Arial" w:eastAsia="Arial" w:hAnsi="Arial"/>
          <w:sz w:val="16"/>
          <w:szCs w:val="16"/>
          <w:color w:val="auto"/>
        </w:rPr>
        <w:t>No poison pill or dual-class shares</w:t>
      </w:r>
    </w:p>
    <w:p>
      <w:pPr>
        <w:spacing w:after="0" w:line="86" w:lineRule="exact"/>
        <w:rPr>
          <w:rFonts w:ascii="Arial" w:cs="Arial" w:eastAsia="Arial" w:hAnsi="Arial"/>
          <w:sz w:val="16"/>
          <w:szCs w:val="16"/>
          <w:color w:val="0956FF"/>
        </w:rPr>
      </w:pPr>
    </w:p>
    <w:p>
      <w:pPr>
        <w:ind w:left="185" w:hanging="185"/>
        <w:spacing w:after="0"/>
        <w:tabs>
          <w:tab w:leader="none" w:pos="185" w:val="left"/>
        </w:tabs>
        <w:numPr>
          <w:ilvl w:val="0"/>
          <w:numId w:val="52"/>
        </w:numPr>
        <w:rPr>
          <w:rFonts w:ascii="Arial" w:cs="Arial" w:eastAsia="Arial" w:hAnsi="Arial"/>
          <w:sz w:val="16"/>
          <w:szCs w:val="16"/>
          <w:color w:val="0956FF"/>
        </w:rPr>
      </w:pPr>
      <w:r>
        <w:rPr>
          <w:rFonts w:ascii="Arial" w:cs="Arial" w:eastAsia="Arial" w:hAnsi="Arial"/>
          <w:sz w:val="16"/>
          <w:szCs w:val="16"/>
          <w:color w:val="auto"/>
        </w:rPr>
        <w:t>One-share, one-vote standard</w:t>
      </w:r>
    </w:p>
    <w:p>
      <w:pPr>
        <w:spacing w:after="0" w:line="2668" w:lineRule="exact"/>
        <w:rPr>
          <w:sz w:val="20"/>
          <w:szCs w:val="20"/>
          <w:color w:val="auto"/>
        </w:rPr>
      </w:pPr>
    </w:p>
    <w:p>
      <w:pPr>
        <w:sectPr>
          <w:pgSz w:w="11900" w:h="16838" w:orient="portrait"/>
          <w:cols w:equalWidth="0" w:num="2">
            <w:col w:w="4155" w:space="720"/>
            <w:col w:w="4225"/>
          </w:cols>
          <w:pgMar w:left="140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29</w:t>
      </w:r>
    </w:p>
    <w:p>
      <w:pPr>
        <w:sectPr>
          <w:pgSz w:w="11900" w:h="16838" w:orient="portrait"/>
          <w:cols w:equalWidth="0" w:num="1">
            <w:col w:w="9100"/>
          </w:cols>
          <w:pgMar w:left="1400" w:top="657" w:right="13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Corporate Governance</w:t>
      </w:r>
    </w:p>
    <w:p>
      <w:pPr>
        <w:spacing w:after="0" w:line="200" w:lineRule="exact"/>
        <w:rPr>
          <w:sz w:val="20"/>
          <w:szCs w:val="20"/>
          <w:color w:val="auto"/>
        </w:rPr>
      </w:pPr>
    </w:p>
    <w:p>
      <w:pPr>
        <w:spacing w:after="0" w:line="343" w:lineRule="exact"/>
        <w:rPr>
          <w:sz w:val="20"/>
          <w:szCs w:val="20"/>
          <w:color w:val="auto"/>
        </w:rPr>
      </w:pPr>
    </w:p>
    <w:p>
      <w:pPr>
        <w:ind w:right="1400"/>
        <w:spacing w:after="0" w:line="276" w:lineRule="auto"/>
        <w:rPr>
          <w:sz w:val="20"/>
          <w:szCs w:val="20"/>
          <w:color w:val="auto"/>
        </w:rPr>
      </w:pPr>
      <w:r>
        <w:rPr>
          <w:rFonts w:ascii="Arial" w:cs="Arial" w:eastAsia="Arial" w:hAnsi="Arial"/>
          <w:sz w:val="40"/>
          <w:szCs w:val="40"/>
          <w:b w:val="1"/>
          <w:bCs w:val="1"/>
          <w:color w:val="0956FF"/>
        </w:rPr>
        <w:t>Related Party Transactions and Potential Conflicts of Interest</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Our Code of Conduct requires all of our employees and directors to avoid any activity that is in conflict with our business interests. In addition, the Board has adopted a Related Party Transactions Policy regarding the review and approval of related party transactions. Under the Related Party Transactions Policy, which is administered by our Governance Committee, directors and executive officers must report any potential related party transactions on an annual basis (including transactions involving immediate family members) to the Executive Vice President, Chief Legal &amp; Public Policy Officer, and Corporate Secretary to determine whether the transaction constitutes a related party transaction. If any member of the Governance Committee has a potential interest in any related party transaction, such member is recused and abstains from voting on the approval of the related party transaction.</w:t>
      </w:r>
    </w:p>
    <w:p>
      <w:pPr>
        <w:spacing w:after="0" w:line="22"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For purposes of our Related Party Transactions Policy, a related party transaction includes transactions in which our Company (or a subsidiary) is a participant, the amount involved exceeds $120,000, and the related party has or will have a direct or indirect material interest. Related parties of our Company consist of directors (including nominees for election as directors), executive officers, shareholders beneficially owning more than 5 percent of the Company’s voting securities, and the immediate family members of these individuals. Once a potential related party transaction has been identified, the Governance Committee reviews all of the relevant facts and circumstances and approves or disapproves entry into the transaction. As required under SEC rules, we disclose all related party transactions annually in our proxy statement. When a transaction is ongoing, the transactions are reviewed annually for reasonableness and fairness to the Company.</w:t>
      </w:r>
    </w:p>
    <w:p>
      <w:pPr>
        <w:spacing w:after="0" w:line="8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Factors Used in Assessing Related Party Transactions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4540" w:type="dxa"/>
            <w:vAlign w:val="bottom"/>
            <w:shd w:val="clear" w:color="auto" w:fill="ECEBEB"/>
          </w:tcPr>
          <w:p>
            <w:pPr>
              <w:ind w:left="2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Whether the terms of the related party transaction</w:t>
            </w:r>
          </w:p>
        </w:tc>
        <w:tc>
          <w:tcPr>
            <w:tcW w:w="4540" w:type="dxa"/>
            <w:vAlign w:val="bottom"/>
            <w:shd w:val="clear" w:color="auto" w:fill="ECEBEB"/>
          </w:tcPr>
          <w:p>
            <w:pPr>
              <w:ind w:left="6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Whether the related party transaction would impair the</w:t>
            </w:r>
          </w:p>
        </w:tc>
      </w:tr>
      <w:tr>
        <w:trPr>
          <w:trHeight w:val="189"/>
        </w:trPr>
        <w:tc>
          <w:tcPr>
            <w:tcW w:w="4540" w:type="dxa"/>
            <w:vAlign w:val="bottom"/>
            <w:shd w:val="clear" w:color="auto" w:fill="ECEBEB"/>
          </w:tcPr>
          <w:p>
            <w:pPr>
              <w:ind w:left="460"/>
              <w:spacing w:after="0"/>
              <w:rPr>
                <w:sz w:val="20"/>
                <w:szCs w:val="20"/>
                <w:color w:val="auto"/>
              </w:rPr>
            </w:pPr>
            <w:r>
              <w:rPr>
                <w:rFonts w:ascii="Arial" w:cs="Arial" w:eastAsia="Arial" w:hAnsi="Arial"/>
                <w:sz w:val="16"/>
                <w:szCs w:val="16"/>
                <w:color w:val="auto"/>
              </w:rPr>
              <w:t>are fair to the Company and on the same basis as if</w:t>
            </w:r>
          </w:p>
        </w:tc>
        <w:tc>
          <w:tcPr>
            <w:tcW w:w="4540" w:type="dxa"/>
            <w:vAlign w:val="bottom"/>
            <w:shd w:val="clear" w:color="auto" w:fill="ECEBEB"/>
          </w:tcPr>
          <w:p>
            <w:pPr>
              <w:ind w:left="240"/>
              <w:spacing w:after="0"/>
              <w:rPr>
                <w:sz w:val="20"/>
                <w:szCs w:val="20"/>
                <w:color w:val="auto"/>
              </w:rPr>
            </w:pPr>
            <w:r>
              <w:rPr>
                <w:rFonts w:ascii="Arial" w:cs="Arial" w:eastAsia="Arial" w:hAnsi="Arial"/>
                <w:sz w:val="16"/>
                <w:szCs w:val="16"/>
                <w:color w:val="auto"/>
              </w:rPr>
              <w:t>independence of an otherwise independent</w:t>
            </w:r>
          </w:p>
        </w:tc>
      </w:tr>
      <w:tr>
        <w:trPr>
          <w:trHeight w:val="189"/>
        </w:trPr>
        <w:tc>
          <w:tcPr>
            <w:tcW w:w="4540" w:type="dxa"/>
            <w:vAlign w:val="bottom"/>
            <w:shd w:val="clear" w:color="auto" w:fill="ECEBEB"/>
          </w:tcPr>
          <w:p>
            <w:pPr>
              <w:ind w:left="460"/>
              <w:spacing w:after="0"/>
              <w:rPr>
                <w:sz w:val="20"/>
                <w:szCs w:val="20"/>
                <w:color w:val="auto"/>
              </w:rPr>
            </w:pPr>
            <w:r>
              <w:rPr>
                <w:rFonts w:ascii="Arial" w:cs="Arial" w:eastAsia="Arial" w:hAnsi="Arial"/>
                <w:sz w:val="16"/>
                <w:szCs w:val="16"/>
                <w:color w:val="auto"/>
              </w:rPr>
              <w:t>the transaction had occurred on an</w:t>
            </w:r>
          </w:p>
        </w:tc>
        <w:tc>
          <w:tcPr>
            <w:tcW w:w="4540" w:type="dxa"/>
            <w:vAlign w:val="bottom"/>
            <w:shd w:val="clear" w:color="auto" w:fill="ECEBEB"/>
          </w:tcPr>
          <w:p>
            <w:pPr>
              <w:ind w:left="240"/>
              <w:spacing w:after="0"/>
              <w:rPr>
                <w:sz w:val="20"/>
                <w:szCs w:val="20"/>
                <w:color w:val="auto"/>
              </w:rPr>
            </w:pPr>
            <w:r>
              <w:rPr>
                <w:rFonts w:ascii="Arial" w:cs="Arial" w:eastAsia="Arial" w:hAnsi="Arial"/>
                <w:sz w:val="16"/>
                <w:szCs w:val="16"/>
                <w:color w:val="auto"/>
              </w:rPr>
              <w:t>director; and</w:t>
            </w:r>
          </w:p>
        </w:tc>
      </w:tr>
      <w:tr>
        <w:trPr>
          <w:trHeight w:val="256"/>
        </w:trPr>
        <w:tc>
          <w:tcPr>
            <w:tcW w:w="4540" w:type="dxa"/>
            <w:vAlign w:val="bottom"/>
            <w:shd w:val="clear" w:color="auto" w:fill="ECEBEB"/>
          </w:tcPr>
          <w:p>
            <w:pPr>
              <w:ind w:left="460"/>
              <w:spacing w:after="0"/>
              <w:rPr>
                <w:sz w:val="20"/>
                <w:szCs w:val="20"/>
                <w:color w:val="auto"/>
              </w:rPr>
            </w:pPr>
            <w:r>
              <w:rPr>
                <w:rFonts w:ascii="Arial" w:cs="Arial" w:eastAsia="Arial" w:hAnsi="Arial"/>
                <w:sz w:val="16"/>
                <w:szCs w:val="16"/>
                <w:color w:val="auto"/>
              </w:rPr>
              <w:t>arm’s-length basis;</w:t>
            </w:r>
          </w:p>
        </w:tc>
        <w:tc>
          <w:tcPr>
            <w:tcW w:w="4540" w:type="dxa"/>
            <w:vAlign w:val="bottom"/>
            <w:shd w:val="clear" w:color="auto" w:fill="ECEBEB"/>
          </w:tcPr>
          <w:p>
            <w:pPr>
              <w:ind w:left="6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Whether the related party transaction would present</w:t>
            </w:r>
          </w:p>
        </w:tc>
      </w:tr>
      <w:tr>
        <w:trPr>
          <w:trHeight w:val="189"/>
        </w:trPr>
        <w:tc>
          <w:tcPr>
            <w:tcW w:w="4540" w:type="dxa"/>
            <w:vAlign w:val="bottom"/>
            <w:shd w:val="clear" w:color="auto" w:fill="ECEBEB"/>
          </w:tcPr>
          <w:p>
            <w:pPr>
              <w:ind w:left="2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Whether there are any compelling business</w:t>
            </w:r>
          </w:p>
        </w:tc>
        <w:tc>
          <w:tcPr>
            <w:tcW w:w="4540" w:type="dxa"/>
            <w:vAlign w:val="bottom"/>
            <w:shd w:val="clear" w:color="auto" w:fill="ECEBEB"/>
          </w:tcPr>
          <w:p>
            <w:pPr>
              <w:ind w:left="240"/>
              <w:spacing w:after="0"/>
              <w:rPr>
                <w:sz w:val="20"/>
                <w:szCs w:val="20"/>
                <w:color w:val="auto"/>
              </w:rPr>
            </w:pPr>
            <w:r>
              <w:rPr>
                <w:rFonts w:ascii="Arial" w:cs="Arial" w:eastAsia="Arial" w:hAnsi="Arial"/>
                <w:sz w:val="16"/>
                <w:szCs w:val="16"/>
                <w:color w:val="auto"/>
              </w:rPr>
              <w:t>an improper conflict of interest for any director or</w:t>
            </w:r>
          </w:p>
        </w:tc>
      </w:tr>
      <w:tr>
        <w:trPr>
          <w:trHeight w:val="203"/>
        </w:trPr>
        <w:tc>
          <w:tcPr>
            <w:tcW w:w="4540" w:type="dxa"/>
            <w:vAlign w:val="bottom"/>
            <w:shd w:val="clear" w:color="auto" w:fill="ECEBEB"/>
          </w:tcPr>
          <w:p>
            <w:pPr>
              <w:ind w:left="460"/>
              <w:spacing w:after="0"/>
              <w:rPr>
                <w:sz w:val="20"/>
                <w:szCs w:val="20"/>
                <w:color w:val="auto"/>
              </w:rPr>
            </w:pPr>
            <w:r>
              <w:rPr>
                <w:rFonts w:ascii="Arial" w:cs="Arial" w:eastAsia="Arial" w:hAnsi="Arial"/>
                <w:sz w:val="16"/>
                <w:szCs w:val="16"/>
                <w:color w:val="auto"/>
              </w:rPr>
              <w:t>reasons for the Company to enter into the related</w:t>
            </w:r>
          </w:p>
        </w:tc>
        <w:tc>
          <w:tcPr>
            <w:tcW w:w="4540" w:type="dxa"/>
            <w:vAlign w:val="bottom"/>
            <w:shd w:val="clear" w:color="auto" w:fill="ECEBEB"/>
          </w:tcPr>
          <w:p>
            <w:pPr>
              <w:ind w:left="240"/>
              <w:spacing w:after="0"/>
              <w:rPr>
                <w:sz w:val="20"/>
                <w:szCs w:val="20"/>
                <w:color w:val="auto"/>
              </w:rPr>
            </w:pPr>
            <w:r>
              <w:rPr>
                <w:rFonts w:ascii="Arial" w:cs="Arial" w:eastAsia="Arial" w:hAnsi="Arial"/>
                <w:sz w:val="16"/>
                <w:szCs w:val="16"/>
                <w:color w:val="auto"/>
              </w:rPr>
              <w:t>executive officer of the Company, taking into account</w:t>
            </w:r>
          </w:p>
        </w:tc>
      </w:tr>
      <w:tr>
        <w:trPr>
          <w:trHeight w:val="189"/>
        </w:trPr>
        <w:tc>
          <w:tcPr>
            <w:tcW w:w="4540" w:type="dxa"/>
            <w:vAlign w:val="bottom"/>
            <w:shd w:val="clear" w:color="auto" w:fill="ECEBEB"/>
          </w:tcPr>
          <w:p>
            <w:pPr>
              <w:ind w:left="460"/>
              <w:spacing w:after="0"/>
              <w:rPr>
                <w:sz w:val="20"/>
                <w:szCs w:val="20"/>
                <w:color w:val="auto"/>
              </w:rPr>
            </w:pPr>
            <w:r>
              <w:rPr>
                <w:rFonts w:ascii="Arial" w:cs="Arial" w:eastAsia="Arial" w:hAnsi="Arial"/>
                <w:sz w:val="16"/>
                <w:szCs w:val="16"/>
                <w:color w:val="auto"/>
              </w:rPr>
              <w:t>party transaction and the nature of alternative</w:t>
            </w:r>
          </w:p>
        </w:tc>
        <w:tc>
          <w:tcPr>
            <w:tcW w:w="4540" w:type="dxa"/>
            <w:vAlign w:val="bottom"/>
            <w:shd w:val="clear" w:color="auto" w:fill="ECEBEB"/>
          </w:tcPr>
          <w:p>
            <w:pPr>
              <w:ind w:left="240"/>
              <w:spacing w:after="0"/>
              <w:rPr>
                <w:sz w:val="20"/>
                <w:szCs w:val="20"/>
                <w:color w:val="auto"/>
              </w:rPr>
            </w:pPr>
            <w:r>
              <w:rPr>
                <w:rFonts w:ascii="Arial" w:cs="Arial" w:eastAsia="Arial" w:hAnsi="Arial"/>
                <w:sz w:val="16"/>
                <w:szCs w:val="16"/>
                <w:color w:val="auto"/>
              </w:rPr>
              <w:t>the specific facts and circumstances of</w:t>
            </w:r>
          </w:p>
        </w:tc>
      </w:tr>
      <w:tr>
        <w:trPr>
          <w:trHeight w:val="215"/>
        </w:trPr>
        <w:tc>
          <w:tcPr>
            <w:tcW w:w="4540" w:type="dxa"/>
            <w:vAlign w:val="bottom"/>
            <w:shd w:val="clear" w:color="auto" w:fill="ECEBEB"/>
          </w:tcPr>
          <w:p>
            <w:pPr>
              <w:ind w:left="460"/>
              <w:spacing w:after="0"/>
              <w:rPr>
                <w:sz w:val="20"/>
                <w:szCs w:val="20"/>
                <w:color w:val="auto"/>
              </w:rPr>
            </w:pPr>
            <w:r>
              <w:rPr>
                <w:rFonts w:ascii="Arial" w:cs="Arial" w:eastAsia="Arial" w:hAnsi="Arial"/>
                <w:sz w:val="16"/>
                <w:szCs w:val="16"/>
                <w:color w:val="auto"/>
              </w:rPr>
              <w:t>transactions, if any;</w:t>
            </w:r>
          </w:p>
        </w:tc>
        <w:tc>
          <w:tcPr>
            <w:tcW w:w="4540" w:type="dxa"/>
            <w:vAlign w:val="bottom"/>
            <w:shd w:val="clear" w:color="auto" w:fill="ECEBEB"/>
          </w:tcPr>
          <w:p>
            <w:pPr>
              <w:ind w:left="240"/>
              <w:spacing w:after="0"/>
              <w:rPr>
                <w:sz w:val="20"/>
                <w:szCs w:val="20"/>
                <w:color w:val="auto"/>
              </w:rPr>
            </w:pPr>
            <w:r>
              <w:rPr>
                <w:rFonts w:ascii="Arial" w:cs="Arial" w:eastAsia="Arial" w:hAnsi="Arial"/>
                <w:sz w:val="16"/>
                <w:szCs w:val="16"/>
                <w:color w:val="auto"/>
              </w:rPr>
              <w:t>such transaction.</w:t>
            </w:r>
          </w:p>
        </w:tc>
      </w:tr>
      <w:tr>
        <w:trPr>
          <w:trHeight w:val="231"/>
        </w:trPr>
        <w:tc>
          <w:tcPr>
            <w:tcW w:w="4540" w:type="dxa"/>
            <w:vAlign w:val="bottom"/>
            <w:shd w:val="clear" w:color="auto" w:fill="ECEBEB"/>
          </w:tcPr>
          <w:p>
            <w:pPr>
              <w:ind w:left="28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Whether grants or contributions made by the</w:t>
            </w:r>
          </w:p>
        </w:tc>
        <w:tc>
          <w:tcPr>
            <w:tcW w:w="4540" w:type="dxa"/>
            <w:vAlign w:val="bottom"/>
            <w:shd w:val="clear" w:color="auto" w:fill="ECEBEB"/>
          </w:tcPr>
          <w:p>
            <w:pPr>
              <w:spacing w:after="0"/>
              <w:rPr>
                <w:sz w:val="20"/>
                <w:szCs w:val="20"/>
                <w:color w:val="auto"/>
              </w:rPr>
            </w:pPr>
          </w:p>
        </w:tc>
      </w:tr>
      <w:tr>
        <w:trPr>
          <w:trHeight w:val="189"/>
        </w:trPr>
        <w:tc>
          <w:tcPr>
            <w:tcW w:w="4540" w:type="dxa"/>
            <w:vAlign w:val="bottom"/>
            <w:shd w:val="clear" w:color="auto" w:fill="ECEBEB"/>
          </w:tcPr>
          <w:p>
            <w:pPr>
              <w:ind w:left="460"/>
              <w:spacing w:after="0"/>
              <w:rPr>
                <w:sz w:val="20"/>
                <w:szCs w:val="20"/>
                <w:color w:val="auto"/>
              </w:rPr>
            </w:pPr>
            <w:r>
              <w:rPr>
                <w:rFonts w:ascii="Arial" w:cs="Arial" w:eastAsia="Arial" w:hAnsi="Arial"/>
                <w:sz w:val="16"/>
                <w:szCs w:val="16"/>
                <w:color w:val="auto"/>
              </w:rPr>
              <w:t>Company under one of its grant programs are in</w:t>
            </w:r>
          </w:p>
        </w:tc>
        <w:tc>
          <w:tcPr>
            <w:tcW w:w="4540" w:type="dxa"/>
            <w:vAlign w:val="bottom"/>
            <w:shd w:val="clear" w:color="auto" w:fill="ECEBEB"/>
          </w:tcPr>
          <w:p>
            <w:pPr>
              <w:spacing w:after="0"/>
              <w:rPr>
                <w:sz w:val="16"/>
                <w:szCs w:val="16"/>
                <w:color w:val="auto"/>
              </w:rPr>
            </w:pPr>
          </w:p>
        </w:tc>
      </w:tr>
      <w:tr>
        <w:trPr>
          <w:trHeight w:val="203"/>
        </w:trPr>
        <w:tc>
          <w:tcPr>
            <w:tcW w:w="4540" w:type="dxa"/>
            <w:vAlign w:val="bottom"/>
            <w:shd w:val="clear" w:color="auto" w:fill="ECEBEB"/>
          </w:tcPr>
          <w:p>
            <w:pPr>
              <w:ind w:left="460"/>
              <w:spacing w:after="0"/>
              <w:rPr>
                <w:sz w:val="20"/>
                <w:szCs w:val="20"/>
                <w:color w:val="auto"/>
              </w:rPr>
            </w:pPr>
            <w:r>
              <w:rPr>
                <w:rFonts w:ascii="Arial" w:cs="Arial" w:eastAsia="Arial" w:hAnsi="Arial"/>
                <w:sz w:val="16"/>
                <w:szCs w:val="16"/>
                <w:color w:val="auto"/>
              </w:rPr>
              <w:t>accordance with the Company’s corporate</w:t>
            </w:r>
          </w:p>
        </w:tc>
        <w:tc>
          <w:tcPr>
            <w:tcW w:w="4540" w:type="dxa"/>
            <w:vAlign w:val="bottom"/>
            <w:shd w:val="clear" w:color="auto" w:fill="ECEBEB"/>
          </w:tcPr>
          <w:p>
            <w:pPr>
              <w:spacing w:after="0"/>
              <w:rPr>
                <w:sz w:val="17"/>
                <w:szCs w:val="17"/>
                <w:color w:val="auto"/>
              </w:rPr>
            </w:pPr>
          </w:p>
        </w:tc>
      </w:tr>
      <w:tr>
        <w:trPr>
          <w:trHeight w:val="215"/>
        </w:trPr>
        <w:tc>
          <w:tcPr>
            <w:tcW w:w="4540" w:type="dxa"/>
            <w:vAlign w:val="bottom"/>
            <w:shd w:val="clear" w:color="auto" w:fill="ECEBEB"/>
          </w:tcPr>
          <w:p>
            <w:pPr>
              <w:ind w:left="460"/>
              <w:spacing w:after="0"/>
              <w:rPr>
                <w:sz w:val="20"/>
                <w:szCs w:val="20"/>
                <w:color w:val="auto"/>
              </w:rPr>
            </w:pPr>
            <w:r>
              <w:rPr>
                <w:rFonts w:ascii="Arial" w:cs="Arial" w:eastAsia="Arial" w:hAnsi="Arial"/>
                <w:sz w:val="16"/>
                <w:szCs w:val="16"/>
                <w:color w:val="auto"/>
              </w:rPr>
              <w:t>contribution guidelines;</w:t>
            </w:r>
          </w:p>
        </w:tc>
        <w:tc>
          <w:tcPr>
            <w:tcW w:w="4540" w:type="dxa"/>
            <w:vAlign w:val="bottom"/>
            <w:shd w:val="clear" w:color="auto" w:fill="ECEBEB"/>
          </w:tcPr>
          <w:p>
            <w:pPr>
              <w:spacing w:after="0"/>
              <w:rPr>
                <w:sz w:val="18"/>
                <w:szCs w:val="18"/>
                <w:color w:val="auto"/>
              </w:rPr>
            </w:pPr>
          </w:p>
        </w:tc>
      </w:tr>
      <w:tr>
        <w:trPr>
          <w:trHeight w:val="231"/>
        </w:trPr>
        <w:tc>
          <w:tcPr>
            <w:tcW w:w="4540" w:type="dxa"/>
            <w:vAlign w:val="bottom"/>
            <w:shd w:val="clear" w:color="auto" w:fill="ECEBEB"/>
          </w:tcPr>
          <w:p>
            <w:pPr>
              <w:spacing w:after="0"/>
              <w:rPr>
                <w:sz w:val="20"/>
                <w:szCs w:val="20"/>
                <w:color w:val="auto"/>
              </w:rPr>
            </w:pPr>
          </w:p>
        </w:tc>
        <w:tc>
          <w:tcPr>
            <w:tcW w:w="4540" w:type="dxa"/>
            <w:vAlign w:val="bottom"/>
            <w:shd w:val="clear" w:color="auto" w:fill="ECEBEB"/>
          </w:tcPr>
          <w:p>
            <w:pPr>
              <w:spacing w:after="0"/>
              <w:rPr>
                <w:sz w:val="20"/>
                <w:szCs w:val="20"/>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Related Party Transactions</w:t>
      </w:r>
    </w:p>
    <w:p>
      <w:pPr>
        <w:spacing w:after="0" w:line="132"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In 2025, three holders of 5 percent or more of the Company’s common stock (BlackRock, Inc., State Street, and The Vanguard Group) provided investment management services to Company-sponsored pension plans. In 2022, GM entered into a real estate contract for design studio space in the United Kingdom that is owned by a subsidiary of BlackRock. The contract value is under $5 million for the duration of the ten-year lease. In addition, in February 2025, the Company completed the acquisition of all of the GM Cruise Holdings LLC common shares and Cruise Class F and Class G Preferred Shares held by noncontrolling shareholders, which included approximately $1.2 million worth of shares owned by BlackRock.</w:t>
      </w:r>
    </w:p>
    <w:p>
      <w:pPr>
        <w:spacing w:after="0" w:line="20"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The SEC has identified employment of immediate family members of directors and executive officers as per-se related party transactions and subject to disclosure if the $120,000 threshold is met. In 2025, the daughter of Mark L. Reuss, our</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President, was employed by General Motors in the Marketing organization and had total compensation in excess of $120,000 . Her compensation was comparable to other employees at a similar level.</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Committee Interlocks and Insider Participation</w:t>
      </w:r>
    </w:p>
    <w:p>
      <w:pPr>
        <w:spacing w:after="0" w:line="119"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Ms. Russo and Messrs. Bush, Jimenez, and Wenig serve on the Compensation Committee. As of the date of this Proxy Statement, no member of the Compensation Committee was or is a GM officer or employee or has any relationship with the Company requiring disclosure under Item 404 of Regulation S-K, and no executive officer of the Company served or serves on a compensation committee (or equivalent) or board of any company that employed or employs any member of the Company’s Compensation Committee or Board.</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9080"/>
          </w:cols>
          <w:pgMar w:left="1400" w:top="657" w:right="14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Non-Employee Director Compensation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Our non-employee directors receive cash compensation as well as equity compensation in the form of GM Deferred Share Units (“DSUs”) for their Board service under the Company’s Director Compensation Plan. Compensation for our non-employee directors is set annually by the Board at the recommendation of the Governance Committee.</w:t>
      </w:r>
    </w:p>
    <w:p>
      <w:pPr>
        <w:spacing w:after="0" w:line="139"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Guiding Principles</w:t>
      </w:r>
    </w:p>
    <w:p>
      <w:pPr>
        <w:spacing w:after="0" w:line="200" w:lineRule="exact"/>
        <w:rPr>
          <w:sz w:val="20"/>
          <w:szCs w:val="20"/>
          <w:color w:val="auto"/>
        </w:rPr>
      </w:pPr>
    </w:p>
    <w:p>
      <w:pPr>
        <w:spacing w:after="0" w:line="345" w:lineRule="exact"/>
        <w:rPr>
          <w:sz w:val="20"/>
          <w:szCs w:val="20"/>
          <w:color w:val="auto"/>
        </w:rPr>
      </w:pPr>
    </w:p>
    <w:p>
      <w:pPr>
        <w:ind w:left="540" w:hanging="201"/>
        <w:spacing w:after="0"/>
        <w:tabs>
          <w:tab w:leader="none" w:pos="540" w:val="left"/>
        </w:tabs>
        <w:numPr>
          <w:ilvl w:val="0"/>
          <w:numId w:val="53"/>
        </w:numPr>
        <w:rPr>
          <w:rFonts w:ascii="Arial" w:cs="Arial" w:eastAsia="Arial" w:hAnsi="Arial"/>
          <w:sz w:val="16"/>
          <w:szCs w:val="16"/>
          <w:color w:val="0956FF"/>
        </w:rPr>
      </w:pPr>
      <w:r>
        <w:rPr>
          <w:rFonts w:ascii="Arial" w:cs="Arial" w:eastAsia="Arial" w:hAnsi="Arial"/>
          <w:sz w:val="16"/>
          <w:szCs w:val="16"/>
          <w:color w:val="auto"/>
        </w:rPr>
        <w:t> Fairly compensate directors for their responsibilities and time commitments.</w:t>
      </w:r>
    </w:p>
    <w:p>
      <w:pPr>
        <w:spacing w:after="0" w:line="86" w:lineRule="exact"/>
        <w:rPr>
          <w:rFonts w:ascii="Arial" w:cs="Arial" w:eastAsia="Arial" w:hAnsi="Arial"/>
          <w:sz w:val="16"/>
          <w:szCs w:val="16"/>
          <w:color w:val="0956FF"/>
        </w:rPr>
      </w:pPr>
    </w:p>
    <w:p>
      <w:pPr>
        <w:ind w:left="540" w:right="1160" w:hanging="201"/>
        <w:spacing w:after="0" w:line="316" w:lineRule="auto"/>
        <w:tabs>
          <w:tab w:leader="none" w:pos="540" w:val="left"/>
        </w:tabs>
        <w:numPr>
          <w:ilvl w:val="0"/>
          <w:numId w:val="53"/>
        </w:numPr>
        <w:rPr>
          <w:rFonts w:ascii="Arial" w:cs="Arial" w:eastAsia="Arial" w:hAnsi="Arial"/>
          <w:sz w:val="16"/>
          <w:szCs w:val="16"/>
          <w:color w:val="0956FF"/>
        </w:rPr>
      </w:pPr>
      <w:r>
        <w:rPr>
          <w:rFonts w:ascii="Arial" w:cs="Arial" w:eastAsia="Arial" w:hAnsi="Arial"/>
          <w:sz w:val="16"/>
          <w:szCs w:val="16"/>
          <w:color w:val="auto"/>
        </w:rPr>
        <w:t>Attract and retain highly qualified directors by offering a compensation program consistent with those at companies of similar size, scope, and complexity.</w:t>
      </w:r>
    </w:p>
    <w:p>
      <w:pPr>
        <w:spacing w:after="0" w:line="1" w:lineRule="exact"/>
        <w:rPr>
          <w:rFonts w:ascii="Arial" w:cs="Arial" w:eastAsia="Arial" w:hAnsi="Arial"/>
          <w:sz w:val="16"/>
          <w:szCs w:val="16"/>
          <w:color w:val="0956FF"/>
        </w:rPr>
      </w:pPr>
    </w:p>
    <w:p>
      <w:pPr>
        <w:ind w:left="540" w:right="1060" w:hanging="201"/>
        <w:spacing w:after="0" w:line="301" w:lineRule="auto"/>
        <w:tabs>
          <w:tab w:leader="none" w:pos="540" w:val="left"/>
        </w:tabs>
        <w:numPr>
          <w:ilvl w:val="0"/>
          <w:numId w:val="53"/>
        </w:numPr>
        <w:rPr>
          <w:rFonts w:ascii="Arial" w:cs="Arial" w:eastAsia="Arial" w:hAnsi="Arial"/>
          <w:sz w:val="16"/>
          <w:szCs w:val="16"/>
          <w:color w:val="0956FF"/>
        </w:rPr>
      </w:pPr>
      <w:r>
        <w:rPr>
          <w:rFonts w:ascii="Arial" w:cs="Arial" w:eastAsia="Arial" w:hAnsi="Arial"/>
          <w:sz w:val="16"/>
          <w:szCs w:val="16"/>
          <w:color w:val="auto"/>
        </w:rPr>
        <w:t>Align the interests of directors with our shareholders by providing a significant portion of compensation in equity-based awards and requiring directors to continue to own our common stock (or common stock equivalents) throughout their tenure on the Board.</w:t>
      </w:r>
    </w:p>
    <w:p>
      <w:pPr>
        <w:spacing w:after="0" w:line="9" w:lineRule="exact"/>
        <w:rPr>
          <w:rFonts w:ascii="Arial" w:cs="Arial" w:eastAsia="Arial" w:hAnsi="Arial"/>
          <w:sz w:val="16"/>
          <w:szCs w:val="16"/>
          <w:color w:val="0956FF"/>
        </w:rPr>
      </w:pPr>
    </w:p>
    <w:p>
      <w:pPr>
        <w:ind w:left="540" w:hanging="201"/>
        <w:spacing w:after="0"/>
        <w:tabs>
          <w:tab w:leader="none" w:pos="540" w:val="left"/>
        </w:tabs>
        <w:numPr>
          <w:ilvl w:val="0"/>
          <w:numId w:val="53"/>
        </w:numPr>
        <w:rPr>
          <w:rFonts w:ascii="Arial" w:cs="Arial" w:eastAsia="Arial" w:hAnsi="Arial"/>
          <w:sz w:val="16"/>
          <w:szCs w:val="16"/>
          <w:color w:val="0956FF"/>
        </w:rPr>
      </w:pPr>
      <w:r>
        <w:rPr>
          <w:rFonts w:ascii="Arial" w:cs="Arial" w:eastAsia="Arial" w:hAnsi="Arial"/>
          <w:sz w:val="16"/>
          <w:szCs w:val="16"/>
          <w:color w:val="auto"/>
        </w:rPr>
        <w:t>Provide compensation that is simple and transparent to shareholders.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Review Process</w:t>
      </w:r>
    </w:p>
    <w:p>
      <w:pPr>
        <w:spacing w:after="0" w:line="119"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The Governance Committee annually assesses the form and amount of non-employee director compensation and recommends changes, if appropriate, to the Board. As part of its annual review in December 2025, the Governance Committee benchmarked the current compensation structure against the executive compensation peer group described in the “Peer Group for Compensation Benchmarking” section of this Proxy Statement. Based on this review, the Governance Committee recommended, and the Board approved, an increase in non-employee director compensation, effective as of January 1, 2026 .</w:t>
      </w:r>
    </w:p>
    <w:p>
      <w:pPr>
        <w:spacing w:after="0" w:line="8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Compensation</w:t>
      </w:r>
    </w:p>
    <w:p>
      <w:pPr>
        <w:spacing w:after="0" w:line="11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2025 and 2026 compensation for non-employee directors is described in the table below. The Independent Lead Director and committee chairs receive additional compensation due to the increased workload and additional responsibilities associated with these positions. In particular, Ms. Russo’s compensation as Independent Lead Director reflects the additional time commitment for this role, which includes, among other responsibilities, attending all committee meetings and attending meetings with the Company’s CEO. For additional information about the roles and responsibilities of our Independent Lead Director, see “The Role of the Independent Lead Director” on page 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180" w:type="dxa"/>
            <w:vAlign w:val="bottom"/>
            <w:shd w:val="clear" w:color="auto" w:fill="ECEBEB"/>
          </w:tcPr>
          <w:p>
            <w:pPr>
              <w:spacing w:after="0"/>
              <w:rPr>
                <w:sz w:val="21"/>
                <w:szCs w:val="21"/>
                <w:color w:val="auto"/>
              </w:rPr>
            </w:pPr>
          </w:p>
        </w:tc>
        <w:tc>
          <w:tcPr>
            <w:tcW w:w="1960" w:type="dxa"/>
            <w:vAlign w:val="bottom"/>
            <w:shd w:val="clear" w:color="auto" w:fill="ECEBEB"/>
          </w:tcPr>
          <w:p>
            <w:pPr>
              <w:jc w:val="right"/>
              <w:ind w:right="143"/>
              <w:spacing w:after="0"/>
              <w:rPr>
                <w:sz w:val="20"/>
                <w:szCs w:val="20"/>
                <w:color w:val="auto"/>
              </w:rPr>
            </w:pPr>
            <w:r>
              <w:rPr>
                <w:rFonts w:ascii="Arial" w:cs="Arial" w:eastAsia="Arial" w:hAnsi="Arial"/>
                <w:sz w:val="14"/>
                <w:szCs w:val="14"/>
                <w:b w:val="1"/>
                <w:bCs w:val="1"/>
                <w:color w:val="auto"/>
              </w:rPr>
              <w:t>2025</w:t>
            </w:r>
          </w:p>
        </w:tc>
        <w:tc>
          <w:tcPr>
            <w:tcW w:w="940" w:type="dxa"/>
            <w:vAlign w:val="bottom"/>
            <w:shd w:val="clear" w:color="auto" w:fill="ECEBEB"/>
          </w:tcPr>
          <w:p>
            <w:pPr>
              <w:jc w:val="right"/>
              <w:ind w:right="23"/>
              <w:spacing w:after="0"/>
              <w:rPr>
                <w:sz w:val="20"/>
                <w:szCs w:val="20"/>
                <w:color w:val="auto"/>
              </w:rPr>
            </w:pPr>
            <w:r>
              <w:rPr>
                <w:rFonts w:ascii="Arial" w:cs="Arial" w:eastAsia="Arial" w:hAnsi="Arial"/>
                <w:sz w:val="14"/>
                <w:szCs w:val="14"/>
                <w:b w:val="1"/>
                <w:bCs w:val="1"/>
                <w:color w:val="auto"/>
              </w:rPr>
              <w:t>2026</w:t>
            </w:r>
          </w:p>
        </w:tc>
      </w:tr>
      <w:tr>
        <w:trPr>
          <w:trHeight w:val="162"/>
        </w:trPr>
        <w:tc>
          <w:tcPr>
            <w:tcW w:w="6180" w:type="dxa"/>
            <w:vAlign w:val="bottom"/>
            <w:shd w:val="clear" w:color="auto" w:fill="ECEBEB"/>
          </w:tcPr>
          <w:p>
            <w:pPr>
              <w:spacing w:after="0"/>
              <w:rPr>
                <w:sz w:val="14"/>
                <w:szCs w:val="14"/>
                <w:color w:val="auto"/>
              </w:rPr>
            </w:pPr>
          </w:p>
        </w:tc>
        <w:tc>
          <w:tcPr>
            <w:tcW w:w="1960" w:type="dxa"/>
            <w:vAlign w:val="bottom"/>
            <w:shd w:val="clear" w:color="auto" w:fill="ECEBEB"/>
          </w:tcPr>
          <w:p>
            <w:pPr>
              <w:jc w:val="right"/>
              <w:ind w:right="123"/>
              <w:spacing w:after="0"/>
              <w:rPr>
                <w:sz w:val="20"/>
                <w:szCs w:val="20"/>
                <w:color w:val="auto"/>
              </w:rPr>
            </w:pPr>
            <w:r>
              <w:rPr>
                <w:rFonts w:ascii="Arial" w:cs="Arial" w:eastAsia="Arial" w:hAnsi="Arial"/>
                <w:sz w:val="14"/>
                <w:szCs w:val="14"/>
                <w:b w:val="1"/>
                <w:bCs w:val="1"/>
                <w:color w:val="auto"/>
              </w:rPr>
              <w:t>Structure</w:t>
            </w:r>
          </w:p>
        </w:tc>
        <w:tc>
          <w:tcPr>
            <w:tcW w:w="940" w:type="dxa"/>
            <w:vAlign w:val="bottom"/>
            <w:shd w:val="clear" w:color="auto" w:fill="ECEBEB"/>
          </w:tcPr>
          <w:p>
            <w:pPr>
              <w:jc w:val="center"/>
              <w:ind w:left="103"/>
              <w:spacing w:after="0"/>
              <w:rPr>
                <w:sz w:val="20"/>
                <w:szCs w:val="20"/>
                <w:color w:val="auto"/>
              </w:rPr>
            </w:pPr>
            <w:r>
              <w:rPr>
                <w:rFonts w:ascii="Arial" w:cs="Arial" w:eastAsia="Arial" w:hAnsi="Arial"/>
                <w:sz w:val="14"/>
                <w:szCs w:val="14"/>
                <w:b w:val="1"/>
                <w:bCs w:val="1"/>
                <w:color w:val="auto"/>
              </w:rPr>
              <w:t>Structure</w:t>
            </w:r>
          </w:p>
        </w:tc>
      </w:tr>
      <w:tr>
        <w:trPr>
          <w:trHeight w:val="185"/>
        </w:trPr>
        <w:tc>
          <w:tcPr>
            <w:tcW w:w="618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Compensation Element</w:t>
            </w:r>
          </w:p>
        </w:tc>
        <w:tc>
          <w:tcPr>
            <w:tcW w:w="1960" w:type="dxa"/>
            <w:vAlign w:val="bottom"/>
            <w:tcBorders>
              <w:bottom w:val="single" w:sz="8" w:color="0956FF"/>
            </w:tcBorders>
            <w:shd w:val="clear" w:color="auto" w:fill="ECEBEB"/>
          </w:tcPr>
          <w:p>
            <w:pPr>
              <w:jc w:val="right"/>
              <w:ind w:right="123"/>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r>
      <w:tr>
        <w:trPr>
          <w:trHeight w:val="249"/>
        </w:trPr>
        <w:tc>
          <w:tcPr>
            <w:tcW w:w="618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Board Retainer</w:t>
            </w:r>
          </w:p>
        </w:tc>
        <w:tc>
          <w:tcPr>
            <w:tcW w:w="1960" w:type="dxa"/>
            <w:vAlign w:val="bottom"/>
            <w:tcBorders>
              <w:bottom w:val="single" w:sz="8" w:color="D8D7D7"/>
            </w:tcBorders>
          </w:tcPr>
          <w:p>
            <w:pPr>
              <w:jc w:val="right"/>
              <w:ind w:right="203"/>
              <w:spacing w:after="0"/>
              <w:rPr>
                <w:sz w:val="20"/>
                <w:szCs w:val="20"/>
                <w:color w:val="auto"/>
              </w:rPr>
            </w:pPr>
            <w:r>
              <w:rPr>
                <w:rFonts w:ascii="Arial" w:cs="Arial" w:eastAsia="Arial" w:hAnsi="Arial"/>
                <w:sz w:val="16"/>
                <w:szCs w:val="16"/>
                <w:color w:val="auto"/>
              </w:rPr>
              <w:t>325,000</w:t>
            </w:r>
          </w:p>
        </w:tc>
        <w:tc>
          <w:tcPr>
            <w:tcW w:w="940" w:type="dxa"/>
            <w:vAlign w:val="bottom"/>
            <w:tcBorders>
              <w:bottom w:val="single" w:sz="8" w:color="D8D7D7"/>
            </w:tcBorders>
          </w:tcPr>
          <w:p>
            <w:pPr>
              <w:jc w:val="right"/>
              <w:ind w:right="63"/>
              <w:spacing w:after="0"/>
              <w:rPr>
                <w:sz w:val="20"/>
                <w:szCs w:val="20"/>
                <w:color w:val="auto"/>
              </w:rPr>
            </w:pPr>
            <w:r>
              <w:rPr>
                <w:rFonts w:ascii="Arial" w:cs="Arial" w:eastAsia="Arial" w:hAnsi="Arial"/>
                <w:sz w:val="16"/>
                <w:szCs w:val="16"/>
                <w:color w:val="auto"/>
              </w:rPr>
              <w:t>340,000</w:t>
            </w:r>
          </w:p>
        </w:tc>
      </w:tr>
      <w:tr>
        <w:trPr>
          <w:trHeight w:val="250"/>
        </w:trPr>
        <w:tc>
          <w:tcPr>
            <w:tcW w:w="618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Independent Lead Director Fee</w:t>
            </w:r>
          </w:p>
        </w:tc>
        <w:tc>
          <w:tcPr>
            <w:tcW w:w="1960" w:type="dxa"/>
            <w:vAlign w:val="bottom"/>
            <w:tcBorders>
              <w:bottom w:val="single" w:sz="8" w:color="D8D7D7"/>
            </w:tcBorders>
          </w:tcPr>
          <w:p>
            <w:pPr>
              <w:jc w:val="right"/>
              <w:ind w:right="183"/>
              <w:spacing w:after="0"/>
              <w:rPr>
                <w:sz w:val="20"/>
                <w:szCs w:val="20"/>
                <w:color w:val="auto"/>
              </w:rPr>
            </w:pPr>
            <w:r>
              <w:rPr>
                <w:rFonts w:ascii="Arial" w:cs="Arial" w:eastAsia="Arial" w:hAnsi="Arial"/>
                <w:sz w:val="16"/>
                <w:szCs w:val="16"/>
                <w:color w:val="auto"/>
              </w:rPr>
              <w:t>100,000</w:t>
            </w:r>
          </w:p>
        </w:tc>
        <w:tc>
          <w:tcPr>
            <w:tcW w:w="940" w:type="dxa"/>
            <w:vAlign w:val="bottom"/>
            <w:tcBorders>
              <w:bottom w:val="single" w:sz="8" w:color="D8D7D7"/>
            </w:tcBorders>
          </w:tcPr>
          <w:p>
            <w:pPr>
              <w:jc w:val="center"/>
              <w:ind w:left="43"/>
              <w:spacing w:after="0"/>
              <w:rPr>
                <w:sz w:val="20"/>
                <w:szCs w:val="20"/>
                <w:color w:val="auto"/>
              </w:rPr>
            </w:pPr>
            <w:r>
              <w:rPr>
                <w:rFonts w:ascii="Arial" w:cs="Arial" w:eastAsia="Arial" w:hAnsi="Arial"/>
                <w:sz w:val="16"/>
                <w:szCs w:val="16"/>
                <w:color w:val="auto"/>
              </w:rPr>
              <w:t>100,000</w:t>
            </w:r>
          </w:p>
        </w:tc>
      </w:tr>
      <w:tr>
        <w:trPr>
          <w:trHeight w:val="250"/>
        </w:trPr>
        <w:tc>
          <w:tcPr>
            <w:tcW w:w="618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Audit Committee Chair Fee</w:t>
            </w:r>
          </w:p>
        </w:tc>
        <w:tc>
          <w:tcPr>
            <w:tcW w:w="1960" w:type="dxa"/>
            <w:vAlign w:val="bottom"/>
            <w:tcBorders>
              <w:bottom w:val="single" w:sz="8" w:color="D8D7D7"/>
            </w:tcBorders>
          </w:tcPr>
          <w:p>
            <w:pPr>
              <w:jc w:val="right"/>
              <w:ind w:right="183"/>
              <w:spacing w:after="0"/>
              <w:rPr>
                <w:sz w:val="20"/>
                <w:szCs w:val="20"/>
                <w:color w:val="auto"/>
              </w:rPr>
            </w:pPr>
            <w:r>
              <w:rPr>
                <w:rFonts w:ascii="Arial" w:cs="Arial" w:eastAsia="Arial" w:hAnsi="Arial"/>
                <w:sz w:val="16"/>
                <w:szCs w:val="16"/>
                <w:color w:val="auto"/>
              </w:rPr>
              <w:t>35,000</w:t>
            </w:r>
          </w:p>
        </w:tc>
        <w:tc>
          <w:tcPr>
            <w:tcW w:w="940" w:type="dxa"/>
            <w:vAlign w:val="bottom"/>
            <w:tcBorders>
              <w:bottom w:val="single" w:sz="8" w:color="D8D7D7"/>
            </w:tcBorders>
          </w:tcPr>
          <w:p>
            <w:pPr>
              <w:jc w:val="center"/>
              <w:ind w:left="83"/>
              <w:spacing w:after="0"/>
              <w:rPr>
                <w:sz w:val="20"/>
                <w:szCs w:val="20"/>
                <w:color w:val="auto"/>
              </w:rPr>
            </w:pPr>
            <w:r>
              <w:rPr>
                <w:rFonts w:ascii="Arial" w:cs="Arial" w:eastAsia="Arial" w:hAnsi="Arial"/>
                <w:sz w:val="16"/>
                <w:szCs w:val="16"/>
                <w:color w:val="auto"/>
              </w:rPr>
              <w:t>40,000</w:t>
            </w:r>
          </w:p>
        </w:tc>
      </w:tr>
      <w:tr>
        <w:trPr>
          <w:trHeight w:val="250"/>
        </w:trPr>
        <w:tc>
          <w:tcPr>
            <w:tcW w:w="6180" w:type="dxa"/>
            <w:vAlign w:val="bottom"/>
            <w:tcBorders>
              <w:bottom w:val="single" w:sz="8" w:color="0956FF"/>
            </w:tcBorders>
          </w:tcPr>
          <w:p>
            <w:pPr>
              <w:ind w:left="60"/>
              <w:spacing w:after="0"/>
              <w:rPr>
                <w:sz w:val="20"/>
                <w:szCs w:val="20"/>
                <w:color w:val="auto"/>
              </w:rPr>
            </w:pPr>
            <w:r>
              <w:rPr>
                <w:rFonts w:ascii="Arial" w:cs="Arial" w:eastAsia="Arial" w:hAnsi="Arial"/>
                <w:sz w:val="16"/>
                <w:szCs w:val="16"/>
                <w:color w:val="auto"/>
              </w:rPr>
              <w:t>All Other Committee Chair Fees (Excluding the Executive Committee)</w:t>
            </w:r>
          </w:p>
        </w:tc>
        <w:tc>
          <w:tcPr>
            <w:tcW w:w="1960" w:type="dxa"/>
            <w:vAlign w:val="bottom"/>
            <w:tcBorders>
              <w:bottom w:val="single" w:sz="8" w:color="0956FF"/>
            </w:tcBorders>
          </w:tcPr>
          <w:p>
            <w:pPr>
              <w:jc w:val="right"/>
              <w:ind w:right="183"/>
              <w:spacing w:after="0"/>
              <w:rPr>
                <w:sz w:val="20"/>
                <w:szCs w:val="20"/>
                <w:color w:val="auto"/>
              </w:rPr>
            </w:pPr>
            <w:r>
              <w:rPr>
                <w:rFonts w:ascii="Arial" w:cs="Arial" w:eastAsia="Arial" w:hAnsi="Arial"/>
                <w:sz w:val="16"/>
                <w:szCs w:val="16"/>
                <w:color w:val="auto"/>
              </w:rPr>
              <w:t>25,000</w:t>
            </w:r>
          </w:p>
        </w:tc>
        <w:tc>
          <w:tcPr>
            <w:tcW w:w="940" w:type="dxa"/>
            <w:vAlign w:val="bottom"/>
            <w:tcBorders>
              <w:bottom w:val="single" w:sz="8" w:color="0956FF"/>
            </w:tcBorders>
          </w:tcPr>
          <w:p>
            <w:pPr>
              <w:jc w:val="center"/>
              <w:ind w:left="123"/>
              <w:spacing w:after="0"/>
              <w:rPr>
                <w:sz w:val="20"/>
                <w:szCs w:val="20"/>
                <w:color w:val="auto"/>
              </w:rPr>
            </w:pPr>
            <w:r>
              <w:rPr>
                <w:rFonts w:ascii="Arial" w:cs="Arial" w:eastAsia="Arial" w:hAnsi="Arial"/>
                <w:sz w:val="16"/>
                <w:szCs w:val="16"/>
                <w:color w:val="auto"/>
              </w:rPr>
              <w:t>30,000</w:t>
            </w:r>
          </w:p>
        </w:tc>
      </w:tr>
    </w:tbl>
    <w:p>
      <w:pPr>
        <w:spacing w:after="0" w:line="200" w:lineRule="exact"/>
        <w:rPr>
          <w:sz w:val="20"/>
          <w:szCs w:val="20"/>
          <w:color w:val="auto"/>
        </w:rPr>
      </w:pPr>
    </w:p>
    <w:p>
      <w:pPr>
        <w:sectPr>
          <w:pgSz w:w="11900" w:h="16838" w:orient="portrait"/>
          <w:cols w:equalWidth="0" w:num="1">
            <w:col w:w="9080"/>
          </w:cols>
          <w:pgMar w:left="1400" w:top="133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02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31</w:t>
      </w:r>
    </w:p>
    <w:p>
      <w:pPr>
        <w:sectPr>
          <w:pgSz w:w="11900" w:h="16838" w:orient="portrait"/>
          <w:cols w:equalWidth="0" w:num="1">
            <w:col w:w="9080"/>
          </w:cols>
          <w:pgMar w:left="1400" w:top="1339" w:right="14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Non-Employee Director Compensation</w:t>
      </w:r>
    </w:p>
    <w:p>
      <w:pPr>
        <w:spacing w:after="0" w:line="200" w:lineRule="exact"/>
        <w:rPr>
          <w:sz w:val="20"/>
          <w:szCs w:val="20"/>
          <w:color w:val="auto"/>
        </w:rPr>
      </w:pPr>
    </w:p>
    <w:p>
      <w:pPr>
        <w:spacing w:after="0" w:line="377" w:lineRule="exact"/>
        <w:rPr>
          <w:sz w:val="20"/>
          <w:szCs w:val="20"/>
          <w:color w:val="auto"/>
        </w:rPr>
      </w:pPr>
    </w:p>
    <w:p>
      <w:pPr>
        <w:ind w:right="219"/>
        <w:spacing w:after="0" w:line="295" w:lineRule="auto"/>
        <w:rPr>
          <w:sz w:val="20"/>
          <w:szCs w:val="20"/>
          <w:color w:val="auto"/>
        </w:rPr>
      </w:pPr>
      <w:r>
        <w:rPr>
          <w:rFonts w:ascii="Arial" w:cs="Arial" w:eastAsia="Arial" w:hAnsi="Arial"/>
          <w:sz w:val="16"/>
          <w:szCs w:val="16"/>
          <w:color w:val="auto"/>
        </w:rPr>
        <w:t>Non-employee directors are required to defer at least 60 percent of their annual Board retainer into DSUs under the Director Compensation Plan. Directors may elect to defer their remaining Board retainer or amounts payable (if any) for serving as a committee chair or Independent Lead Director into additional DSUs. The fees for a director who joins or leaves the Board or assumes additional responsibilities during the year are prorated for the director’s period of service.</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How Deferred Share Units Work</w:t>
      </w:r>
    </w:p>
    <w:p>
      <w:pPr>
        <w:spacing w:after="0" w:line="119" w:lineRule="exact"/>
        <w:rPr>
          <w:sz w:val="20"/>
          <w:szCs w:val="20"/>
          <w:color w:val="auto"/>
        </w:rPr>
      </w:pPr>
    </w:p>
    <w:p>
      <w:pPr>
        <w:ind w:right="79"/>
        <w:spacing w:after="0" w:line="288" w:lineRule="auto"/>
        <w:rPr>
          <w:sz w:val="20"/>
          <w:szCs w:val="20"/>
          <w:color w:val="auto"/>
        </w:rPr>
      </w:pPr>
      <w:r>
        <w:rPr>
          <w:rFonts w:ascii="Arial" w:cs="Arial" w:eastAsia="Arial" w:hAnsi="Arial"/>
          <w:sz w:val="16"/>
          <w:szCs w:val="16"/>
          <w:color w:val="auto"/>
        </w:rPr>
        <w:t>Each DSU is equal in value to one share of GM common stock and is fully vested upon grant but does not have voting rights. DSUs will not be available for disposition until after the director leaves the Board. Any portion of the retainer that is deferred into DSUs may also earn dividend equivalents, which are credited at the end of each calendar year to each director’s account in the form of additional DSUs. All DSUs granted are rounded up to the nearest whole unit. After leaving the Board, the director will receive a cash payment or payments based on the number of DSUs in the director’s account valued at the average daily closing market price for the quarter immediately preceding payment. Directors will be paid in a lump sum or in annual installments for up to five years, based on their deferral elections.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DSUs granted are determined as follows:</w:t>
      </w:r>
    </w:p>
    <w:p>
      <w:pPr>
        <w:spacing w:after="0" w:line="384" w:lineRule="exact"/>
        <w:rPr>
          <w:sz w:val="20"/>
          <w:szCs w:val="20"/>
          <w:color w:val="auto"/>
        </w:rPr>
      </w:pPr>
    </w:p>
    <w:tbl>
      <w:tblPr>
        <w:tblLayout w:type="fixed"/>
        <w:tblInd w:w="260" w:type="dxa"/>
        <w:tblCellMar>
          <w:top w:w="0" w:type="dxa"/>
          <w:left w:w="0" w:type="dxa"/>
          <w:bottom w:w="0" w:type="dxa"/>
          <w:right w:w="0" w:type="dxa"/>
        </w:tblCellMar>
      </w:tblPr>
      <w:tr>
        <w:trPr>
          <w:trHeight w:val="268"/>
        </w:trPr>
        <w:tc>
          <w:tcPr>
            <w:tcW w:w="1540" w:type="dxa"/>
            <w:vAlign w:val="bottom"/>
          </w:tcPr>
          <w:p>
            <w:pPr>
              <w:jc w:val="center"/>
              <w:ind w:right="79"/>
              <w:spacing w:after="0"/>
              <w:rPr>
                <w:sz w:val="20"/>
                <w:szCs w:val="20"/>
                <w:color w:val="auto"/>
              </w:rPr>
            </w:pPr>
            <w:r>
              <w:rPr>
                <w:rFonts w:ascii="Arial" w:cs="Arial" w:eastAsia="Arial" w:hAnsi="Arial"/>
                <w:sz w:val="16"/>
                <w:szCs w:val="16"/>
                <w:color w:val="auto"/>
              </w:rPr>
              <w:t>Amount of</w:t>
            </w:r>
          </w:p>
        </w:tc>
        <w:tc>
          <w:tcPr>
            <w:tcW w:w="6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0" w:type="dxa"/>
            <w:vAlign w:val="bottom"/>
            <w:tcBorders>
              <w:right w:val="single" w:sz="8" w:color="D8D7D7"/>
            </w:tcBorders>
          </w:tcPr>
          <w:p>
            <w:pPr>
              <w:spacing w:after="0"/>
              <w:rPr>
                <w:sz w:val="23"/>
                <w:szCs w:val="23"/>
                <w:color w:val="auto"/>
              </w:rPr>
            </w:pPr>
          </w:p>
        </w:tc>
        <w:tc>
          <w:tcPr>
            <w:tcW w:w="66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Average daily</w:t>
            </w:r>
          </w:p>
        </w:tc>
        <w:tc>
          <w:tcPr>
            <w:tcW w:w="720" w:type="dxa"/>
            <w:vAlign w:val="bottom"/>
          </w:tcPr>
          <w:p>
            <w:pPr>
              <w:spacing w:after="0"/>
              <w:rPr>
                <w:sz w:val="23"/>
                <w:szCs w:val="23"/>
                <w:color w:val="auto"/>
              </w:rPr>
            </w:pPr>
          </w:p>
        </w:tc>
        <w:tc>
          <w:tcPr>
            <w:tcW w:w="1660" w:type="dxa"/>
            <w:vAlign w:val="bottom"/>
            <w:shd w:val="clear" w:color="auto" w:fill="0956FF"/>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540" w:type="dxa"/>
            <w:vAlign w:val="bottom"/>
          </w:tcPr>
          <w:p>
            <w:pPr>
              <w:jc w:val="center"/>
              <w:ind w:right="79"/>
              <w:spacing w:after="0"/>
              <w:rPr>
                <w:sz w:val="20"/>
                <w:szCs w:val="20"/>
                <w:color w:val="auto"/>
              </w:rPr>
            </w:pPr>
            <w:r>
              <w:rPr>
                <w:rFonts w:ascii="Arial" w:cs="Arial" w:eastAsia="Arial" w:hAnsi="Arial"/>
                <w:sz w:val="16"/>
                <w:szCs w:val="16"/>
                <w:color w:val="auto"/>
              </w:rPr>
              <w:t>compensation</w:t>
            </w:r>
          </w:p>
        </w:tc>
        <w:tc>
          <w:tcPr>
            <w:tcW w:w="620" w:type="dxa"/>
            <w:vAlign w:val="bottom"/>
            <w:vMerge w:val="restart"/>
          </w:tcPr>
          <w:p>
            <w:pPr>
              <w:jc w:val="right"/>
              <w:spacing w:after="0"/>
              <w:rPr>
                <w:sz w:val="20"/>
                <w:szCs w:val="20"/>
                <w:color w:val="auto"/>
              </w:rPr>
            </w:pPr>
            <w:r>
              <w:rPr>
                <w:rFonts w:ascii="Arial" w:cs="Arial" w:eastAsia="Arial" w:hAnsi="Arial"/>
                <w:sz w:val="58"/>
                <w:szCs w:val="58"/>
                <w:color w:val="0956FF"/>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Amount of dividend</w:t>
            </w:r>
          </w:p>
        </w:tc>
        <w:tc>
          <w:tcPr>
            <w:tcW w:w="200" w:type="dxa"/>
            <w:vAlign w:val="bottom"/>
            <w:tcBorders>
              <w:right w:val="single" w:sz="8" w:color="D8D7D7"/>
            </w:tcBorders>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58"/>
                <w:szCs w:val="58"/>
                <w:color w:val="0956FF"/>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closing market</w:t>
            </w:r>
          </w:p>
        </w:tc>
        <w:tc>
          <w:tcPr>
            <w:tcW w:w="720" w:type="dxa"/>
            <w:vAlign w:val="bottom"/>
            <w:vMerge w:val="restart"/>
          </w:tcPr>
          <w:p>
            <w:pPr>
              <w:jc w:val="right"/>
              <w:spacing w:after="0"/>
              <w:rPr>
                <w:sz w:val="20"/>
                <w:szCs w:val="20"/>
                <w:color w:val="auto"/>
              </w:rPr>
            </w:pPr>
            <w:r>
              <w:rPr>
                <w:rFonts w:ascii="Arial" w:cs="Arial" w:eastAsia="Arial" w:hAnsi="Arial"/>
                <w:sz w:val="58"/>
                <w:szCs w:val="58"/>
                <w:color w:val="0956FF"/>
              </w:rPr>
              <w:t>=</w:t>
            </w:r>
          </w:p>
        </w:tc>
        <w:tc>
          <w:tcPr>
            <w:tcW w:w="1660" w:type="dxa"/>
            <w:vAlign w:val="bottom"/>
            <w:vMerge w:val="restart"/>
            <w:shd w:val="clear" w:color="auto" w:fill="0956FF"/>
          </w:tcPr>
          <w:p>
            <w:pPr>
              <w:ind w:left="520"/>
              <w:spacing w:after="0"/>
              <w:rPr>
                <w:sz w:val="20"/>
                <w:szCs w:val="20"/>
                <w:color w:val="auto"/>
              </w:rPr>
            </w:pPr>
            <w:r>
              <w:rPr>
                <w:rFonts w:ascii="Arial" w:cs="Arial" w:eastAsia="Arial" w:hAnsi="Arial"/>
                <w:sz w:val="25"/>
                <w:szCs w:val="25"/>
                <w:color w:val="FFFFFF"/>
              </w:rPr>
              <w:t>DSUs</w:t>
            </w:r>
          </w:p>
        </w:tc>
        <w:tc>
          <w:tcPr>
            <w:tcW w:w="0" w:type="dxa"/>
            <w:vAlign w:val="bottom"/>
          </w:tcPr>
          <w:p>
            <w:pPr>
              <w:spacing w:after="0"/>
              <w:rPr>
                <w:sz w:val="1"/>
                <w:szCs w:val="1"/>
                <w:color w:val="auto"/>
              </w:rPr>
            </w:pPr>
          </w:p>
        </w:tc>
      </w:tr>
      <w:tr>
        <w:trPr>
          <w:trHeight w:val="216"/>
        </w:trPr>
        <w:tc>
          <w:tcPr>
            <w:tcW w:w="1540" w:type="dxa"/>
            <w:vAlign w:val="bottom"/>
          </w:tcPr>
          <w:p>
            <w:pPr>
              <w:jc w:val="center"/>
              <w:ind w:right="99"/>
              <w:spacing w:after="0"/>
              <w:rPr>
                <w:sz w:val="20"/>
                <w:szCs w:val="20"/>
                <w:color w:val="auto"/>
              </w:rPr>
            </w:pPr>
            <w:r>
              <w:rPr>
                <w:rFonts w:ascii="Arial" w:cs="Arial" w:eastAsia="Arial" w:hAnsi="Arial"/>
                <w:sz w:val="16"/>
                <w:szCs w:val="16"/>
                <w:color w:val="auto"/>
              </w:rPr>
              <w:t>required or elected</w:t>
            </w:r>
          </w:p>
        </w:tc>
        <w:tc>
          <w:tcPr>
            <w:tcW w:w="620" w:type="dxa"/>
            <w:vAlign w:val="bottom"/>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equivalents earned</w:t>
            </w:r>
          </w:p>
        </w:tc>
        <w:tc>
          <w:tcPr>
            <w:tcW w:w="200" w:type="dxa"/>
            <w:vAlign w:val="bottom"/>
            <w:tcBorders>
              <w:right w:val="single" w:sz="8" w:color="D8D7D7"/>
            </w:tcBorders>
          </w:tcPr>
          <w:p>
            <w:pPr>
              <w:spacing w:after="0"/>
              <w:rPr>
                <w:sz w:val="18"/>
                <w:szCs w:val="18"/>
                <w:color w:val="auto"/>
              </w:rPr>
            </w:pPr>
          </w:p>
        </w:tc>
        <w:tc>
          <w:tcPr>
            <w:tcW w:w="660" w:type="dxa"/>
            <w:vAlign w:val="bottom"/>
            <w:vMerge w:val="continue"/>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price of our</w:t>
            </w:r>
          </w:p>
        </w:tc>
        <w:tc>
          <w:tcPr>
            <w:tcW w:w="720" w:type="dxa"/>
            <w:vAlign w:val="bottom"/>
            <w:vMerge w:val="continue"/>
          </w:tcPr>
          <w:p>
            <w:pPr>
              <w:spacing w:after="0"/>
              <w:rPr>
                <w:sz w:val="18"/>
                <w:szCs w:val="18"/>
                <w:color w:val="auto"/>
              </w:rPr>
            </w:pPr>
          </w:p>
        </w:tc>
        <w:tc>
          <w:tcPr>
            <w:tcW w:w="1660" w:type="dxa"/>
            <w:vAlign w:val="bottom"/>
            <w:vMerge w:val="continue"/>
            <w:shd w:val="clear" w:color="auto" w:fill="0956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tcPr>
          <w:p>
            <w:pPr>
              <w:jc w:val="center"/>
              <w:ind w:right="59"/>
              <w:spacing w:after="0"/>
              <w:rPr>
                <w:sz w:val="20"/>
                <w:szCs w:val="20"/>
                <w:color w:val="auto"/>
              </w:rPr>
            </w:pPr>
            <w:r>
              <w:rPr>
                <w:rFonts w:ascii="Arial" w:cs="Arial" w:eastAsia="Arial" w:hAnsi="Arial"/>
                <w:sz w:val="16"/>
                <w:szCs w:val="16"/>
                <w:color w:val="auto"/>
              </w:rPr>
              <w:t>to be deferred each</w:t>
            </w:r>
          </w:p>
        </w:tc>
        <w:tc>
          <w:tcPr>
            <w:tcW w:w="620" w:type="dxa"/>
            <w:vAlign w:val="bottom"/>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on DSUs during the</w:t>
            </w:r>
          </w:p>
        </w:tc>
        <w:tc>
          <w:tcPr>
            <w:tcW w:w="200" w:type="dxa"/>
            <w:vAlign w:val="bottom"/>
            <w:tcBorders>
              <w:right w:val="single" w:sz="8" w:color="D8D7D7"/>
            </w:tcBorders>
          </w:tcPr>
          <w:p>
            <w:pPr>
              <w:spacing w:after="0"/>
              <w:rPr>
                <w:sz w:val="18"/>
                <w:szCs w:val="18"/>
                <w:color w:val="auto"/>
              </w:rPr>
            </w:pPr>
          </w:p>
        </w:tc>
        <w:tc>
          <w:tcPr>
            <w:tcW w:w="660" w:type="dxa"/>
            <w:vAlign w:val="bottom"/>
            <w:vMerge w:val="continue"/>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common stock for</w:t>
            </w:r>
          </w:p>
        </w:tc>
        <w:tc>
          <w:tcPr>
            <w:tcW w:w="720" w:type="dxa"/>
            <w:vAlign w:val="bottom"/>
            <w:vMerge w:val="continue"/>
          </w:tcPr>
          <w:p>
            <w:pPr>
              <w:spacing w:after="0"/>
              <w:rPr>
                <w:sz w:val="18"/>
                <w:szCs w:val="18"/>
                <w:color w:val="auto"/>
              </w:rPr>
            </w:pPr>
          </w:p>
        </w:tc>
        <w:tc>
          <w:tcPr>
            <w:tcW w:w="1660" w:type="dxa"/>
            <w:vAlign w:val="bottom"/>
            <w:vMerge w:val="restart"/>
            <w:shd w:val="clear" w:color="auto" w:fill="0956FF"/>
          </w:tcPr>
          <w:p>
            <w:pPr>
              <w:ind w:left="360"/>
              <w:spacing w:after="0"/>
              <w:rPr>
                <w:sz w:val="20"/>
                <w:szCs w:val="20"/>
                <w:color w:val="auto"/>
              </w:rPr>
            </w:pPr>
            <w:r>
              <w:rPr>
                <w:rFonts w:ascii="Arial" w:cs="Arial" w:eastAsia="Arial" w:hAnsi="Arial"/>
                <w:sz w:val="25"/>
                <w:szCs w:val="25"/>
                <w:color w:val="FFFFFF"/>
              </w:rPr>
              <w:t>Granted</w:t>
            </w:r>
          </w:p>
        </w:tc>
        <w:tc>
          <w:tcPr>
            <w:tcW w:w="0" w:type="dxa"/>
            <w:vAlign w:val="bottom"/>
          </w:tcPr>
          <w:p>
            <w:pPr>
              <w:spacing w:after="0"/>
              <w:rPr>
                <w:sz w:val="1"/>
                <w:szCs w:val="1"/>
                <w:color w:val="auto"/>
              </w:rPr>
            </w:pPr>
          </w:p>
        </w:tc>
      </w:tr>
      <w:tr>
        <w:trPr>
          <w:trHeight w:val="216"/>
        </w:trPr>
        <w:tc>
          <w:tcPr>
            <w:tcW w:w="1540" w:type="dxa"/>
            <w:vAlign w:val="bottom"/>
          </w:tcPr>
          <w:p>
            <w:pPr>
              <w:jc w:val="center"/>
              <w:ind w:right="79"/>
              <w:spacing w:after="0"/>
              <w:rPr>
                <w:sz w:val="20"/>
                <w:szCs w:val="20"/>
                <w:color w:val="auto"/>
              </w:rPr>
            </w:pPr>
            <w:r>
              <w:rPr>
                <w:rFonts w:ascii="Arial" w:cs="Arial" w:eastAsia="Arial" w:hAnsi="Arial"/>
                <w:sz w:val="16"/>
                <w:szCs w:val="16"/>
                <w:color w:val="auto"/>
              </w:rPr>
              <w:t>calendar year into</w:t>
            </w:r>
          </w:p>
        </w:tc>
        <w:tc>
          <w:tcPr>
            <w:tcW w:w="620" w:type="dxa"/>
            <w:vAlign w:val="bottom"/>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calendar year</w:t>
            </w:r>
          </w:p>
        </w:tc>
        <w:tc>
          <w:tcPr>
            <w:tcW w:w="200" w:type="dxa"/>
            <w:vAlign w:val="bottom"/>
            <w:tcBorders>
              <w:right w:val="single" w:sz="8" w:color="D8D7D7"/>
            </w:tcBorders>
          </w:tcPr>
          <w:p>
            <w:pPr>
              <w:spacing w:after="0"/>
              <w:rPr>
                <w:sz w:val="18"/>
                <w:szCs w:val="18"/>
                <w:color w:val="auto"/>
              </w:rPr>
            </w:pPr>
          </w:p>
        </w:tc>
        <w:tc>
          <w:tcPr>
            <w:tcW w:w="660" w:type="dxa"/>
            <w:vAlign w:val="bottom"/>
            <w:vMerge w:val="continue"/>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the applicable</w:t>
            </w:r>
          </w:p>
        </w:tc>
        <w:tc>
          <w:tcPr>
            <w:tcW w:w="720" w:type="dxa"/>
            <w:vAlign w:val="bottom"/>
            <w:vMerge w:val="continue"/>
          </w:tcPr>
          <w:p>
            <w:pPr>
              <w:spacing w:after="0"/>
              <w:rPr>
                <w:sz w:val="18"/>
                <w:szCs w:val="18"/>
                <w:color w:val="auto"/>
              </w:rPr>
            </w:pPr>
          </w:p>
        </w:tc>
        <w:tc>
          <w:tcPr>
            <w:tcW w:w="1660" w:type="dxa"/>
            <w:vAlign w:val="bottom"/>
            <w:vMerge w:val="continue"/>
            <w:shd w:val="clear" w:color="auto" w:fill="0956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540" w:type="dxa"/>
            <w:vAlign w:val="bottom"/>
          </w:tcPr>
          <w:p>
            <w:pPr>
              <w:ind w:left="500"/>
              <w:spacing w:after="0"/>
              <w:rPr>
                <w:sz w:val="20"/>
                <w:szCs w:val="20"/>
                <w:color w:val="auto"/>
              </w:rPr>
            </w:pPr>
            <w:r>
              <w:rPr>
                <w:rFonts w:ascii="Arial" w:cs="Arial" w:eastAsia="Arial" w:hAnsi="Arial"/>
                <w:sz w:val="16"/>
                <w:szCs w:val="16"/>
                <w:color w:val="auto"/>
              </w:rPr>
              <w:t>DSUs</w:t>
            </w: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Borders>
              <w:right w:val="single" w:sz="8" w:color="D8D7D7"/>
            </w:tcBorders>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calendar year</w:t>
            </w:r>
          </w:p>
        </w:tc>
        <w:tc>
          <w:tcPr>
            <w:tcW w:w="720" w:type="dxa"/>
            <w:vAlign w:val="bottom"/>
          </w:tcPr>
          <w:p>
            <w:pPr>
              <w:spacing w:after="0"/>
              <w:rPr>
                <w:sz w:val="18"/>
                <w:szCs w:val="18"/>
                <w:color w:val="auto"/>
              </w:rPr>
            </w:pPr>
          </w:p>
        </w:tc>
        <w:tc>
          <w:tcPr>
            <w:tcW w:w="1660" w:type="dxa"/>
            <w:vAlign w:val="bottom"/>
            <w:shd w:val="clear" w:color="auto" w:fill="0956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Borders>
              <w:bottom w:val="single" w:sz="8" w:color="D9D9D6"/>
              <w:right w:val="single" w:sz="8" w:color="D9D9D6"/>
            </w:tcBorders>
          </w:tcPr>
          <w:p>
            <w:pPr>
              <w:spacing w:after="0"/>
              <w:rPr>
                <w:sz w:val="9"/>
                <w:szCs w:val="9"/>
                <w:color w:val="auto"/>
              </w:rPr>
            </w:pPr>
          </w:p>
        </w:tc>
        <w:tc>
          <w:tcPr>
            <w:tcW w:w="6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Stock Ownership and Holding Requirements</w:t>
      </w:r>
    </w:p>
    <w:p>
      <w:pPr>
        <w:spacing w:after="0" w:line="200" w:lineRule="exact"/>
        <w:rPr>
          <w:sz w:val="20"/>
          <w:szCs w:val="20"/>
          <w:color w:val="auto"/>
        </w:rPr>
      </w:pPr>
    </w:p>
    <w:p>
      <w:pPr>
        <w:spacing w:after="0" w:line="310" w:lineRule="exact"/>
        <w:rPr>
          <w:sz w:val="20"/>
          <w:szCs w:val="20"/>
          <w:color w:val="auto"/>
        </w:rPr>
      </w:pPr>
    </w:p>
    <w:p>
      <w:pPr>
        <w:ind w:left="540" w:right="959" w:hanging="201"/>
        <w:spacing w:after="0" w:line="301" w:lineRule="auto"/>
        <w:tabs>
          <w:tab w:leader="none" w:pos="540" w:val="left"/>
        </w:tabs>
        <w:numPr>
          <w:ilvl w:val="0"/>
          <w:numId w:val="54"/>
        </w:numPr>
        <w:rPr>
          <w:rFonts w:ascii="Arial" w:cs="Arial" w:eastAsia="Arial" w:hAnsi="Arial"/>
          <w:sz w:val="16"/>
          <w:szCs w:val="16"/>
          <w:color w:val="0956FF"/>
        </w:rPr>
      </w:pPr>
      <w:r>
        <w:rPr>
          <w:rFonts w:ascii="Arial" w:cs="Arial" w:eastAsia="Arial" w:hAnsi="Arial"/>
          <w:sz w:val="16"/>
          <w:szCs w:val="16"/>
          <w:color w:val="auto"/>
        </w:rPr>
        <w:t>Each non-employee director is required to own our common stock or DSUs with a market value of at least $650,000 and has up to five years from the date they are first elected to the Board to meet this ownership requirement.</w:t>
      </w:r>
    </w:p>
    <w:p>
      <w:pPr>
        <w:spacing w:after="0" w:line="9" w:lineRule="exact"/>
        <w:rPr>
          <w:rFonts w:ascii="Arial" w:cs="Arial" w:eastAsia="Arial" w:hAnsi="Arial"/>
          <w:sz w:val="16"/>
          <w:szCs w:val="16"/>
          <w:color w:val="0956FF"/>
        </w:rPr>
      </w:pPr>
    </w:p>
    <w:p>
      <w:pPr>
        <w:ind w:left="540" w:right="679" w:hanging="201"/>
        <w:spacing w:after="0" w:line="316" w:lineRule="auto"/>
        <w:tabs>
          <w:tab w:leader="none" w:pos="540" w:val="left"/>
        </w:tabs>
        <w:numPr>
          <w:ilvl w:val="0"/>
          <w:numId w:val="54"/>
        </w:numPr>
        <w:rPr>
          <w:rFonts w:ascii="Arial" w:cs="Arial" w:eastAsia="Arial" w:hAnsi="Arial"/>
          <w:sz w:val="16"/>
          <w:szCs w:val="16"/>
          <w:color w:val="0956FF"/>
        </w:rPr>
      </w:pPr>
      <w:r>
        <w:rPr>
          <w:rFonts w:ascii="Arial" w:cs="Arial" w:eastAsia="Arial" w:hAnsi="Arial"/>
          <w:sz w:val="16"/>
          <w:szCs w:val="16"/>
          <w:color w:val="auto"/>
        </w:rPr>
        <w:t>Non-employee directors are prohibited from selling any GM securities or derivatives of GM securities, such as DSUs, while they are members of the Board.</w:t>
      </w:r>
    </w:p>
    <w:p>
      <w:pPr>
        <w:spacing w:after="0" w:line="1" w:lineRule="exact"/>
        <w:rPr>
          <w:rFonts w:ascii="Arial" w:cs="Arial" w:eastAsia="Arial" w:hAnsi="Arial"/>
          <w:sz w:val="16"/>
          <w:szCs w:val="16"/>
          <w:color w:val="0956FF"/>
        </w:rPr>
      </w:pPr>
    </w:p>
    <w:p>
      <w:pPr>
        <w:ind w:left="540" w:right="559" w:hanging="201"/>
        <w:spacing w:after="0" w:line="304" w:lineRule="auto"/>
        <w:tabs>
          <w:tab w:leader="none" w:pos="540" w:val="left"/>
        </w:tabs>
        <w:numPr>
          <w:ilvl w:val="0"/>
          <w:numId w:val="54"/>
        </w:numPr>
        <w:rPr>
          <w:rFonts w:ascii="Arial" w:cs="Arial" w:eastAsia="Arial" w:hAnsi="Arial"/>
          <w:sz w:val="16"/>
          <w:szCs w:val="16"/>
          <w:color w:val="0956FF"/>
        </w:rPr>
      </w:pPr>
      <w:r>
        <w:rPr>
          <w:rFonts w:ascii="Arial" w:cs="Arial" w:eastAsia="Arial" w:hAnsi="Arial"/>
          <w:sz w:val="16"/>
          <w:szCs w:val="16"/>
          <w:color w:val="auto"/>
        </w:rPr>
        <w:t>Ownership guidelines are reviewed each year to confirm they continue to be effective in aligning the interests of the Board and our shareholders.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of our non-employee directors are in compliance with our stock retention requirements.</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9059"/>
          </w:cols>
          <w:pgMar w:left="1400" w:top="657" w:right="1440" w:bottom="1440" w:gutter="0" w:footer="0" w:header="0"/>
          <w:type w:val="continuous"/>
        </w:sectPr>
      </w:pPr>
    </w:p>
    <w:bookmarkStart w:id="39" w:name="page40"/>
    <w:bookmarkEnd w:id="39"/>
    <w:p>
      <w:pPr>
        <w:ind w:left="6480"/>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Non-Employee Director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Other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provide certain additional benefits to non-employee directors.</w:t>
      </w:r>
    </w:p>
    <w:p>
      <w:pPr>
        <w:spacing w:after="0" w:line="280" w:lineRule="exact"/>
        <w:rPr>
          <w:sz w:val="20"/>
          <w:szCs w:val="20"/>
          <w:color w:val="auto"/>
        </w:rPr>
      </w:pPr>
    </w:p>
    <w:p>
      <w:pPr>
        <w:ind w:left="60"/>
        <w:spacing w:after="0"/>
        <w:tabs>
          <w:tab w:leader="none" w:pos="1740" w:val="left"/>
        </w:tabs>
        <w:rPr>
          <w:sz w:val="20"/>
          <w:szCs w:val="20"/>
          <w:color w:val="auto"/>
        </w:rPr>
      </w:pPr>
      <w:r>
        <w:rPr>
          <w:rFonts w:ascii="Arial" w:cs="Arial" w:eastAsia="Arial" w:hAnsi="Arial"/>
          <w:sz w:val="14"/>
          <w:szCs w:val="14"/>
          <w:b w:val="1"/>
          <w:bCs w:val="1"/>
          <w:color w:val="auto"/>
        </w:rPr>
        <w:t>Type</w:t>
      </w:r>
      <w:r>
        <w:rPr>
          <w:sz w:val="20"/>
          <w:szCs w:val="20"/>
          <w:color w:val="auto"/>
        </w:rPr>
        <w:tab/>
      </w:r>
      <w:r>
        <w:rPr>
          <w:rFonts w:ascii="Arial" w:cs="Arial" w:eastAsia="Arial" w:hAnsi="Arial"/>
          <w:sz w:val="14"/>
          <w:szCs w:val="14"/>
          <w:b w:val="1"/>
          <w:bCs w:val="1"/>
          <w:color w:val="auto"/>
        </w:rPr>
        <w:t>Purpose</w:t>
      </w:r>
    </w:p>
    <w:p>
      <w:pPr>
        <w:spacing w:after="0" w:line="64" w:lineRule="exact"/>
        <w:rPr>
          <w:sz w:val="20"/>
          <w:szCs w:val="20"/>
          <w:color w:val="auto"/>
        </w:rPr>
      </w:pPr>
    </w:p>
    <w:p>
      <w:pPr>
        <w:ind w:left="1760" w:right="380" w:hanging="1700"/>
        <w:spacing w:after="0" w:line="291" w:lineRule="auto"/>
        <w:tabs>
          <w:tab w:leader="none" w:pos="1740" w:val="left"/>
        </w:tabs>
        <w:rPr>
          <w:sz w:val="20"/>
          <w:szCs w:val="20"/>
          <w:color w:val="auto"/>
        </w:rPr>
      </w:pPr>
      <w:r>
        <w:rPr>
          <w:rFonts w:ascii="Arial" w:cs="Arial" w:eastAsia="Arial" w:hAnsi="Arial"/>
          <w:sz w:val="16"/>
          <w:szCs w:val="16"/>
          <w:b w:val="1"/>
          <w:bCs w:val="1"/>
          <w:color w:val="auto"/>
        </w:rPr>
        <w:t>Company Vehicles</w:t>
      </w:r>
      <w:r>
        <w:rPr>
          <w:sz w:val="20"/>
          <w:szCs w:val="20"/>
          <w:color w:val="auto"/>
        </w:rPr>
        <w:tab/>
      </w:r>
      <w:r>
        <w:rPr>
          <w:rFonts w:ascii="Arial" w:cs="Arial" w:eastAsia="Arial" w:hAnsi="Arial"/>
          <w:sz w:val="16"/>
          <w:szCs w:val="16"/>
          <w:color w:val="auto"/>
        </w:rPr>
        <w:t>We provide directors with the use of Company vehicles and electric vehicle charging stations (including installation), to provide feedback on our products as well as enhance the public image of our vehicles. Retired directors also receive the use of a Company vehicle for a period of time. Participants are charged with imputed income based on the lease value of the vehicles and are responsible for associated taxes.</w:t>
      </w:r>
    </w:p>
    <w:p>
      <w:pPr>
        <w:spacing w:after="0" w:line="5" w:lineRule="exact"/>
        <w:rPr>
          <w:sz w:val="20"/>
          <w:szCs w:val="20"/>
          <w:color w:val="auto"/>
        </w:rPr>
      </w:pPr>
    </w:p>
    <w:p>
      <w:pPr>
        <w:ind w:left="60"/>
        <w:spacing w:after="0"/>
        <w:tabs>
          <w:tab w:leader="none" w:pos="1740" w:val="left"/>
        </w:tabs>
        <w:rPr>
          <w:sz w:val="20"/>
          <w:szCs w:val="20"/>
          <w:color w:val="auto"/>
        </w:rPr>
      </w:pPr>
      <w:r>
        <w:rPr>
          <w:rFonts w:ascii="Arial" w:cs="Arial" w:eastAsia="Arial" w:hAnsi="Arial"/>
          <w:sz w:val="16"/>
          <w:szCs w:val="16"/>
          <w:b w:val="1"/>
          <w:bCs w:val="1"/>
          <w:color w:val="auto"/>
        </w:rPr>
        <w:t>Personal Accident</w:t>
      </w:r>
      <w:r>
        <w:rPr>
          <w:sz w:val="20"/>
          <w:szCs w:val="20"/>
          <w:color w:val="auto"/>
        </w:rPr>
        <w:tab/>
      </w:r>
      <w:r>
        <w:rPr>
          <w:rFonts w:ascii="Arial" w:cs="Arial" w:eastAsia="Arial" w:hAnsi="Arial"/>
          <w:sz w:val="16"/>
          <w:szCs w:val="16"/>
          <w:color w:val="auto"/>
        </w:rPr>
        <w:t>We provide personal accident insurance coverage in the event of accidental death or</w:t>
      </w:r>
    </w:p>
    <w:p>
      <w:pPr>
        <w:spacing w:after="0" w:line="32" w:lineRule="exact"/>
        <w:rPr>
          <w:sz w:val="20"/>
          <w:szCs w:val="20"/>
          <w:color w:val="auto"/>
        </w:rPr>
      </w:pPr>
    </w:p>
    <w:p>
      <w:pPr>
        <w:ind w:left="1760" w:right="840" w:hanging="1700"/>
        <w:spacing w:after="0" w:line="321" w:lineRule="auto"/>
        <w:tabs>
          <w:tab w:leader="none" w:pos="1740" w:val="left"/>
        </w:tabs>
        <w:rPr>
          <w:sz w:val="20"/>
          <w:szCs w:val="20"/>
          <w:color w:val="auto"/>
        </w:rPr>
      </w:pPr>
      <w:r>
        <w:rPr>
          <w:rFonts w:ascii="Arial" w:cs="Arial" w:eastAsia="Arial" w:hAnsi="Arial"/>
          <w:sz w:val="16"/>
          <w:szCs w:val="16"/>
          <w:b w:val="1"/>
          <w:bCs w:val="1"/>
          <w:color w:val="auto"/>
        </w:rPr>
        <w:t>Insurance</w:t>
      </w:r>
      <w:r>
        <w:rPr>
          <w:rFonts w:ascii="Arial" w:cs="Arial" w:eastAsia="Arial" w:hAnsi="Arial"/>
          <w:sz w:val="21"/>
          <w:szCs w:val="21"/>
          <w:b w:val="1"/>
          <w:bCs w:val="1"/>
          <w:color w:val="auto"/>
          <w:vertAlign w:val="superscript"/>
        </w:rPr>
        <w:t>(1)</w:t>
      </w:r>
      <w:r>
        <w:rPr>
          <w:sz w:val="20"/>
          <w:szCs w:val="20"/>
          <w:color w:val="auto"/>
        </w:rPr>
        <w:tab/>
      </w:r>
      <w:r>
        <w:rPr>
          <w:rFonts w:ascii="Arial" w:cs="Arial" w:eastAsia="Arial" w:hAnsi="Arial"/>
          <w:sz w:val="16"/>
          <w:szCs w:val="16"/>
          <w:color w:val="auto"/>
        </w:rPr>
        <w:t>dismemberment. Directors are responsible for associated taxes on the imputed income from the coverage.</w:t>
      </w:r>
    </w:p>
    <w:p>
      <w:pPr>
        <w:spacing w:after="0" w:line="39" w:lineRule="exact"/>
        <w:rPr>
          <w:sz w:val="20"/>
          <w:szCs w:val="20"/>
          <w:color w:val="auto"/>
        </w:rPr>
      </w:pPr>
    </w:p>
    <w:p>
      <w:pPr>
        <w:ind w:left="200" w:right="400" w:hanging="192"/>
        <w:spacing w:after="0" w:line="239" w:lineRule="auto"/>
        <w:tabs>
          <w:tab w:leader="none" w:pos="200"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Ms. Barra, our sole employee director, does not receive additional compensation for her Board service other than the personal accident insurance benefit described above, the value of which is reported for Ms. Barra in the Summary Compensation Table on page 62.</w:t>
      </w:r>
    </w:p>
    <w:p>
      <w:pPr>
        <w:spacing w:after="0" w:line="144" w:lineRule="exact"/>
        <w:rPr>
          <w:sz w:val="20"/>
          <w:szCs w:val="20"/>
          <w:color w:val="auto"/>
        </w:rPr>
      </w:pPr>
    </w:p>
    <w:p>
      <w:pPr>
        <w:ind w:right="1040"/>
        <w:spacing w:after="0" w:line="321" w:lineRule="auto"/>
        <w:rPr>
          <w:sz w:val="20"/>
          <w:szCs w:val="20"/>
          <w:color w:val="auto"/>
        </w:rPr>
      </w:pPr>
      <w:r>
        <w:rPr>
          <w:rFonts w:ascii="Arial" w:cs="Arial" w:eastAsia="Arial" w:hAnsi="Arial"/>
          <w:sz w:val="16"/>
          <w:szCs w:val="16"/>
          <w:color w:val="auto"/>
        </w:rPr>
        <w:t>Non-employee directors are not eligible to participate in any of the savings or retirement programs available to our employees. Other than as described in this section, there are no separate benefit plans for directors.</w:t>
      </w:r>
    </w:p>
    <w:p>
      <w:pPr>
        <w:spacing w:after="0" w:line="123" w:lineRule="exact"/>
        <w:rPr>
          <w:sz w:val="20"/>
          <w:szCs w:val="20"/>
          <w:color w:val="auto"/>
        </w:rPr>
      </w:pPr>
    </w:p>
    <w:p>
      <w:pPr>
        <w:ind w:right="3800"/>
        <w:spacing w:after="0" w:line="287" w:lineRule="auto"/>
        <w:rPr>
          <w:sz w:val="20"/>
          <w:szCs w:val="20"/>
          <w:color w:val="auto"/>
        </w:rPr>
      </w:pPr>
      <w:r>
        <w:rPr>
          <w:rFonts w:ascii="Arial" w:cs="Arial" w:eastAsia="Arial" w:hAnsi="Arial"/>
          <w:sz w:val="39"/>
          <w:szCs w:val="39"/>
          <w:b w:val="1"/>
          <w:bCs w:val="1"/>
          <w:color w:val="0956FF"/>
        </w:rPr>
        <w:t>2025 Non-Employee Director Compensation Table</w:t>
      </w:r>
    </w:p>
    <w:p>
      <w:pPr>
        <w:ind w:right="1400"/>
        <w:spacing w:after="0" w:line="304" w:lineRule="auto"/>
        <w:rPr>
          <w:sz w:val="20"/>
          <w:szCs w:val="20"/>
          <w:color w:val="auto"/>
        </w:rPr>
      </w:pPr>
      <w:r>
        <w:rPr>
          <w:rFonts w:ascii="Arial" w:cs="Arial" w:eastAsia="Arial" w:hAnsi="Arial"/>
          <w:sz w:val="16"/>
          <w:szCs w:val="16"/>
          <w:color w:val="auto"/>
        </w:rPr>
        <w:t>The table below shows the compensation that each non-employee director received for their 2025 Board and committee service.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40" w:type="dxa"/>
            <w:vAlign w:val="bottom"/>
            <w:shd w:val="clear" w:color="auto" w:fill="ECEBEB"/>
          </w:tcPr>
          <w:p>
            <w:pPr>
              <w:spacing w:after="0"/>
              <w:rPr>
                <w:sz w:val="20"/>
                <w:szCs w:val="20"/>
                <w:color w:val="auto"/>
              </w:rPr>
            </w:pPr>
          </w:p>
        </w:tc>
        <w:tc>
          <w:tcPr>
            <w:tcW w:w="2620" w:type="dxa"/>
            <w:vAlign w:val="bottom"/>
            <w:shd w:val="clear" w:color="auto" w:fill="ECEBEB"/>
          </w:tcPr>
          <w:p>
            <w:pPr>
              <w:jc w:val="right"/>
              <w:ind w:right="61"/>
              <w:spacing w:after="0"/>
              <w:rPr>
                <w:sz w:val="20"/>
                <w:szCs w:val="20"/>
                <w:color w:val="auto"/>
              </w:rPr>
            </w:pPr>
            <w:r>
              <w:rPr>
                <w:rFonts w:ascii="Arial" w:cs="Arial" w:eastAsia="Arial" w:hAnsi="Arial"/>
                <w:sz w:val="14"/>
                <w:szCs w:val="14"/>
                <w:b w:val="1"/>
                <w:bCs w:val="1"/>
                <w:color w:val="auto"/>
              </w:rPr>
              <w:t>Fees Earned or</w:t>
            </w:r>
          </w:p>
        </w:tc>
        <w:tc>
          <w:tcPr>
            <w:tcW w:w="960" w:type="dxa"/>
            <w:vAlign w:val="bottom"/>
            <w:shd w:val="clear" w:color="auto" w:fill="ECEBEB"/>
          </w:tcPr>
          <w:p>
            <w:pPr>
              <w:jc w:val="right"/>
              <w:ind w:right="101"/>
              <w:spacing w:after="0"/>
              <w:rPr>
                <w:sz w:val="20"/>
                <w:szCs w:val="20"/>
                <w:color w:val="auto"/>
              </w:rPr>
            </w:pPr>
            <w:r>
              <w:rPr>
                <w:rFonts w:ascii="Arial" w:cs="Arial" w:eastAsia="Arial" w:hAnsi="Arial"/>
                <w:sz w:val="14"/>
                <w:szCs w:val="14"/>
                <w:b w:val="1"/>
                <w:bCs w:val="1"/>
                <w:color w:val="auto"/>
              </w:rPr>
              <w:t>Stock</w:t>
            </w:r>
          </w:p>
        </w:tc>
        <w:tc>
          <w:tcPr>
            <w:tcW w:w="1420" w:type="dxa"/>
            <w:vAlign w:val="bottom"/>
            <w:shd w:val="clear" w:color="auto" w:fill="ECEBEB"/>
          </w:tcPr>
          <w:p>
            <w:pPr>
              <w:jc w:val="right"/>
              <w:ind w:right="61"/>
              <w:spacing w:after="0"/>
              <w:rPr>
                <w:sz w:val="20"/>
                <w:szCs w:val="20"/>
                <w:color w:val="auto"/>
              </w:rPr>
            </w:pPr>
            <w:r>
              <w:rPr>
                <w:rFonts w:ascii="Arial" w:cs="Arial" w:eastAsia="Arial" w:hAnsi="Arial"/>
                <w:sz w:val="14"/>
                <w:szCs w:val="14"/>
                <w:b w:val="1"/>
                <w:bCs w:val="1"/>
                <w:color w:val="auto"/>
              </w:rPr>
              <w:t>All Other</w:t>
            </w:r>
          </w:p>
        </w:tc>
        <w:tc>
          <w:tcPr>
            <w:tcW w:w="840" w:type="dxa"/>
            <w:vAlign w:val="bottom"/>
            <w:shd w:val="clear" w:color="auto" w:fill="ECEBEB"/>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shd w:val="clear" w:color="auto" w:fill="ECEBEB"/>
          </w:tcPr>
          <w:p>
            <w:pPr>
              <w:spacing w:after="0"/>
              <w:rPr>
                <w:sz w:val="16"/>
                <w:szCs w:val="16"/>
                <w:color w:val="auto"/>
              </w:rPr>
            </w:pPr>
          </w:p>
        </w:tc>
        <w:tc>
          <w:tcPr>
            <w:tcW w:w="2620" w:type="dxa"/>
            <w:vAlign w:val="bottom"/>
            <w:shd w:val="clear" w:color="auto" w:fill="ECEBEB"/>
          </w:tcPr>
          <w:p>
            <w:pPr>
              <w:jc w:val="right"/>
              <w:ind w:right="81"/>
              <w:spacing w:after="0" w:line="191" w:lineRule="exact"/>
              <w:rPr>
                <w:sz w:val="20"/>
                <w:szCs w:val="20"/>
                <w:color w:val="auto"/>
              </w:rPr>
            </w:pPr>
            <w:r>
              <w:rPr>
                <w:rFonts w:ascii="Arial" w:cs="Arial" w:eastAsia="Arial" w:hAnsi="Arial"/>
                <w:sz w:val="14"/>
                <w:szCs w:val="14"/>
                <w:b w:val="1"/>
                <w:bCs w:val="1"/>
                <w:color w:val="auto"/>
              </w:rPr>
              <w:t>Paid in Cash</w:t>
            </w:r>
            <w:r>
              <w:rPr>
                <w:rFonts w:ascii="Arial" w:cs="Arial" w:eastAsia="Arial" w:hAnsi="Arial"/>
                <w:sz w:val="18"/>
                <w:szCs w:val="18"/>
                <w:b w:val="1"/>
                <w:bCs w:val="1"/>
                <w:color w:val="auto"/>
                <w:vertAlign w:val="superscript"/>
              </w:rPr>
              <w:t>(1)</w:t>
            </w:r>
          </w:p>
        </w:tc>
        <w:tc>
          <w:tcPr>
            <w:tcW w:w="960" w:type="dxa"/>
            <w:vAlign w:val="bottom"/>
            <w:shd w:val="clear" w:color="auto" w:fill="ECEBEB"/>
          </w:tcPr>
          <w:p>
            <w:pPr>
              <w:ind w:left="140"/>
              <w:spacing w:after="0" w:line="191"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8"/>
                <w:szCs w:val="18"/>
                <w:b w:val="1"/>
                <w:bCs w:val="1"/>
                <w:color w:val="auto"/>
                <w:vertAlign w:val="superscript"/>
              </w:rPr>
              <w:t>(2)</w:t>
            </w:r>
          </w:p>
        </w:tc>
        <w:tc>
          <w:tcPr>
            <w:tcW w:w="1420" w:type="dxa"/>
            <w:vAlign w:val="bottom"/>
            <w:shd w:val="clear" w:color="auto" w:fill="ECEBEB"/>
          </w:tcPr>
          <w:p>
            <w:pPr>
              <w:jc w:val="right"/>
              <w:ind w:right="81"/>
              <w:spacing w:after="0" w:line="191"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(3)</w:t>
            </w:r>
          </w:p>
        </w:tc>
        <w:tc>
          <w:tcPr>
            <w:tcW w:w="8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4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Director</w:t>
            </w:r>
          </w:p>
        </w:tc>
        <w:tc>
          <w:tcPr>
            <w:tcW w:w="2620" w:type="dxa"/>
            <w:vAlign w:val="bottom"/>
            <w:tcBorders>
              <w:bottom w:val="single" w:sz="8" w:color="0956FF"/>
            </w:tcBorders>
            <w:shd w:val="clear" w:color="auto" w:fill="ECEBEB"/>
          </w:tcPr>
          <w:p>
            <w:pPr>
              <w:jc w:val="right"/>
              <w:ind w:right="101"/>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956FF"/>
            </w:tcBorders>
            <w:shd w:val="clear" w:color="auto" w:fill="ECEBEB"/>
          </w:tcPr>
          <w:p>
            <w:pPr>
              <w:jc w:val="right"/>
              <w:ind w:right="121"/>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0956FF"/>
            </w:tcBorders>
            <w:shd w:val="clear" w:color="auto" w:fill="ECEBEB"/>
          </w:tcPr>
          <w:p>
            <w:pPr>
              <w:jc w:val="right"/>
              <w:ind w:right="81"/>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32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Wesley G. Bush</w:t>
            </w:r>
          </w:p>
        </w:tc>
        <w:tc>
          <w:tcPr>
            <w:tcW w:w="2620" w:type="dxa"/>
            <w:vAlign w:val="bottom"/>
            <w:tcBorders>
              <w:bottom w:val="single" w:sz="8" w:color="D8D7D7"/>
            </w:tcBorders>
          </w:tcPr>
          <w:p>
            <w:pPr>
              <w:jc w:val="right"/>
              <w:ind w:right="141"/>
              <w:spacing w:after="0"/>
              <w:rPr>
                <w:sz w:val="20"/>
                <w:szCs w:val="20"/>
                <w:color w:val="auto"/>
              </w:rPr>
            </w:pPr>
            <w:r>
              <w:rPr>
                <w:rFonts w:ascii="Arial" w:cs="Arial" w:eastAsia="Arial" w:hAnsi="Arial"/>
                <w:sz w:val="16"/>
                <w:szCs w:val="16"/>
                <w:color w:val="auto"/>
              </w:rPr>
              <w:t>160,000</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D8D7D7"/>
            </w:tcBorders>
          </w:tcPr>
          <w:p>
            <w:pPr>
              <w:jc w:val="right"/>
              <w:ind w:right="101"/>
              <w:spacing w:after="0"/>
              <w:rPr>
                <w:sz w:val="20"/>
                <w:szCs w:val="20"/>
                <w:color w:val="auto"/>
              </w:rPr>
            </w:pPr>
            <w:r>
              <w:rPr>
                <w:rFonts w:ascii="Arial" w:cs="Arial" w:eastAsia="Arial" w:hAnsi="Arial"/>
                <w:sz w:val="16"/>
                <w:szCs w:val="16"/>
                <w:color w:val="auto"/>
              </w:rPr>
              <w:t>42,573</w:t>
            </w:r>
          </w:p>
        </w:tc>
        <w:tc>
          <w:tcPr>
            <w:tcW w:w="84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486,298</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Joanne C. Crevoiserat</w:t>
            </w:r>
          </w:p>
        </w:tc>
        <w:tc>
          <w:tcPr>
            <w:tcW w:w="2620" w:type="dxa"/>
            <w:vAlign w:val="bottom"/>
            <w:tcBorders>
              <w:bottom w:val="single" w:sz="8" w:color="D8D7D7"/>
            </w:tcBorders>
          </w:tcPr>
          <w:p>
            <w:pPr>
              <w:jc w:val="right"/>
              <w:ind w:right="141"/>
              <w:spacing w:after="0"/>
              <w:rPr>
                <w:sz w:val="20"/>
                <w:szCs w:val="20"/>
                <w:color w:val="auto"/>
              </w:rPr>
            </w:pPr>
            <w:r>
              <w:rPr>
                <w:rFonts w:ascii="Arial" w:cs="Arial" w:eastAsia="Arial" w:hAnsi="Arial"/>
                <w:sz w:val="16"/>
                <w:szCs w:val="16"/>
                <w:color w:val="auto"/>
              </w:rPr>
              <w:t>130,000</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25,990</w:t>
            </w:r>
          </w:p>
        </w:tc>
        <w:tc>
          <w:tcPr>
            <w:tcW w:w="8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439,715</w:t>
            </w:r>
          </w:p>
        </w:tc>
        <w:tc>
          <w:tcPr>
            <w:tcW w:w="0" w:type="dxa"/>
            <w:vAlign w:val="bottom"/>
          </w:tcPr>
          <w:p>
            <w:pPr>
              <w:spacing w:after="0"/>
              <w:rPr>
                <w:sz w:val="1"/>
                <w:szCs w:val="1"/>
                <w:color w:val="auto"/>
              </w:rPr>
            </w:pPr>
          </w:p>
        </w:tc>
      </w:tr>
      <w:tr>
        <w:trPr>
          <w:trHeight w:val="116"/>
        </w:trPr>
        <w:tc>
          <w:tcPr>
            <w:tcW w:w="3240" w:type="dxa"/>
            <w:vAlign w:val="bottom"/>
          </w:tcPr>
          <w:p>
            <w:pPr>
              <w:ind w:left="1300"/>
              <w:spacing w:after="0" w:line="116" w:lineRule="exact"/>
              <w:rPr>
                <w:sz w:val="20"/>
                <w:szCs w:val="20"/>
                <w:color w:val="auto"/>
              </w:rPr>
            </w:pPr>
            <w:r>
              <w:rPr>
                <w:rFonts w:ascii="Arial" w:cs="Arial" w:eastAsia="Arial" w:hAnsi="Arial"/>
                <w:sz w:val="11"/>
                <w:szCs w:val="11"/>
                <w:b w:val="1"/>
                <w:bCs w:val="1"/>
                <w:color w:val="0956FF"/>
              </w:rPr>
              <w:t>(4)</w:t>
            </w:r>
          </w:p>
        </w:tc>
        <w:tc>
          <w:tcPr>
            <w:tcW w:w="2620" w:type="dxa"/>
            <w:vAlign w:val="bottom"/>
            <w:vMerge w:val="restart"/>
          </w:tcPr>
          <w:p>
            <w:pPr>
              <w:jc w:val="right"/>
              <w:ind w:right="161"/>
              <w:spacing w:after="0"/>
              <w:rPr>
                <w:sz w:val="20"/>
                <w:szCs w:val="20"/>
                <w:color w:val="auto"/>
              </w:rPr>
            </w:pPr>
            <w:r>
              <w:rPr>
                <w:rFonts w:ascii="Arial" w:cs="Arial" w:eastAsia="Arial" w:hAnsi="Arial"/>
                <w:sz w:val="16"/>
                <w:szCs w:val="16"/>
                <w:color w:val="auto"/>
              </w:rPr>
              <w:t>65,000</w:t>
            </w:r>
          </w:p>
        </w:tc>
        <w:tc>
          <w:tcPr>
            <w:tcW w:w="960" w:type="dxa"/>
            <w:vAlign w:val="bottom"/>
            <w:vMerge w:val="restart"/>
          </w:tcPr>
          <w:p>
            <w:pPr>
              <w:jc w:val="right"/>
              <w:ind w:right="121"/>
              <w:spacing w:after="0"/>
              <w:rPr>
                <w:sz w:val="20"/>
                <w:szCs w:val="20"/>
                <w:color w:val="auto"/>
              </w:rPr>
            </w:pPr>
            <w:r>
              <w:rPr>
                <w:rFonts w:ascii="Arial" w:cs="Arial" w:eastAsia="Arial" w:hAnsi="Arial"/>
                <w:sz w:val="16"/>
                <w:szCs w:val="16"/>
                <w:color w:val="auto"/>
              </w:rPr>
              <w:t>121,980</w:t>
            </w:r>
          </w:p>
        </w:tc>
        <w:tc>
          <w:tcPr>
            <w:tcW w:w="1420" w:type="dxa"/>
            <w:vAlign w:val="bottom"/>
            <w:vMerge w:val="restart"/>
          </w:tcPr>
          <w:p>
            <w:pPr>
              <w:jc w:val="right"/>
              <w:ind w:right="121"/>
              <w:spacing w:after="0"/>
              <w:rPr>
                <w:sz w:val="20"/>
                <w:szCs w:val="20"/>
                <w:color w:val="auto"/>
              </w:rPr>
            </w:pPr>
            <w:r>
              <w:rPr>
                <w:rFonts w:ascii="Arial" w:cs="Arial" w:eastAsia="Arial" w:hAnsi="Arial"/>
                <w:sz w:val="16"/>
                <w:szCs w:val="16"/>
                <w:color w:val="auto"/>
              </w:rPr>
              <w:t>25,870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212,850</w:t>
            </w:r>
          </w:p>
        </w:tc>
        <w:tc>
          <w:tcPr>
            <w:tcW w:w="0" w:type="dxa"/>
            <w:vAlign w:val="bottom"/>
          </w:tcPr>
          <w:p>
            <w:pPr>
              <w:spacing w:after="0"/>
              <w:rPr>
                <w:sz w:val="1"/>
                <w:szCs w:val="1"/>
                <w:color w:val="auto"/>
              </w:rPr>
            </w:pPr>
          </w:p>
        </w:tc>
      </w:tr>
      <w:tr>
        <w:trPr>
          <w:trHeight w:val="135"/>
        </w:trPr>
        <w:tc>
          <w:tcPr>
            <w:tcW w:w="3240" w:type="dxa"/>
            <w:vAlign w:val="bottom"/>
            <w:tcBorders>
              <w:bottom w:val="single" w:sz="8" w:color="D8D7D7"/>
            </w:tcBorders>
          </w:tcPr>
          <w:p>
            <w:pPr>
              <w:ind w:left="60"/>
              <w:spacing w:after="0" w:line="135" w:lineRule="exact"/>
              <w:rPr>
                <w:sz w:val="20"/>
                <w:szCs w:val="20"/>
                <w:color w:val="auto"/>
              </w:rPr>
            </w:pPr>
            <w:r>
              <w:rPr>
                <w:rFonts w:ascii="Arial" w:cs="Arial" w:eastAsia="Arial" w:hAnsi="Arial"/>
                <w:sz w:val="15"/>
                <w:szCs w:val="15"/>
                <w:b w:val="1"/>
                <w:bCs w:val="1"/>
                <w:color w:val="0956FF"/>
              </w:rPr>
              <w:t>Linda R. Gooden</w:t>
            </w:r>
          </w:p>
        </w:tc>
        <w:tc>
          <w:tcPr>
            <w:tcW w:w="2620" w:type="dxa"/>
            <w:vAlign w:val="bottom"/>
            <w:tcBorders>
              <w:bottom w:val="single" w:sz="8" w:color="D8D7D7"/>
            </w:tcBorders>
            <w:vMerge w:val="continue"/>
          </w:tcPr>
          <w:p>
            <w:pPr>
              <w:spacing w:after="0"/>
              <w:rPr>
                <w:sz w:val="11"/>
                <w:szCs w:val="11"/>
                <w:color w:val="auto"/>
              </w:rPr>
            </w:pPr>
          </w:p>
        </w:tc>
        <w:tc>
          <w:tcPr>
            <w:tcW w:w="960" w:type="dxa"/>
            <w:vAlign w:val="bottom"/>
            <w:tcBorders>
              <w:bottom w:val="single" w:sz="8" w:color="D8D7D7"/>
            </w:tcBorders>
            <w:vMerge w:val="continue"/>
          </w:tcPr>
          <w:p>
            <w:pPr>
              <w:spacing w:after="0"/>
              <w:rPr>
                <w:sz w:val="11"/>
                <w:szCs w:val="11"/>
                <w:color w:val="auto"/>
              </w:rPr>
            </w:pPr>
          </w:p>
        </w:tc>
        <w:tc>
          <w:tcPr>
            <w:tcW w:w="1420" w:type="dxa"/>
            <w:vAlign w:val="bottom"/>
            <w:tcBorders>
              <w:bottom w:val="single" w:sz="8" w:color="D8D7D7"/>
            </w:tcBorders>
            <w:vMerge w:val="continue"/>
          </w:tcPr>
          <w:p>
            <w:pPr>
              <w:spacing w:after="0"/>
              <w:rPr>
                <w:sz w:val="11"/>
                <w:szCs w:val="11"/>
                <w:color w:val="auto"/>
              </w:rPr>
            </w:pPr>
          </w:p>
        </w:tc>
        <w:tc>
          <w:tcPr>
            <w:tcW w:w="840" w:type="dxa"/>
            <w:vAlign w:val="bottom"/>
            <w:tcBorders>
              <w:bottom w:val="single" w:sz="8" w:color="D8D7D7"/>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Joseph Jimenez</w:t>
            </w:r>
          </w:p>
        </w:tc>
        <w:tc>
          <w:tcPr>
            <w:tcW w:w="2620" w:type="dxa"/>
            <w:vAlign w:val="bottom"/>
            <w:tcBorders>
              <w:bottom w:val="single" w:sz="8" w:color="D8D7D7"/>
            </w:tcBorders>
          </w:tcPr>
          <w:p>
            <w:pPr>
              <w:jc w:val="right"/>
              <w:ind w:right="141"/>
              <w:spacing w:after="0"/>
              <w:rPr>
                <w:sz w:val="20"/>
                <w:szCs w:val="20"/>
                <w:color w:val="auto"/>
              </w:rPr>
            </w:pPr>
            <w:r>
              <w:rPr>
                <w:rFonts w:ascii="Arial" w:cs="Arial" w:eastAsia="Arial" w:hAnsi="Arial"/>
                <w:sz w:val="16"/>
                <w:szCs w:val="16"/>
                <w:color w:val="auto"/>
              </w:rPr>
              <w:t>155,000</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40,740</w:t>
            </w:r>
          </w:p>
        </w:tc>
        <w:tc>
          <w:tcPr>
            <w:tcW w:w="84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479,465</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Alfred F. Kelly, Jr.</w:t>
            </w:r>
          </w:p>
        </w:tc>
        <w:tc>
          <w:tcPr>
            <w:tcW w:w="2620" w:type="dxa"/>
            <w:vAlign w:val="bottom"/>
            <w:tcBorders>
              <w:bottom w:val="single" w:sz="8" w:color="D8D7D7"/>
            </w:tcBorders>
          </w:tcPr>
          <w:p>
            <w:pPr>
              <w:jc w:val="right"/>
              <w:ind w:right="141"/>
              <w:spacing w:after="0"/>
              <w:rPr>
                <w:sz w:val="20"/>
                <w:szCs w:val="20"/>
                <w:color w:val="auto"/>
              </w:rPr>
            </w:pPr>
            <w:r>
              <w:rPr>
                <w:rFonts w:ascii="Arial" w:cs="Arial" w:eastAsia="Arial" w:hAnsi="Arial"/>
                <w:sz w:val="16"/>
                <w:szCs w:val="16"/>
                <w:color w:val="auto"/>
              </w:rPr>
              <w:t>130,000</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17,532</w:t>
            </w:r>
          </w:p>
        </w:tc>
        <w:tc>
          <w:tcPr>
            <w:tcW w:w="8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431,257</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Jonathan McNeill</w:t>
            </w:r>
          </w:p>
        </w:tc>
        <w:tc>
          <w:tcPr>
            <w:tcW w:w="2620" w:type="dxa"/>
            <w:vAlign w:val="bottom"/>
            <w:tcBorders>
              <w:bottom w:val="single" w:sz="8" w:color="D8D7D7"/>
            </w:tcBorders>
          </w:tcPr>
          <w:p>
            <w:pPr>
              <w:jc w:val="right"/>
              <w:ind w:right="141"/>
              <w:spacing w:after="0"/>
              <w:rPr>
                <w:sz w:val="20"/>
                <w:szCs w:val="20"/>
                <w:color w:val="auto"/>
              </w:rPr>
            </w:pPr>
            <w:r>
              <w:rPr>
                <w:rFonts w:ascii="Arial" w:cs="Arial" w:eastAsia="Arial" w:hAnsi="Arial"/>
                <w:sz w:val="16"/>
                <w:szCs w:val="16"/>
                <w:color w:val="auto"/>
              </w:rPr>
              <w:t>130,000</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37,448</w:t>
            </w:r>
          </w:p>
        </w:tc>
        <w:tc>
          <w:tcPr>
            <w:tcW w:w="8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451,173</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Judith A. Miscik</w:t>
            </w:r>
          </w:p>
        </w:tc>
        <w:tc>
          <w:tcPr>
            <w:tcW w:w="2620" w:type="dxa"/>
            <w:vAlign w:val="bottom"/>
            <w:tcBorders>
              <w:bottom w:val="single" w:sz="8" w:color="D8D7D7"/>
            </w:tcBorders>
          </w:tcPr>
          <w:p>
            <w:pPr>
              <w:jc w:val="right"/>
              <w:ind w:right="141"/>
              <w:spacing w:after="0"/>
              <w:rPr>
                <w:sz w:val="20"/>
                <w:szCs w:val="20"/>
                <w:color w:val="auto"/>
              </w:rPr>
            </w:pPr>
            <w:r>
              <w:rPr>
                <w:rFonts w:ascii="Arial" w:cs="Arial" w:eastAsia="Arial" w:hAnsi="Arial"/>
                <w:sz w:val="16"/>
                <w:szCs w:val="16"/>
                <w:color w:val="auto"/>
              </w:rPr>
              <w:t>155,000</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24,053</w:t>
            </w:r>
          </w:p>
        </w:tc>
        <w:tc>
          <w:tcPr>
            <w:tcW w:w="84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462,778</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Patricia F. Russo</w:t>
            </w:r>
          </w:p>
        </w:tc>
        <w:tc>
          <w:tcPr>
            <w:tcW w:w="2620" w:type="dxa"/>
            <w:vAlign w:val="bottom"/>
            <w:tcBorders>
              <w:bottom w:val="single" w:sz="8" w:color="D8D7D7"/>
            </w:tcBorders>
          </w:tcPr>
          <w:p>
            <w:pPr>
              <w:jc w:val="right"/>
              <w:ind w:right="161"/>
              <w:spacing w:after="0"/>
              <w:rPr>
                <w:sz w:val="20"/>
                <w:szCs w:val="20"/>
                <w:color w:val="auto"/>
              </w:rPr>
            </w:pPr>
            <w:r>
              <w:rPr>
                <w:rFonts w:ascii="Arial" w:cs="Arial" w:eastAsia="Arial" w:hAnsi="Arial"/>
                <w:sz w:val="16"/>
                <w:szCs w:val="16"/>
                <w:color w:val="auto"/>
              </w:rPr>
              <w:t>255,000</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19,615</w:t>
            </w:r>
          </w:p>
        </w:tc>
        <w:tc>
          <w:tcPr>
            <w:tcW w:w="84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558,340</w:t>
            </w:r>
          </w:p>
        </w:tc>
        <w:tc>
          <w:tcPr>
            <w:tcW w:w="0" w:type="dxa"/>
            <w:vAlign w:val="bottom"/>
          </w:tcPr>
          <w:p>
            <w:pPr>
              <w:spacing w:after="0"/>
              <w:rPr>
                <w:sz w:val="1"/>
                <w:szCs w:val="1"/>
                <w:color w:val="auto"/>
              </w:rPr>
            </w:pPr>
          </w:p>
        </w:tc>
      </w:tr>
      <w:tr>
        <w:trPr>
          <w:trHeight w:val="116"/>
        </w:trPr>
        <w:tc>
          <w:tcPr>
            <w:tcW w:w="3240" w:type="dxa"/>
            <w:vAlign w:val="bottom"/>
          </w:tcPr>
          <w:p>
            <w:pPr>
              <w:ind w:left="1600"/>
              <w:spacing w:after="0" w:line="116" w:lineRule="exact"/>
              <w:rPr>
                <w:sz w:val="20"/>
                <w:szCs w:val="20"/>
                <w:color w:val="auto"/>
              </w:rPr>
            </w:pPr>
            <w:r>
              <w:rPr>
                <w:rFonts w:ascii="Arial" w:cs="Arial" w:eastAsia="Arial" w:hAnsi="Arial"/>
                <w:sz w:val="11"/>
                <w:szCs w:val="11"/>
                <w:b w:val="1"/>
                <w:bCs w:val="1"/>
                <w:color w:val="0956FF"/>
              </w:rPr>
              <w:t>(5)</w:t>
            </w:r>
          </w:p>
        </w:tc>
        <w:tc>
          <w:tcPr>
            <w:tcW w:w="2620" w:type="dxa"/>
            <w:vAlign w:val="bottom"/>
            <w:vMerge w:val="restart"/>
          </w:tcPr>
          <w:p>
            <w:pPr>
              <w:jc w:val="right"/>
              <w:ind w:right="161"/>
              <w:spacing w:after="0"/>
              <w:rPr>
                <w:sz w:val="20"/>
                <w:szCs w:val="20"/>
                <w:color w:val="auto"/>
              </w:rPr>
            </w:pPr>
            <w:r>
              <w:rPr>
                <w:rFonts w:ascii="Arial" w:cs="Arial" w:eastAsia="Arial" w:hAnsi="Arial"/>
                <w:sz w:val="16"/>
                <w:szCs w:val="16"/>
                <w:color w:val="auto"/>
              </w:rPr>
              <w:t>82,500</w:t>
            </w:r>
          </w:p>
        </w:tc>
        <w:tc>
          <w:tcPr>
            <w:tcW w:w="960" w:type="dxa"/>
            <w:vAlign w:val="bottom"/>
            <w:vMerge w:val="restart"/>
          </w:tcPr>
          <w:p>
            <w:pPr>
              <w:jc w:val="right"/>
              <w:ind w:right="121"/>
              <w:spacing w:after="0"/>
              <w:rPr>
                <w:sz w:val="20"/>
                <w:szCs w:val="20"/>
                <w:color w:val="auto"/>
              </w:rPr>
            </w:pPr>
            <w:r>
              <w:rPr>
                <w:rFonts w:ascii="Arial" w:cs="Arial" w:eastAsia="Arial" w:hAnsi="Arial"/>
                <w:sz w:val="16"/>
                <w:szCs w:val="16"/>
                <w:color w:val="auto"/>
              </w:rPr>
              <w:t>121,980</w:t>
            </w:r>
          </w:p>
        </w:tc>
        <w:tc>
          <w:tcPr>
            <w:tcW w:w="1420" w:type="dxa"/>
            <w:vAlign w:val="bottom"/>
            <w:vMerge w:val="restart"/>
          </w:tcPr>
          <w:p>
            <w:pPr>
              <w:jc w:val="right"/>
              <w:ind w:right="101"/>
              <w:spacing w:after="0"/>
              <w:rPr>
                <w:sz w:val="20"/>
                <w:szCs w:val="20"/>
                <w:color w:val="auto"/>
              </w:rPr>
            </w:pPr>
            <w:r>
              <w:rPr>
                <w:rFonts w:ascii="Arial" w:cs="Arial" w:eastAsia="Arial" w:hAnsi="Arial"/>
                <w:sz w:val="16"/>
                <w:szCs w:val="16"/>
                <w:color w:val="auto"/>
              </w:rPr>
              <w:t>38,370</w:t>
            </w:r>
          </w:p>
        </w:tc>
        <w:tc>
          <w:tcPr>
            <w:tcW w:w="840" w:type="dxa"/>
            <w:vAlign w:val="bottom"/>
            <w:vMerge w:val="restart"/>
          </w:tcPr>
          <w:p>
            <w:pPr>
              <w:jc w:val="right"/>
              <w:ind w:right="40"/>
              <w:spacing w:after="0"/>
              <w:rPr>
                <w:sz w:val="20"/>
                <w:szCs w:val="20"/>
                <w:color w:val="auto"/>
              </w:rPr>
            </w:pPr>
            <w:r>
              <w:rPr>
                <w:rFonts w:ascii="Arial" w:cs="Arial" w:eastAsia="Arial" w:hAnsi="Arial"/>
                <w:sz w:val="16"/>
                <w:szCs w:val="16"/>
                <w:color w:val="auto"/>
              </w:rPr>
              <w:t>242,850</w:t>
            </w:r>
          </w:p>
        </w:tc>
        <w:tc>
          <w:tcPr>
            <w:tcW w:w="0" w:type="dxa"/>
            <w:vAlign w:val="bottom"/>
          </w:tcPr>
          <w:p>
            <w:pPr>
              <w:spacing w:after="0"/>
              <w:rPr>
                <w:sz w:val="1"/>
                <w:szCs w:val="1"/>
                <w:color w:val="auto"/>
              </w:rPr>
            </w:pPr>
          </w:p>
        </w:tc>
      </w:tr>
      <w:tr>
        <w:trPr>
          <w:trHeight w:val="135"/>
        </w:trPr>
        <w:tc>
          <w:tcPr>
            <w:tcW w:w="3240" w:type="dxa"/>
            <w:vAlign w:val="bottom"/>
            <w:tcBorders>
              <w:bottom w:val="single" w:sz="8" w:color="D8D7D7"/>
            </w:tcBorders>
          </w:tcPr>
          <w:p>
            <w:pPr>
              <w:ind w:left="60"/>
              <w:spacing w:after="0" w:line="135" w:lineRule="exact"/>
              <w:rPr>
                <w:sz w:val="20"/>
                <w:szCs w:val="20"/>
                <w:color w:val="auto"/>
              </w:rPr>
            </w:pPr>
            <w:r>
              <w:rPr>
                <w:rFonts w:ascii="Arial" w:cs="Arial" w:eastAsia="Arial" w:hAnsi="Arial"/>
                <w:sz w:val="15"/>
                <w:szCs w:val="15"/>
                <w:b w:val="1"/>
                <w:bCs w:val="1"/>
                <w:color w:val="0956FF"/>
              </w:rPr>
              <w:t>Thomas M. Schoewe</w:t>
            </w:r>
          </w:p>
        </w:tc>
        <w:tc>
          <w:tcPr>
            <w:tcW w:w="2620" w:type="dxa"/>
            <w:vAlign w:val="bottom"/>
            <w:tcBorders>
              <w:bottom w:val="single" w:sz="8" w:color="D8D7D7"/>
            </w:tcBorders>
            <w:vMerge w:val="continue"/>
          </w:tcPr>
          <w:p>
            <w:pPr>
              <w:spacing w:after="0"/>
              <w:rPr>
                <w:sz w:val="11"/>
                <w:szCs w:val="11"/>
                <w:color w:val="auto"/>
              </w:rPr>
            </w:pPr>
          </w:p>
        </w:tc>
        <w:tc>
          <w:tcPr>
            <w:tcW w:w="960" w:type="dxa"/>
            <w:vAlign w:val="bottom"/>
            <w:tcBorders>
              <w:bottom w:val="single" w:sz="8" w:color="D8D7D7"/>
            </w:tcBorders>
            <w:vMerge w:val="continue"/>
          </w:tcPr>
          <w:p>
            <w:pPr>
              <w:spacing w:after="0"/>
              <w:rPr>
                <w:sz w:val="11"/>
                <w:szCs w:val="11"/>
                <w:color w:val="auto"/>
              </w:rPr>
            </w:pPr>
          </w:p>
        </w:tc>
        <w:tc>
          <w:tcPr>
            <w:tcW w:w="1420" w:type="dxa"/>
            <w:vAlign w:val="bottom"/>
            <w:tcBorders>
              <w:bottom w:val="single" w:sz="8" w:color="D8D7D7"/>
            </w:tcBorders>
            <w:vMerge w:val="continue"/>
          </w:tcPr>
          <w:p>
            <w:pPr>
              <w:spacing w:after="0"/>
              <w:rPr>
                <w:sz w:val="11"/>
                <w:szCs w:val="11"/>
                <w:color w:val="auto"/>
              </w:rPr>
            </w:pPr>
          </w:p>
        </w:tc>
        <w:tc>
          <w:tcPr>
            <w:tcW w:w="840" w:type="dxa"/>
            <w:vAlign w:val="bottom"/>
            <w:tcBorders>
              <w:bottom w:val="single" w:sz="8" w:color="D8D7D7"/>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Mark A. Tatum</w:t>
            </w:r>
          </w:p>
        </w:tc>
        <w:tc>
          <w:tcPr>
            <w:tcW w:w="2620" w:type="dxa"/>
            <w:vAlign w:val="bottom"/>
            <w:tcBorders>
              <w:bottom w:val="single" w:sz="8" w:color="D8D7D7"/>
            </w:tcBorders>
          </w:tcPr>
          <w:p>
            <w:pPr>
              <w:jc w:val="right"/>
              <w:ind w:right="141"/>
              <w:spacing w:after="0"/>
              <w:rPr>
                <w:sz w:val="20"/>
                <w:szCs w:val="20"/>
                <w:color w:val="auto"/>
              </w:rPr>
            </w:pPr>
            <w:r>
              <w:rPr>
                <w:rFonts w:ascii="Arial" w:cs="Arial" w:eastAsia="Arial" w:hAnsi="Arial"/>
                <w:sz w:val="16"/>
                <w:szCs w:val="16"/>
                <w:color w:val="auto"/>
              </w:rPr>
              <w:t>130,000</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45,740</w:t>
            </w:r>
          </w:p>
        </w:tc>
        <w:tc>
          <w:tcPr>
            <w:tcW w:w="84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459,465</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Jan E. Tighe</w:t>
            </w:r>
          </w:p>
        </w:tc>
        <w:tc>
          <w:tcPr>
            <w:tcW w:w="2620" w:type="dxa"/>
            <w:vAlign w:val="bottom"/>
            <w:tcBorders>
              <w:bottom w:val="single" w:sz="8" w:color="D8D7D7"/>
            </w:tcBorders>
          </w:tcPr>
          <w:p>
            <w:pPr>
              <w:jc w:val="right"/>
              <w:ind w:right="141"/>
              <w:spacing w:after="0"/>
              <w:rPr>
                <w:sz w:val="20"/>
                <w:szCs w:val="20"/>
                <w:color w:val="auto"/>
              </w:rPr>
            </w:pPr>
            <w:r>
              <w:rPr>
                <w:rFonts w:ascii="Arial" w:cs="Arial" w:eastAsia="Arial" w:hAnsi="Arial"/>
                <w:sz w:val="16"/>
                <w:szCs w:val="16"/>
                <w:color w:val="auto"/>
              </w:rPr>
              <w:t>130,000</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D8D7D7"/>
            </w:tcBorders>
          </w:tcPr>
          <w:p>
            <w:pPr>
              <w:jc w:val="right"/>
              <w:ind w:right="141"/>
              <w:spacing w:after="0"/>
              <w:rPr>
                <w:sz w:val="20"/>
                <w:szCs w:val="20"/>
                <w:color w:val="auto"/>
              </w:rPr>
            </w:pPr>
            <w:r>
              <w:rPr>
                <w:rFonts w:ascii="Arial" w:cs="Arial" w:eastAsia="Arial" w:hAnsi="Arial"/>
                <w:sz w:val="16"/>
                <w:szCs w:val="16"/>
                <w:color w:val="auto"/>
              </w:rPr>
              <w:t>45,240</w:t>
            </w:r>
          </w:p>
        </w:tc>
        <w:tc>
          <w:tcPr>
            <w:tcW w:w="84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458,965</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0956FF"/>
              </w:rPr>
              <w:t>Devin N. Wenig</w:t>
            </w:r>
          </w:p>
        </w:tc>
        <w:tc>
          <w:tcPr>
            <w:tcW w:w="2620" w:type="dxa"/>
            <w:vAlign w:val="bottom"/>
            <w:tcBorders>
              <w:bottom w:val="single" w:sz="8" w:color="0956FF"/>
            </w:tcBorders>
          </w:tcPr>
          <w:p>
            <w:pPr>
              <w:jc w:val="right"/>
              <w:ind w:right="141"/>
              <w:spacing w:after="0"/>
              <w:rPr>
                <w:sz w:val="20"/>
                <w:szCs w:val="20"/>
                <w:color w:val="auto"/>
              </w:rPr>
            </w:pPr>
            <w:r>
              <w:rPr>
                <w:rFonts w:ascii="Arial" w:cs="Arial" w:eastAsia="Arial" w:hAnsi="Arial"/>
                <w:sz w:val="16"/>
                <w:szCs w:val="16"/>
                <w:color w:val="auto"/>
              </w:rPr>
              <w:t>142,500</w:t>
            </w:r>
          </w:p>
        </w:tc>
        <w:tc>
          <w:tcPr>
            <w:tcW w:w="960" w:type="dxa"/>
            <w:vAlign w:val="bottom"/>
            <w:tcBorders>
              <w:bottom w:val="single" w:sz="8" w:color="0956FF"/>
            </w:tcBorders>
          </w:tcPr>
          <w:p>
            <w:pPr>
              <w:ind w:left="120"/>
              <w:spacing w:after="0"/>
              <w:rPr>
                <w:sz w:val="20"/>
                <w:szCs w:val="20"/>
                <w:color w:val="auto"/>
              </w:rPr>
            </w:pPr>
            <w:r>
              <w:rPr>
                <w:rFonts w:ascii="Arial" w:cs="Arial" w:eastAsia="Arial" w:hAnsi="Arial"/>
                <w:sz w:val="16"/>
                <w:szCs w:val="16"/>
                <w:color w:val="auto"/>
              </w:rPr>
              <w:t>283,725</w:t>
            </w:r>
          </w:p>
        </w:tc>
        <w:tc>
          <w:tcPr>
            <w:tcW w:w="1420" w:type="dxa"/>
            <w:vAlign w:val="bottom"/>
            <w:tcBorders>
              <w:bottom w:val="single" w:sz="8" w:color="0956FF"/>
            </w:tcBorders>
          </w:tcPr>
          <w:p>
            <w:pPr>
              <w:jc w:val="right"/>
              <w:ind w:right="101"/>
              <w:spacing w:after="0"/>
              <w:rPr>
                <w:sz w:val="20"/>
                <w:szCs w:val="20"/>
                <w:color w:val="auto"/>
              </w:rPr>
            </w:pPr>
            <w:r>
              <w:rPr>
                <w:rFonts w:ascii="Arial" w:cs="Arial" w:eastAsia="Arial" w:hAnsi="Arial"/>
                <w:sz w:val="16"/>
                <w:szCs w:val="16"/>
                <w:color w:val="auto"/>
              </w:rPr>
              <w:t>37,636</w:t>
            </w:r>
          </w:p>
        </w:tc>
        <w:tc>
          <w:tcPr>
            <w:tcW w:w="840" w:type="dxa"/>
            <w:vAlign w:val="bottom"/>
            <w:tcBorders>
              <w:bottom w:val="single" w:sz="8" w:color="0956FF"/>
            </w:tcBorders>
          </w:tcPr>
          <w:p>
            <w:pPr>
              <w:jc w:val="right"/>
              <w:spacing w:after="0"/>
              <w:rPr>
                <w:sz w:val="20"/>
                <w:szCs w:val="20"/>
                <w:color w:val="auto"/>
              </w:rPr>
            </w:pPr>
            <w:r>
              <w:rPr>
                <w:rFonts w:ascii="Arial" w:cs="Arial" w:eastAsia="Arial" w:hAnsi="Arial"/>
                <w:sz w:val="16"/>
                <w:szCs w:val="16"/>
                <w:color w:val="auto"/>
              </w:rPr>
              <w:t>463,861</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vertAlign w:val="superscript"/>
        </w:rPr>
        <w:t>(1)</w:t>
      </w:r>
      <w:r>
        <w:rPr>
          <w:rFonts w:ascii="Arial" w:cs="Arial" w:eastAsia="Arial" w:hAnsi="Arial"/>
          <w:sz w:val="14"/>
          <w:szCs w:val="14"/>
          <w:color w:val="auto"/>
          <w:highlight w:val="white"/>
        </w:rPr>
        <w:t xml:space="preserve">  As described above, a director may elect to defer all or a portion of their annual cash retainer into DSUs. This column reflects director</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4"/>
          <w:szCs w:val="14"/>
          <w:color w:val="auto"/>
          <w:highlight w:val="white"/>
        </w:rPr>
        <w:t>compensation eligible to be paid in cash, which consists of 40 percent (for 2025) of the annual Board retainer and any applicable fees for</w:t>
      </w:r>
    </w:p>
    <w:p>
      <w:pPr>
        <w:spacing w:after="0" w:line="15" w:lineRule="exact"/>
        <w:rPr>
          <w:sz w:val="20"/>
          <w:szCs w:val="20"/>
          <w:color w:val="auto"/>
        </w:rPr>
      </w:pPr>
    </w:p>
    <w:p>
      <w:pPr>
        <w:ind w:left="200"/>
        <w:spacing w:after="0"/>
        <w:tabs>
          <w:tab w:leader="none" w:pos="7120" w:val="left"/>
        </w:tabs>
        <w:rPr>
          <w:sz w:val="20"/>
          <w:szCs w:val="20"/>
          <w:color w:val="auto"/>
        </w:rPr>
      </w:pPr>
      <w:r>
        <w:rPr>
          <w:rFonts w:ascii="Arial" w:cs="Arial" w:eastAsia="Arial" w:hAnsi="Arial"/>
          <w:sz w:val="14"/>
          <w:szCs w:val="14"/>
          <w:color w:val="auto"/>
          <w:highlight w:val="white"/>
        </w:rPr>
        <w:t>committee chairs and the Independent Lead Director. Each of the following directors elected to receive</w:t>
      </w:r>
      <w:r>
        <w:rPr>
          <w:sz w:val="20"/>
          <w:szCs w:val="20"/>
          <w:color w:val="auto"/>
        </w:rPr>
        <w:tab/>
      </w:r>
      <w:r>
        <w:rPr>
          <w:rFonts w:ascii="Arial" w:cs="Arial" w:eastAsia="Arial" w:hAnsi="Arial"/>
          <w:sz w:val="14"/>
          <w:szCs w:val="14"/>
          <w:color w:val="auto"/>
          <w:highlight w:val="white"/>
        </w:rPr>
        <w:t xml:space="preserve">DSUs </w:t>
      </w:r>
      <w:r>
        <w:rPr>
          <w:rFonts w:ascii="Arial" w:cs="Arial" w:eastAsia="Arial" w:hAnsi="Arial"/>
          <w:sz w:val="14"/>
          <w:szCs w:val="14"/>
          <w:color w:val="auto"/>
        </w:rPr>
        <w:t>in lieu of such amounts</w:t>
      </w:r>
    </w:p>
    <w:p>
      <w:pPr>
        <w:spacing w:after="0" w:line="40" w:lineRule="exact"/>
        <w:rPr>
          <w:sz w:val="20"/>
          <w:szCs w:val="20"/>
          <w:color w:val="auto"/>
        </w:rPr>
      </w:pPr>
    </w:p>
    <w:p>
      <w:pPr>
        <w:ind w:left="200"/>
        <w:spacing w:after="0" w:line="310" w:lineRule="auto"/>
        <w:rPr>
          <w:sz w:val="20"/>
          <w:szCs w:val="20"/>
          <w:color w:val="auto"/>
        </w:rPr>
      </w:pPr>
      <w:r>
        <w:rPr>
          <w:rFonts w:ascii="Arial" w:cs="Arial" w:eastAsia="Arial" w:hAnsi="Arial"/>
          <w:sz w:val="14"/>
          <w:szCs w:val="14"/>
          <w:color w:val="auto"/>
          <w:highlight w:val="white"/>
        </w:rPr>
        <w:t>eligible to be paid in cash in the following amounts: Mr. Bush — $30,000; Ms. Crevoiserat — $130,000; Mr. Jimenez — $155,000; Mr. Kelly — $130,000; Mr. McNeill — $65,000; Ms. Russo — $255,000; Ms. Tighe — $130,000; and Mr. Wenig — $142,5</w:t>
      </w:r>
      <w:r>
        <w:rPr>
          <w:rFonts w:ascii="Arial" w:cs="Arial" w:eastAsia="Arial" w:hAnsi="Arial"/>
          <w:sz w:val="14"/>
          <w:szCs w:val="14"/>
          <w:color w:val="auto"/>
        </w:rPr>
        <w:t>00.</w:t>
      </w:r>
    </w:p>
    <w:p>
      <w:pPr>
        <w:spacing w:after="0" w:line="16" w:lineRule="exact"/>
        <w:rPr>
          <w:sz w:val="20"/>
          <w:szCs w:val="20"/>
          <w:color w:val="auto"/>
        </w:rPr>
      </w:pPr>
    </w:p>
    <w:p>
      <w:pPr>
        <w:ind w:left="200" w:right="240" w:hanging="192"/>
        <w:spacing w:after="0" w:line="257" w:lineRule="auto"/>
        <w:tabs>
          <w:tab w:leader="none" w:pos="200"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Reflects aggregate grant date fair value of DSUs granted in 2025 , which does not include any cash fees that directors voluntarily elected to receive as DSUs. Grant date fair value is calculated by multiplying the number of DSUs granted by the closing price of GM common stock on December 31, 2025, which was $81.32. The holders of DSUs may also receive dividend equivalents, which are reinvested</w:t>
      </w:r>
    </w:p>
    <w:p>
      <w:pPr>
        <w:spacing w:after="0" w:line="1" w:lineRule="exact"/>
        <w:rPr>
          <w:rFonts w:ascii="Arial" w:cs="Arial" w:eastAsia="Arial" w:hAnsi="Arial"/>
          <w:sz w:val="19"/>
          <w:szCs w:val="19"/>
          <w:color w:val="auto"/>
          <w:vertAlign w:val="superscript"/>
        </w:rPr>
      </w:pPr>
    </w:p>
    <w:p>
      <w:pPr>
        <w:ind w:left="200"/>
        <w:spacing w:after="0"/>
        <w:rPr>
          <w:rFonts w:ascii="Arial" w:cs="Arial" w:eastAsia="Arial" w:hAnsi="Arial"/>
          <w:sz w:val="19"/>
          <w:szCs w:val="19"/>
          <w:color w:val="auto"/>
          <w:vertAlign w:val="superscript"/>
        </w:rPr>
      </w:pPr>
      <w:r>
        <w:rPr>
          <w:rFonts w:ascii="Arial" w:cs="Arial" w:eastAsia="Arial" w:hAnsi="Arial"/>
          <w:sz w:val="14"/>
          <w:szCs w:val="14"/>
          <w:color w:val="auto"/>
        </w:rPr>
        <w:t>in additional DSUs based on the market price of the common stock on the date the dividends are paid.</w:t>
      </w:r>
    </w:p>
    <w:p>
      <w:pPr>
        <w:sectPr>
          <w:pgSz w:w="11900" w:h="16838" w:orient="portrait"/>
          <w:cols w:equalWidth="0" w:num="1">
            <w:col w:w="9200"/>
          </w:cols>
          <w:pgMar w:left="1400" w:top="65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33</w:t>
      </w:r>
    </w:p>
    <w:p>
      <w:pPr>
        <w:sectPr>
          <w:pgSz w:w="11900" w:h="16838" w:orient="portrait"/>
          <w:cols w:equalWidth="0" w:num="1">
            <w:col w:w="9200"/>
          </w:cols>
          <w:pgMar w:left="1400" w:top="657" w:right="12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Non-Employee Director Compensation</w:t>
      </w:r>
    </w:p>
    <w:p>
      <w:pPr>
        <w:spacing w:after="0" w:line="200" w:lineRule="exact"/>
        <w:rPr>
          <w:sz w:val="20"/>
          <w:szCs w:val="20"/>
          <w:color w:val="auto"/>
        </w:rPr>
      </w:pPr>
    </w:p>
    <w:p>
      <w:pPr>
        <w:spacing w:after="0" w:line="353" w:lineRule="exact"/>
        <w:rPr>
          <w:sz w:val="20"/>
          <w:szCs w:val="20"/>
          <w:color w:val="auto"/>
        </w:rPr>
      </w:pPr>
    </w:p>
    <w:p>
      <w:pPr>
        <w:ind w:left="200" w:hanging="192"/>
        <w:spacing w:after="0"/>
        <w:tabs>
          <w:tab w:leader="none" w:pos="200" w:val="left"/>
        </w:tabs>
        <w:numPr>
          <w:ilvl w:val="0"/>
          <w:numId w:val="57"/>
        </w:numPr>
        <w:rPr>
          <w:rFonts w:ascii="Arial" w:cs="Arial" w:eastAsia="Arial" w:hAnsi="Arial"/>
          <w:sz w:val="19"/>
          <w:szCs w:val="19"/>
          <w:color w:val="auto"/>
          <w:vertAlign w:val="superscript"/>
        </w:rPr>
      </w:pPr>
      <w:r>
        <w:rPr>
          <w:rFonts w:ascii="Arial" w:cs="Arial" w:eastAsia="Arial" w:hAnsi="Arial"/>
          <w:sz w:val="14"/>
          <w:szCs w:val="14"/>
          <w:color w:val="auto"/>
        </w:rPr>
        <w:t>The amounts included in the All Other Compensation column are described in the table below.</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4000" w:type="dxa"/>
            <w:vAlign w:val="bottom"/>
            <w:shd w:val="clear" w:color="auto" w:fill="ECEBEB"/>
          </w:tcPr>
          <w:p>
            <w:pPr>
              <w:spacing w:after="0"/>
              <w:rPr>
                <w:sz w:val="18"/>
                <w:szCs w:val="18"/>
                <w:color w:val="auto"/>
              </w:rPr>
            </w:pPr>
          </w:p>
        </w:tc>
        <w:tc>
          <w:tcPr>
            <w:tcW w:w="3280" w:type="dxa"/>
            <w:vAlign w:val="bottom"/>
            <w:shd w:val="clear" w:color="auto" w:fill="ECEBEB"/>
          </w:tcPr>
          <w:p>
            <w:pPr>
              <w:jc w:val="right"/>
              <w:ind w:right="130"/>
              <w:spacing w:after="0"/>
              <w:rPr>
                <w:sz w:val="20"/>
                <w:szCs w:val="20"/>
                <w:color w:val="auto"/>
              </w:rPr>
            </w:pPr>
            <w:r>
              <w:rPr>
                <w:rFonts w:ascii="Arial" w:cs="Arial" w:eastAsia="Arial" w:hAnsi="Arial"/>
                <w:sz w:val="13"/>
                <w:szCs w:val="13"/>
                <w:b w:val="1"/>
                <w:bCs w:val="1"/>
                <w:color w:val="auto"/>
              </w:rPr>
              <w:t>Company</w:t>
            </w:r>
          </w:p>
        </w:tc>
        <w:tc>
          <w:tcPr>
            <w:tcW w:w="840" w:type="dxa"/>
            <w:vAlign w:val="bottom"/>
            <w:shd w:val="clear" w:color="auto" w:fill="ECEBEB"/>
          </w:tcPr>
          <w:p>
            <w:pPr>
              <w:spacing w:after="0"/>
              <w:rPr>
                <w:sz w:val="18"/>
                <w:szCs w:val="18"/>
                <w:color w:val="auto"/>
              </w:rPr>
            </w:pPr>
          </w:p>
        </w:tc>
        <w:tc>
          <w:tcPr>
            <w:tcW w:w="740" w:type="dxa"/>
            <w:vAlign w:val="bottom"/>
            <w:shd w:val="clear" w:color="auto" w:fill="ECEBEB"/>
          </w:tcPr>
          <w:p>
            <w:pPr>
              <w:spacing w:after="0"/>
              <w:rPr>
                <w:sz w:val="18"/>
                <w:szCs w:val="18"/>
                <w:color w:val="auto"/>
              </w:rPr>
            </w:pPr>
          </w:p>
        </w:tc>
      </w:tr>
      <w:tr>
        <w:trPr>
          <w:trHeight w:val="149"/>
        </w:trPr>
        <w:tc>
          <w:tcPr>
            <w:tcW w:w="4000" w:type="dxa"/>
            <w:vAlign w:val="bottom"/>
            <w:shd w:val="clear" w:color="auto" w:fill="ECEBEB"/>
          </w:tcPr>
          <w:p>
            <w:pPr>
              <w:spacing w:after="0"/>
              <w:rPr>
                <w:sz w:val="12"/>
                <w:szCs w:val="12"/>
                <w:color w:val="auto"/>
              </w:rPr>
            </w:pPr>
          </w:p>
        </w:tc>
        <w:tc>
          <w:tcPr>
            <w:tcW w:w="3280" w:type="dxa"/>
            <w:vAlign w:val="bottom"/>
            <w:shd w:val="clear" w:color="auto" w:fill="ECEBEB"/>
          </w:tcPr>
          <w:p>
            <w:pPr>
              <w:jc w:val="right"/>
              <w:ind w:right="170"/>
              <w:spacing w:after="0"/>
              <w:rPr>
                <w:sz w:val="20"/>
                <w:szCs w:val="20"/>
                <w:color w:val="auto"/>
              </w:rPr>
            </w:pPr>
            <w:r>
              <w:rPr>
                <w:rFonts w:ascii="Arial" w:cs="Arial" w:eastAsia="Arial" w:hAnsi="Arial"/>
                <w:sz w:val="13"/>
                <w:szCs w:val="13"/>
                <w:b w:val="1"/>
                <w:bCs w:val="1"/>
                <w:color w:val="auto"/>
              </w:rPr>
              <w:t>Vehicle</w:t>
            </w:r>
          </w:p>
        </w:tc>
        <w:tc>
          <w:tcPr>
            <w:tcW w:w="840" w:type="dxa"/>
            <w:vAlign w:val="bottom"/>
            <w:shd w:val="clear" w:color="auto" w:fill="ECEBEB"/>
          </w:tcPr>
          <w:p>
            <w:pPr>
              <w:spacing w:after="0"/>
              <w:rPr>
                <w:sz w:val="12"/>
                <w:szCs w:val="12"/>
                <w:color w:val="auto"/>
              </w:rPr>
            </w:pPr>
          </w:p>
        </w:tc>
        <w:tc>
          <w:tcPr>
            <w:tcW w:w="740" w:type="dxa"/>
            <w:vAlign w:val="bottom"/>
            <w:shd w:val="clear" w:color="auto" w:fill="ECEBEB"/>
          </w:tcPr>
          <w:p>
            <w:pPr>
              <w:spacing w:after="0"/>
              <w:rPr>
                <w:sz w:val="12"/>
                <w:szCs w:val="12"/>
                <w:color w:val="auto"/>
              </w:rPr>
            </w:pPr>
          </w:p>
        </w:tc>
      </w:tr>
      <w:tr>
        <w:trPr>
          <w:trHeight w:val="162"/>
        </w:trPr>
        <w:tc>
          <w:tcPr>
            <w:tcW w:w="4000" w:type="dxa"/>
            <w:vAlign w:val="bottom"/>
            <w:shd w:val="clear" w:color="auto" w:fill="ECEBEB"/>
          </w:tcPr>
          <w:p>
            <w:pPr>
              <w:spacing w:after="0"/>
              <w:rPr>
                <w:sz w:val="14"/>
                <w:szCs w:val="14"/>
                <w:color w:val="auto"/>
              </w:rPr>
            </w:pPr>
          </w:p>
        </w:tc>
        <w:tc>
          <w:tcPr>
            <w:tcW w:w="3280" w:type="dxa"/>
            <w:vAlign w:val="bottom"/>
            <w:shd w:val="clear" w:color="auto" w:fill="ECEBEB"/>
          </w:tcPr>
          <w:p>
            <w:pPr>
              <w:jc w:val="right"/>
              <w:ind w:right="170"/>
              <w:spacing w:after="0" w:line="162" w:lineRule="exact"/>
              <w:rPr>
                <w:sz w:val="20"/>
                <w:szCs w:val="20"/>
                <w:color w:val="auto"/>
              </w:rPr>
            </w:pPr>
            <w:r>
              <w:rPr>
                <w:rFonts w:ascii="Arial" w:cs="Arial" w:eastAsia="Arial" w:hAnsi="Arial"/>
                <w:sz w:val="13"/>
                <w:szCs w:val="13"/>
                <w:b w:val="1"/>
                <w:bCs w:val="1"/>
                <w:color w:val="auto"/>
              </w:rPr>
              <w:t>Program</w:t>
            </w:r>
            <w:r>
              <w:rPr>
                <w:rFonts w:ascii="Arial" w:cs="Arial" w:eastAsia="Arial" w:hAnsi="Arial"/>
                <w:sz w:val="16"/>
                <w:szCs w:val="16"/>
                <w:b w:val="1"/>
                <w:bCs w:val="1"/>
                <w:color w:val="auto"/>
                <w:vertAlign w:val="superscript"/>
              </w:rPr>
              <w:t>(a)</w:t>
            </w:r>
          </w:p>
        </w:tc>
        <w:tc>
          <w:tcPr>
            <w:tcW w:w="840" w:type="dxa"/>
            <w:vAlign w:val="bottom"/>
            <w:shd w:val="clear" w:color="auto" w:fill="ECEBEB"/>
          </w:tcPr>
          <w:p>
            <w:pPr>
              <w:jc w:val="right"/>
              <w:ind w:right="129"/>
              <w:spacing w:after="0" w:line="162" w:lineRule="exact"/>
              <w:rPr>
                <w:sz w:val="20"/>
                <w:szCs w:val="20"/>
                <w:color w:val="auto"/>
              </w:rPr>
            </w:pPr>
            <w:r>
              <w:rPr>
                <w:rFonts w:ascii="Arial" w:cs="Arial" w:eastAsia="Arial" w:hAnsi="Arial"/>
                <w:sz w:val="13"/>
                <w:szCs w:val="13"/>
                <w:b w:val="1"/>
                <w:bCs w:val="1"/>
                <w:color w:val="auto"/>
              </w:rPr>
              <w:t>Other</w:t>
            </w:r>
            <w:r>
              <w:rPr>
                <w:rFonts w:ascii="Arial" w:cs="Arial" w:eastAsia="Arial" w:hAnsi="Arial"/>
                <w:sz w:val="16"/>
                <w:szCs w:val="16"/>
                <w:b w:val="1"/>
                <w:bCs w:val="1"/>
                <w:color w:val="auto"/>
                <w:vertAlign w:val="superscript"/>
              </w:rPr>
              <w:t>(b)</w:t>
            </w:r>
          </w:p>
        </w:tc>
        <w:tc>
          <w:tcPr>
            <w:tcW w:w="740" w:type="dxa"/>
            <w:vAlign w:val="bottom"/>
            <w:shd w:val="clear" w:color="auto" w:fill="ECEBEB"/>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6"/>
        </w:trPr>
        <w:tc>
          <w:tcPr>
            <w:tcW w:w="400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3"/>
                <w:szCs w:val="13"/>
                <w:b w:val="1"/>
                <w:bCs w:val="1"/>
                <w:color w:val="auto"/>
              </w:rPr>
              <w:t>Director</w:t>
            </w:r>
          </w:p>
        </w:tc>
        <w:tc>
          <w:tcPr>
            <w:tcW w:w="3280" w:type="dxa"/>
            <w:vAlign w:val="bottom"/>
            <w:tcBorders>
              <w:bottom w:val="single" w:sz="8" w:color="0956FF"/>
            </w:tcBorders>
            <w:shd w:val="clear" w:color="auto" w:fill="ECEBEB"/>
          </w:tcPr>
          <w:p>
            <w:pPr>
              <w:jc w:val="right"/>
              <w:ind w:right="170"/>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0956FF"/>
            </w:tcBorders>
            <w:shd w:val="clear" w:color="auto" w:fill="ECEBEB"/>
          </w:tcPr>
          <w:p>
            <w:pPr>
              <w:jc w:val="right"/>
              <w:ind w:right="149"/>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w:t>
            </w:r>
          </w:p>
        </w:tc>
      </w:tr>
      <w:tr>
        <w:trPr>
          <w:trHeight w:val="232"/>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Wesley G. Bush</w:t>
            </w:r>
          </w:p>
        </w:tc>
        <w:tc>
          <w:tcPr>
            <w:tcW w:w="3280" w:type="dxa"/>
            <w:vAlign w:val="bottom"/>
            <w:tcBorders>
              <w:bottom w:val="single" w:sz="8" w:color="D8D7D7"/>
            </w:tcBorders>
          </w:tcPr>
          <w:p>
            <w:pPr>
              <w:jc w:val="right"/>
              <w:ind w:right="210"/>
              <w:spacing w:after="0"/>
              <w:rPr>
                <w:sz w:val="20"/>
                <w:szCs w:val="20"/>
                <w:color w:val="auto"/>
              </w:rPr>
            </w:pPr>
            <w:r>
              <w:rPr>
                <w:rFonts w:ascii="Arial" w:cs="Arial" w:eastAsia="Arial" w:hAnsi="Arial"/>
                <w:sz w:val="14"/>
                <w:szCs w:val="14"/>
                <w:color w:val="auto"/>
              </w:rPr>
              <w:t>42,333</w:t>
            </w:r>
          </w:p>
        </w:tc>
        <w:tc>
          <w:tcPr>
            <w:tcW w:w="840" w:type="dxa"/>
            <w:vAlign w:val="bottom"/>
            <w:tcBorders>
              <w:bottom w:val="single" w:sz="8" w:color="D8D7D7"/>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D8D7D7"/>
            </w:tcBorders>
          </w:tcPr>
          <w:p>
            <w:pPr>
              <w:jc w:val="right"/>
              <w:ind w:right="9"/>
              <w:spacing w:after="0"/>
              <w:rPr>
                <w:sz w:val="20"/>
                <w:szCs w:val="20"/>
                <w:color w:val="auto"/>
              </w:rPr>
            </w:pPr>
            <w:r>
              <w:rPr>
                <w:rFonts w:ascii="Arial" w:cs="Arial" w:eastAsia="Arial" w:hAnsi="Arial"/>
                <w:sz w:val="14"/>
                <w:szCs w:val="14"/>
                <w:color w:val="auto"/>
              </w:rPr>
              <w:t>42,573</w:t>
            </w:r>
          </w:p>
        </w:tc>
      </w:tr>
      <w:tr>
        <w:trPr>
          <w:trHeight w:val="237"/>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Joanne C. Crevoiserat</w:t>
            </w:r>
          </w:p>
        </w:tc>
        <w:tc>
          <w:tcPr>
            <w:tcW w:w="3280" w:type="dxa"/>
            <w:vAlign w:val="bottom"/>
            <w:tcBorders>
              <w:bottom w:val="single" w:sz="8" w:color="D8D7D7"/>
            </w:tcBorders>
          </w:tcPr>
          <w:p>
            <w:pPr>
              <w:jc w:val="right"/>
              <w:ind w:right="190"/>
              <w:spacing w:after="0"/>
              <w:rPr>
                <w:sz w:val="20"/>
                <w:szCs w:val="20"/>
                <w:color w:val="auto"/>
              </w:rPr>
            </w:pPr>
            <w:r>
              <w:rPr>
                <w:rFonts w:ascii="Arial" w:cs="Arial" w:eastAsia="Arial" w:hAnsi="Arial"/>
                <w:sz w:val="14"/>
                <w:szCs w:val="14"/>
                <w:color w:val="auto"/>
              </w:rPr>
              <w:t>25,750</w:t>
            </w:r>
          </w:p>
        </w:tc>
        <w:tc>
          <w:tcPr>
            <w:tcW w:w="840" w:type="dxa"/>
            <w:vAlign w:val="bottom"/>
            <w:tcBorders>
              <w:bottom w:val="single" w:sz="8" w:color="D8D7D7"/>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D8D7D7"/>
            </w:tcBorders>
          </w:tcPr>
          <w:p>
            <w:pPr>
              <w:jc w:val="right"/>
              <w:ind w:right="9"/>
              <w:spacing w:after="0"/>
              <w:rPr>
                <w:sz w:val="20"/>
                <w:szCs w:val="20"/>
                <w:color w:val="auto"/>
              </w:rPr>
            </w:pPr>
            <w:r>
              <w:rPr>
                <w:rFonts w:ascii="Arial" w:cs="Arial" w:eastAsia="Arial" w:hAnsi="Arial"/>
                <w:sz w:val="14"/>
                <w:szCs w:val="14"/>
                <w:color w:val="auto"/>
              </w:rPr>
              <w:t>25,990</w:t>
            </w:r>
          </w:p>
        </w:tc>
      </w:tr>
      <w:tr>
        <w:trPr>
          <w:trHeight w:val="241"/>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Linda R. Gooden</w:t>
            </w:r>
            <w:r>
              <w:rPr>
                <w:rFonts w:ascii="Arial" w:cs="Arial" w:eastAsia="Arial" w:hAnsi="Arial"/>
                <w:sz w:val="18"/>
                <w:szCs w:val="18"/>
                <w:b w:val="1"/>
                <w:bCs w:val="1"/>
                <w:color w:val="0956FF"/>
                <w:vertAlign w:val="superscript"/>
              </w:rPr>
              <w:t>(4)</w:t>
            </w:r>
          </w:p>
        </w:tc>
        <w:tc>
          <w:tcPr>
            <w:tcW w:w="3280" w:type="dxa"/>
            <w:vAlign w:val="bottom"/>
            <w:tcBorders>
              <w:bottom w:val="single" w:sz="8" w:color="D8D7D7"/>
            </w:tcBorders>
          </w:tcPr>
          <w:p>
            <w:pPr>
              <w:jc w:val="right"/>
              <w:ind w:right="190"/>
              <w:spacing w:after="0"/>
              <w:rPr>
                <w:sz w:val="20"/>
                <w:szCs w:val="20"/>
                <w:color w:val="auto"/>
              </w:rPr>
            </w:pPr>
            <w:r>
              <w:rPr>
                <w:rFonts w:ascii="Arial" w:cs="Arial" w:eastAsia="Arial" w:hAnsi="Arial"/>
                <w:sz w:val="14"/>
                <w:szCs w:val="14"/>
                <w:color w:val="auto"/>
              </w:rPr>
              <w:t>25,750</w:t>
            </w:r>
          </w:p>
        </w:tc>
        <w:tc>
          <w:tcPr>
            <w:tcW w:w="840" w:type="dxa"/>
            <w:vAlign w:val="bottom"/>
            <w:tcBorders>
              <w:bottom w:val="single" w:sz="8" w:color="D8D7D7"/>
            </w:tcBorders>
          </w:tcPr>
          <w:p>
            <w:pPr>
              <w:jc w:val="right"/>
              <w:ind w:right="149"/>
              <w:spacing w:after="0"/>
              <w:rPr>
                <w:sz w:val="20"/>
                <w:szCs w:val="20"/>
                <w:color w:val="auto"/>
              </w:rPr>
            </w:pPr>
            <w:r>
              <w:rPr>
                <w:rFonts w:ascii="Arial" w:cs="Arial" w:eastAsia="Arial" w:hAnsi="Arial"/>
                <w:sz w:val="14"/>
                <w:szCs w:val="14"/>
                <w:color w:val="auto"/>
              </w:rPr>
              <w:t>120</w:t>
            </w:r>
          </w:p>
        </w:tc>
        <w:tc>
          <w:tcPr>
            <w:tcW w:w="740" w:type="dxa"/>
            <w:vAlign w:val="bottom"/>
            <w:tcBorders>
              <w:bottom w:val="single" w:sz="8" w:color="D8D7D7"/>
            </w:tcBorders>
          </w:tcPr>
          <w:p>
            <w:pPr>
              <w:jc w:val="right"/>
              <w:ind w:right="9"/>
              <w:spacing w:after="0"/>
              <w:rPr>
                <w:sz w:val="20"/>
                <w:szCs w:val="20"/>
                <w:color w:val="auto"/>
              </w:rPr>
            </w:pPr>
            <w:r>
              <w:rPr>
                <w:rFonts w:ascii="Arial" w:cs="Arial" w:eastAsia="Arial" w:hAnsi="Arial"/>
                <w:sz w:val="14"/>
                <w:szCs w:val="14"/>
                <w:color w:val="auto"/>
              </w:rPr>
              <w:t>25,870</w:t>
            </w:r>
          </w:p>
        </w:tc>
      </w:tr>
      <w:tr>
        <w:trPr>
          <w:trHeight w:val="233"/>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Joseph Jimenez</w:t>
            </w:r>
          </w:p>
        </w:tc>
        <w:tc>
          <w:tcPr>
            <w:tcW w:w="3280" w:type="dxa"/>
            <w:vAlign w:val="bottom"/>
            <w:tcBorders>
              <w:bottom w:val="single" w:sz="8" w:color="D8D7D7"/>
            </w:tcBorders>
          </w:tcPr>
          <w:p>
            <w:pPr>
              <w:jc w:val="right"/>
              <w:ind w:right="230"/>
              <w:spacing w:after="0"/>
              <w:rPr>
                <w:sz w:val="20"/>
                <w:szCs w:val="20"/>
                <w:color w:val="auto"/>
              </w:rPr>
            </w:pPr>
            <w:r>
              <w:rPr>
                <w:rFonts w:ascii="Arial" w:cs="Arial" w:eastAsia="Arial" w:hAnsi="Arial"/>
                <w:sz w:val="14"/>
                <w:szCs w:val="14"/>
                <w:color w:val="auto"/>
              </w:rPr>
              <w:t>40,500</w:t>
            </w:r>
          </w:p>
        </w:tc>
        <w:tc>
          <w:tcPr>
            <w:tcW w:w="840" w:type="dxa"/>
            <w:vAlign w:val="bottom"/>
            <w:tcBorders>
              <w:bottom w:val="single" w:sz="8" w:color="D8D7D7"/>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D8D7D7"/>
            </w:tcBorders>
          </w:tcPr>
          <w:p>
            <w:pPr>
              <w:jc w:val="right"/>
              <w:ind w:right="29"/>
              <w:spacing w:after="0"/>
              <w:rPr>
                <w:sz w:val="20"/>
                <w:szCs w:val="20"/>
                <w:color w:val="auto"/>
              </w:rPr>
            </w:pPr>
            <w:r>
              <w:rPr>
                <w:rFonts w:ascii="Arial" w:cs="Arial" w:eastAsia="Arial" w:hAnsi="Arial"/>
                <w:sz w:val="14"/>
                <w:szCs w:val="14"/>
                <w:color w:val="auto"/>
              </w:rPr>
              <w:t>40,740</w:t>
            </w:r>
          </w:p>
        </w:tc>
      </w:tr>
      <w:tr>
        <w:trPr>
          <w:trHeight w:val="237"/>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Alfred F. Kelly, Jr.</w:t>
            </w:r>
          </w:p>
        </w:tc>
        <w:tc>
          <w:tcPr>
            <w:tcW w:w="3280" w:type="dxa"/>
            <w:vAlign w:val="bottom"/>
            <w:tcBorders>
              <w:bottom w:val="single" w:sz="8" w:color="D8D7D7"/>
            </w:tcBorders>
          </w:tcPr>
          <w:p>
            <w:pPr>
              <w:jc w:val="right"/>
              <w:ind w:right="170"/>
              <w:spacing w:after="0"/>
              <w:rPr>
                <w:sz w:val="20"/>
                <w:szCs w:val="20"/>
                <w:color w:val="auto"/>
              </w:rPr>
            </w:pPr>
            <w:r>
              <w:rPr>
                <w:rFonts w:ascii="Arial" w:cs="Arial" w:eastAsia="Arial" w:hAnsi="Arial"/>
                <w:sz w:val="14"/>
                <w:szCs w:val="14"/>
                <w:color w:val="auto"/>
              </w:rPr>
              <w:t>17,292</w:t>
            </w:r>
          </w:p>
        </w:tc>
        <w:tc>
          <w:tcPr>
            <w:tcW w:w="840" w:type="dxa"/>
            <w:vAlign w:val="bottom"/>
            <w:tcBorders>
              <w:bottom w:val="single" w:sz="8" w:color="D8D7D7"/>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D8D7D7"/>
            </w:tcBorders>
          </w:tcPr>
          <w:p>
            <w:pPr>
              <w:jc w:val="right"/>
              <w:spacing w:after="0"/>
              <w:rPr>
                <w:sz w:val="20"/>
                <w:szCs w:val="20"/>
                <w:color w:val="auto"/>
              </w:rPr>
            </w:pPr>
            <w:r>
              <w:rPr>
                <w:rFonts w:ascii="Arial" w:cs="Arial" w:eastAsia="Arial" w:hAnsi="Arial"/>
                <w:sz w:val="14"/>
                <w:szCs w:val="14"/>
                <w:color w:val="auto"/>
              </w:rPr>
              <w:t>17,532</w:t>
            </w:r>
          </w:p>
        </w:tc>
      </w:tr>
      <w:tr>
        <w:trPr>
          <w:trHeight w:val="236"/>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Jonathan McNeill</w:t>
            </w:r>
          </w:p>
        </w:tc>
        <w:tc>
          <w:tcPr>
            <w:tcW w:w="3280" w:type="dxa"/>
            <w:vAlign w:val="bottom"/>
            <w:tcBorders>
              <w:bottom w:val="single" w:sz="8" w:color="D8D7D7"/>
            </w:tcBorders>
          </w:tcPr>
          <w:p>
            <w:pPr>
              <w:jc w:val="right"/>
              <w:ind w:right="190"/>
              <w:spacing w:after="0"/>
              <w:rPr>
                <w:sz w:val="20"/>
                <w:szCs w:val="20"/>
                <w:color w:val="auto"/>
              </w:rPr>
            </w:pPr>
            <w:r>
              <w:rPr>
                <w:rFonts w:ascii="Arial" w:cs="Arial" w:eastAsia="Arial" w:hAnsi="Arial"/>
                <w:sz w:val="14"/>
                <w:szCs w:val="14"/>
                <w:color w:val="auto"/>
              </w:rPr>
              <w:t>37,208</w:t>
            </w:r>
          </w:p>
        </w:tc>
        <w:tc>
          <w:tcPr>
            <w:tcW w:w="840" w:type="dxa"/>
            <w:vAlign w:val="bottom"/>
            <w:tcBorders>
              <w:bottom w:val="single" w:sz="8" w:color="D8D7D7"/>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D8D7D7"/>
            </w:tcBorders>
          </w:tcPr>
          <w:p>
            <w:pPr>
              <w:jc w:val="right"/>
              <w:ind w:right="9"/>
              <w:spacing w:after="0"/>
              <w:rPr>
                <w:sz w:val="20"/>
                <w:szCs w:val="20"/>
                <w:color w:val="auto"/>
              </w:rPr>
            </w:pPr>
            <w:r>
              <w:rPr>
                <w:rFonts w:ascii="Arial" w:cs="Arial" w:eastAsia="Arial" w:hAnsi="Arial"/>
                <w:sz w:val="14"/>
                <w:szCs w:val="14"/>
                <w:color w:val="auto"/>
              </w:rPr>
              <w:t>37,448</w:t>
            </w:r>
          </w:p>
        </w:tc>
      </w:tr>
      <w:tr>
        <w:trPr>
          <w:trHeight w:val="237"/>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Judith A. Miscik</w:t>
            </w:r>
          </w:p>
        </w:tc>
        <w:tc>
          <w:tcPr>
            <w:tcW w:w="3280" w:type="dxa"/>
            <w:vAlign w:val="bottom"/>
            <w:tcBorders>
              <w:bottom w:val="single" w:sz="8" w:color="D8D7D7"/>
            </w:tcBorders>
          </w:tcPr>
          <w:p>
            <w:pPr>
              <w:jc w:val="right"/>
              <w:ind w:right="170"/>
              <w:spacing w:after="0"/>
              <w:rPr>
                <w:sz w:val="20"/>
                <w:szCs w:val="20"/>
                <w:color w:val="auto"/>
              </w:rPr>
            </w:pPr>
            <w:r>
              <w:rPr>
                <w:rFonts w:ascii="Arial" w:cs="Arial" w:eastAsia="Arial" w:hAnsi="Arial"/>
                <w:sz w:val="14"/>
                <w:szCs w:val="14"/>
                <w:color w:val="auto"/>
              </w:rPr>
              <w:t>23,813</w:t>
            </w:r>
          </w:p>
        </w:tc>
        <w:tc>
          <w:tcPr>
            <w:tcW w:w="840" w:type="dxa"/>
            <w:vAlign w:val="bottom"/>
            <w:tcBorders>
              <w:bottom w:val="single" w:sz="8" w:color="D8D7D7"/>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D8D7D7"/>
            </w:tcBorders>
          </w:tcPr>
          <w:p>
            <w:pPr>
              <w:jc w:val="right"/>
              <w:ind w:right="29"/>
              <w:spacing w:after="0"/>
              <w:rPr>
                <w:sz w:val="20"/>
                <w:szCs w:val="20"/>
                <w:color w:val="auto"/>
              </w:rPr>
            </w:pPr>
            <w:r>
              <w:rPr>
                <w:rFonts w:ascii="Arial" w:cs="Arial" w:eastAsia="Arial" w:hAnsi="Arial"/>
                <w:sz w:val="14"/>
                <w:szCs w:val="14"/>
                <w:color w:val="auto"/>
              </w:rPr>
              <w:t>24,053</w:t>
            </w:r>
          </w:p>
        </w:tc>
      </w:tr>
      <w:tr>
        <w:trPr>
          <w:trHeight w:val="237"/>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Patricia F. Russo</w:t>
            </w:r>
          </w:p>
        </w:tc>
        <w:tc>
          <w:tcPr>
            <w:tcW w:w="3280" w:type="dxa"/>
            <w:vAlign w:val="bottom"/>
            <w:tcBorders>
              <w:bottom w:val="single" w:sz="8" w:color="D8D7D7"/>
            </w:tcBorders>
          </w:tcPr>
          <w:p>
            <w:pPr>
              <w:jc w:val="right"/>
              <w:ind w:right="150"/>
              <w:spacing w:after="0"/>
              <w:rPr>
                <w:sz w:val="20"/>
                <w:szCs w:val="20"/>
                <w:color w:val="auto"/>
              </w:rPr>
            </w:pPr>
            <w:r>
              <w:rPr>
                <w:rFonts w:ascii="Arial" w:cs="Arial" w:eastAsia="Arial" w:hAnsi="Arial"/>
                <w:sz w:val="14"/>
                <w:szCs w:val="14"/>
                <w:color w:val="auto"/>
              </w:rPr>
              <w:t>19,375</w:t>
            </w:r>
          </w:p>
        </w:tc>
        <w:tc>
          <w:tcPr>
            <w:tcW w:w="840" w:type="dxa"/>
            <w:vAlign w:val="bottom"/>
            <w:tcBorders>
              <w:bottom w:val="single" w:sz="8" w:color="D8D7D7"/>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D8D7D7"/>
            </w:tcBorders>
          </w:tcPr>
          <w:p>
            <w:pPr>
              <w:jc w:val="right"/>
              <w:spacing w:after="0"/>
              <w:rPr>
                <w:sz w:val="20"/>
                <w:szCs w:val="20"/>
                <w:color w:val="auto"/>
              </w:rPr>
            </w:pPr>
            <w:r>
              <w:rPr>
                <w:rFonts w:ascii="Arial" w:cs="Arial" w:eastAsia="Arial" w:hAnsi="Arial"/>
                <w:sz w:val="14"/>
                <w:szCs w:val="14"/>
                <w:color w:val="auto"/>
              </w:rPr>
              <w:t>19,615</w:t>
            </w:r>
          </w:p>
        </w:tc>
      </w:tr>
      <w:tr>
        <w:trPr>
          <w:trHeight w:val="241"/>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Thomas M. Schoewe</w:t>
            </w:r>
            <w:r>
              <w:rPr>
                <w:rFonts w:ascii="Arial" w:cs="Arial" w:eastAsia="Arial" w:hAnsi="Arial"/>
                <w:sz w:val="18"/>
                <w:szCs w:val="18"/>
                <w:b w:val="1"/>
                <w:bCs w:val="1"/>
                <w:color w:val="0956FF"/>
                <w:vertAlign w:val="superscript"/>
              </w:rPr>
              <w:t>(5)</w:t>
            </w:r>
          </w:p>
        </w:tc>
        <w:tc>
          <w:tcPr>
            <w:tcW w:w="3280" w:type="dxa"/>
            <w:vAlign w:val="bottom"/>
            <w:tcBorders>
              <w:bottom w:val="single" w:sz="8" w:color="D8D7D7"/>
            </w:tcBorders>
          </w:tcPr>
          <w:p>
            <w:pPr>
              <w:jc w:val="right"/>
              <w:ind w:right="210"/>
              <w:spacing w:after="0"/>
              <w:rPr>
                <w:sz w:val="20"/>
                <w:szCs w:val="20"/>
                <w:color w:val="auto"/>
              </w:rPr>
            </w:pPr>
            <w:r>
              <w:rPr>
                <w:rFonts w:ascii="Arial" w:cs="Arial" w:eastAsia="Arial" w:hAnsi="Arial"/>
                <w:sz w:val="14"/>
                <w:szCs w:val="14"/>
                <w:color w:val="auto"/>
              </w:rPr>
              <w:t>38,250</w:t>
            </w:r>
          </w:p>
        </w:tc>
        <w:tc>
          <w:tcPr>
            <w:tcW w:w="840" w:type="dxa"/>
            <w:vAlign w:val="bottom"/>
            <w:tcBorders>
              <w:bottom w:val="single" w:sz="8" w:color="D8D7D7"/>
            </w:tcBorders>
          </w:tcPr>
          <w:p>
            <w:pPr>
              <w:jc w:val="right"/>
              <w:ind w:right="149"/>
              <w:spacing w:after="0"/>
              <w:rPr>
                <w:sz w:val="20"/>
                <w:szCs w:val="20"/>
                <w:color w:val="auto"/>
              </w:rPr>
            </w:pPr>
            <w:r>
              <w:rPr>
                <w:rFonts w:ascii="Arial" w:cs="Arial" w:eastAsia="Arial" w:hAnsi="Arial"/>
                <w:sz w:val="14"/>
                <w:szCs w:val="14"/>
                <w:color w:val="auto"/>
              </w:rPr>
              <w:t>120</w:t>
            </w:r>
          </w:p>
        </w:tc>
        <w:tc>
          <w:tcPr>
            <w:tcW w:w="740" w:type="dxa"/>
            <w:vAlign w:val="bottom"/>
            <w:tcBorders>
              <w:bottom w:val="single" w:sz="8" w:color="D8D7D7"/>
            </w:tcBorders>
          </w:tcPr>
          <w:p>
            <w:pPr>
              <w:jc w:val="right"/>
              <w:ind w:right="9"/>
              <w:spacing w:after="0"/>
              <w:rPr>
                <w:sz w:val="20"/>
                <w:szCs w:val="20"/>
                <w:color w:val="auto"/>
              </w:rPr>
            </w:pPr>
            <w:r>
              <w:rPr>
                <w:rFonts w:ascii="Arial" w:cs="Arial" w:eastAsia="Arial" w:hAnsi="Arial"/>
                <w:sz w:val="14"/>
                <w:szCs w:val="14"/>
                <w:color w:val="auto"/>
              </w:rPr>
              <w:t>38,370</w:t>
            </w:r>
          </w:p>
        </w:tc>
      </w:tr>
      <w:tr>
        <w:trPr>
          <w:trHeight w:val="232"/>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Mark A. Tatum</w:t>
            </w:r>
          </w:p>
        </w:tc>
        <w:tc>
          <w:tcPr>
            <w:tcW w:w="3280" w:type="dxa"/>
            <w:vAlign w:val="bottom"/>
            <w:tcBorders>
              <w:bottom w:val="single" w:sz="8" w:color="D8D7D7"/>
            </w:tcBorders>
          </w:tcPr>
          <w:p>
            <w:pPr>
              <w:jc w:val="right"/>
              <w:ind w:right="210"/>
              <w:spacing w:after="0"/>
              <w:rPr>
                <w:sz w:val="20"/>
                <w:szCs w:val="20"/>
                <w:color w:val="auto"/>
              </w:rPr>
            </w:pPr>
            <w:r>
              <w:rPr>
                <w:rFonts w:ascii="Arial" w:cs="Arial" w:eastAsia="Arial" w:hAnsi="Arial"/>
                <w:sz w:val="14"/>
                <w:szCs w:val="14"/>
                <w:color w:val="auto"/>
              </w:rPr>
              <w:t>45,500</w:t>
            </w:r>
          </w:p>
        </w:tc>
        <w:tc>
          <w:tcPr>
            <w:tcW w:w="840" w:type="dxa"/>
            <w:vAlign w:val="bottom"/>
            <w:tcBorders>
              <w:bottom w:val="single" w:sz="8" w:color="D8D7D7"/>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D8D7D7"/>
            </w:tcBorders>
          </w:tcPr>
          <w:p>
            <w:pPr>
              <w:jc w:val="right"/>
              <w:ind w:right="9"/>
              <w:spacing w:after="0"/>
              <w:rPr>
                <w:sz w:val="20"/>
                <w:szCs w:val="20"/>
                <w:color w:val="auto"/>
              </w:rPr>
            </w:pPr>
            <w:r>
              <w:rPr>
                <w:rFonts w:ascii="Arial" w:cs="Arial" w:eastAsia="Arial" w:hAnsi="Arial"/>
                <w:sz w:val="14"/>
                <w:szCs w:val="14"/>
                <w:color w:val="auto"/>
              </w:rPr>
              <w:t>45,740</w:t>
            </w:r>
          </w:p>
        </w:tc>
      </w:tr>
      <w:tr>
        <w:trPr>
          <w:trHeight w:val="237"/>
        </w:trPr>
        <w:tc>
          <w:tcPr>
            <w:tcW w:w="400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0956FF"/>
              </w:rPr>
              <w:t>Jan E. Tighe</w:t>
            </w:r>
          </w:p>
        </w:tc>
        <w:tc>
          <w:tcPr>
            <w:tcW w:w="3280" w:type="dxa"/>
            <w:vAlign w:val="bottom"/>
            <w:tcBorders>
              <w:bottom w:val="single" w:sz="8" w:color="D8D7D7"/>
            </w:tcBorders>
          </w:tcPr>
          <w:p>
            <w:pPr>
              <w:jc w:val="right"/>
              <w:ind w:right="230"/>
              <w:spacing w:after="0"/>
              <w:rPr>
                <w:sz w:val="20"/>
                <w:szCs w:val="20"/>
                <w:color w:val="auto"/>
              </w:rPr>
            </w:pPr>
            <w:r>
              <w:rPr>
                <w:rFonts w:ascii="Arial" w:cs="Arial" w:eastAsia="Arial" w:hAnsi="Arial"/>
                <w:sz w:val="14"/>
                <w:szCs w:val="14"/>
                <w:color w:val="auto"/>
              </w:rPr>
              <w:t>45,000</w:t>
            </w:r>
          </w:p>
        </w:tc>
        <w:tc>
          <w:tcPr>
            <w:tcW w:w="840" w:type="dxa"/>
            <w:vAlign w:val="bottom"/>
            <w:tcBorders>
              <w:bottom w:val="single" w:sz="8" w:color="D8D7D7"/>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D8D7D7"/>
            </w:tcBorders>
          </w:tcPr>
          <w:p>
            <w:pPr>
              <w:jc w:val="right"/>
              <w:ind w:right="29"/>
              <w:spacing w:after="0"/>
              <w:rPr>
                <w:sz w:val="20"/>
                <w:szCs w:val="20"/>
                <w:color w:val="auto"/>
              </w:rPr>
            </w:pPr>
            <w:r>
              <w:rPr>
                <w:rFonts w:ascii="Arial" w:cs="Arial" w:eastAsia="Arial" w:hAnsi="Arial"/>
                <w:sz w:val="14"/>
                <w:szCs w:val="14"/>
                <w:color w:val="auto"/>
              </w:rPr>
              <w:t>45,240</w:t>
            </w:r>
          </w:p>
        </w:tc>
      </w:tr>
      <w:tr>
        <w:trPr>
          <w:trHeight w:val="237"/>
        </w:trPr>
        <w:tc>
          <w:tcPr>
            <w:tcW w:w="4000" w:type="dxa"/>
            <w:vAlign w:val="bottom"/>
            <w:tcBorders>
              <w:bottom w:val="single" w:sz="8" w:color="0956FF"/>
            </w:tcBorders>
          </w:tcPr>
          <w:p>
            <w:pPr>
              <w:ind w:left="60"/>
              <w:spacing w:after="0"/>
              <w:rPr>
                <w:sz w:val="20"/>
                <w:szCs w:val="20"/>
                <w:color w:val="auto"/>
              </w:rPr>
            </w:pPr>
            <w:r>
              <w:rPr>
                <w:rFonts w:ascii="Arial" w:cs="Arial" w:eastAsia="Arial" w:hAnsi="Arial"/>
                <w:sz w:val="14"/>
                <w:szCs w:val="14"/>
                <w:b w:val="1"/>
                <w:bCs w:val="1"/>
                <w:color w:val="0956FF"/>
              </w:rPr>
              <w:t>Devin N. Wenig</w:t>
            </w:r>
          </w:p>
        </w:tc>
        <w:tc>
          <w:tcPr>
            <w:tcW w:w="3280" w:type="dxa"/>
            <w:vAlign w:val="bottom"/>
            <w:tcBorders>
              <w:bottom w:val="single" w:sz="8" w:color="0956FF"/>
            </w:tcBorders>
          </w:tcPr>
          <w:p>
            <w:pPr>
              <w:jc w:val="right"/>
              <w:ind w:right="190"/>
              <w:spacing w:after="0"/>
              <w:rPr>
                <w:sz w:val="20"/>
                <w:szCs w:val="20"/>
                <w:color w:val="auto"/>
              </w:rPr>
            </w:pPr>
            <w:r>
              <w:rPr>
                <w:rFonts w:ascii="Arial" w:cs="Arial" w:eastAsia="Arial" w:hAnsi="Arial"/>
                <w:sz w:val="14"/>
                <w:szCs w:val="14"/>
                <w:color w:val="auto"/>
              </w:rPr>
              <w:t>37,396</w:t>
            </w:r>
          </w:p>
        </w:tc>
        <w:tc>
          <w:tcPr>
            <w:tcW w:w="840" w:type="dxa"/>
            <w:vAlign w:val="bottom"/>
            <w:tcBorders>
              <w:bottom w:val="single" w:sz="8" w:color="0956FF"/>
            </w:tcBorders>
          </w:tcPr>
          <w:p>
            <w:pPr>
              <w:jc w:val="right"/>
              <w:ind w:right="189"/>
              <w:spacing w:after="0"/>
              <w:rPr>
                <w:sz w:val="20"/>
                <w:szCs w:val="20"/>
                <w:color w:val="auto"/>
              </w:rPr>
            </w:pPr>
            <w:r>
              <w:rPr>
                <w:rFonts w:ascii="Arial" w:cs="Arial" w:eastAsia="Arial" w:hAnsi="Arial"/>
                <w:sz w:val="14"/>
                <w:szCs w:val="14"/>
                <w:color w:val="auto"/>
              </w:rPr>
              <w:t>240</w:t>
            </w:r>
          </w:p>
        </w:tc>
        <w:tc>
          <w:tcPr>
            <w:tcW w:w="740" w:type="dxa"/>
            <w:vAlign w:val="bottom"/>
            <w:tcBorders>
              <w:bottom w:val="single" w:sz="8" w:color="0956FF"/>
            </w:tcBorders>
          </w:tcPr>
          <w:p>
            <w:pPr>
              <w:jc w:val="right"/>
              <w:spacing w:after="0"/>
              <w:rPr>
                <w:sz w:val="20"/>
                <w:szCs w:val="20"/>
                <w:color w:val="auto"/>
              </w:rPr>
            </w:pPr>
            <w:r>
              <w:rPr>
                <w:rFonts w:ascii="Arial" w:cs="Arial" w:eastAsia="Arial" w:hAnsi="Arial"/>
                <w:sz w:val="14"/>
                <w:szCs w:val="14"/>
                <w:color w:val="auto"/>
              </w:rPr>
              <w:t>37,636</w:t>
            </w:r>
          </w:p>
        </w:tc>
      </w:tr>
    </w:tbl>
    <w:p>
      <w:pPr>
        <w:spacing w:after="0" w:line="112" w:lineRule="exact"/>
        <w:rPr>
          <w:sz w:val="20"/>
          <w:szCs w:val="20"/>
          <w:color w:val="auto"/>
        </w:rPr>
      </w:pPr>
    </w:p>
    <w:p>
      <w:pPr>
        <w:ind w:left="400" w:right="100" w:hanging="198"/>
        <w:spacing w:after="0" w:line="257" w:lineRule="auto"/>
        <w:tabs>
          <w:tab w:leader="none" w:pos="400" w:val="left"/>
        </w:tabs>
        <w:numPr>
          <w:ilvl w:val="1"/>
          <w:numId w:val="58"/>
        </w:numPr>
        <w:rPr>
          <w:rFonts w:ascii="Arial" w:cs="Arial" w:eastAsia="Arial" w:hAnsi="Arial"/>
          <w:sz w:val="19"/>
          <w:szCs w:val="19"/>
          <w:color w:val="auto"/>
          <w:vertAlign w:val="superscript"/>
        </w:rPr>
      </w:pPr>
      <w:r>
        <w:rPr>
          <w:rFonts w:ascii="Arial" w:cs="Arial" w:eastAsia="Arial" w:hAnsi="Arial"/>
          <w:sz w:val="14"/>
          <w:szCs w:val="14"/>
          <w:color w:val="auto"/>
        </w:rPr>
        <w:t>The Company Vehicle Program includes the estimated annual lease value of the Company vehicles driven by directors and if applicable installation cost for an EV charger. For Company vehicles, we include the annual lease value, which is more reflective of the value of the Company vehicle perquisite than the Company’s incremental costs. Taxes related to imputed income are the responsibility of the director.</w:t>
      </w:r>
    </w:p>
    <w:p>
      <w:pPr>
        <w:spacing w:after="0" w:line="231" w:lineRule="exact"/>
        <w:rPr>
          <w:rFonts w:ascii="Arial" w:cs="Arial" w:eastAsia="Arial" w:hAnsi="Arial"/>
          <w:sz w:val="19"/>
          <w:szCs w:val="19"/>
          <w:color w:val="auto"/>
          <w:vertAlign w:val="superscript"/>
        </w:rPr>
      </w:pPr>
    </w:p>
    <w:p>
      <w:pPr>
        <w:ind w:left="400" w:right="480" w:hanging="198"/>
        <w:spacing w:after="0" w:line="239" w:lineRule="auto"/>
        <w:tabs>
          <w:tab w:leader="none" w:pos="400" w:val="left"/>
        </w:tabs>
        <w:numPr>
          <w:ilvl w:val="1"/>
          <w:numId w:val="58"/>
        </w:numPr>
        <w:rPr>
          <w:rFonts w:ascii="Arial" w:cs="Arial" w:eastAsia="Arial" w:hAnsi="Arial"/>
          <w:sz w:val="19"/>
          <w:szCs w:val="19"/>
          <w:color w:val="auto"/>
          <w:vertAlign w:val="superscript"/>
        </w:rPr>
      </w:pPr>
      <w:r>
        <w:rPr>
          <w:rFonts w:ascii="Arial" w:cs="Arial" w:eastAsia="Arial" w:hAnsi="Arial"/>
          <w:sz w:val="14"/>
          <w:szCs w:val="14"/>
          <w:color w:val="auto"/>
        </w:rPr>
        <w:t>Reflects the cost of premiums for providing personal accident insurance (annual premium cost of $240 per person is prorated, as applicable, for the period of service).</w:t>
      </w:r>
    </w:p>
    <w:p>
      <w:pPr>
        <w:spacing w:after="0" w:line="120"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Ms. Gooden retired from the Board on June 3, 2025.</w:t>
      </w:r>
    </w:p>
    <w:p>
      <w:pPr>
        <w:spacing w:after="0" w:line="57" w:lineRule="exact"/>
        <w:rPr>
          <w:rFonts w:ascii="Arial" w:cs="Arial" w:eastAsia="Arial" w:hAnsi="Arial"/>
          <w:sz w:val="19"/>
          <w:szCs w:val="19"/>
          <w:color w:val="auto"/>
          <w:vertAlign w:val="superscript"/>
        </w:rPr>
      </w:pPr>
    </w:p>
    <w:p>
      <w:pPr>
        <w:ind w:left="200" w:hanging="192"/>
        <w:spacing w:after="0" w:line="204" w:lineRule="auto"/>
        <w:tabs>
          <w:tab w:leader="none" w:pos="200"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Mr. Schoewe retired from the Board on June 3, 2025.</w:t>
      </w:r>
    </w:p>
    <w:p>
      <w:pPr>
        <w:sectPr>
          <w:pgSz w:w="11900" w:h="16838" w:orient="portrait"/>
          <w:cols w:equalWidth="0" w:num="1">
            <w:col w:w="9060"/>
          </w:cols>
          <w:pgMar w:left="1400" w:top="65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9060"/>
          </w:cols>
          <w:pgMar w:left="1400" w:top="657" w:right="14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Audit Matters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Arial" w:cs="Arial" w:eastAsia="Arial" w:hAnsi="Arial"/>
          <w:sz w:val="22"/>
          <w:szCs w:val="22"/>
          <w:color w:val="FFFFFF"/>
        </w:rPr>
        <w:t>ITEM 2</w:t>
      </w:r>
    </w:p>
    <w:p>
      <w:pPr>
        <w:spacing w:after="0" w:line="33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Proposal to Ratify the Selection of Ernst &amp;</w:t>
      </w:r>
    </w:p>
    <w:p>
      <w:pPr>
        <w:spacing w:after="0" w:line="8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Young LLP as the Company’s Independent</w:t>
      </w:r>
    </w:p>
    <w:p>
      <w:pPr>
        <w:spacing w:after="0" w:line="6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Registered Public Accounting Firm for 2026</w:t>
      </w:r>
    </w:p>
    <w:p>
      <w:pPr>
        <w:spacing w:after="0" w:line="228" w:lineRule="exact"/>
        <w:rPr>
          <w:sz w:val="20"/>
          <w:szCs w:val="20"/>
          <w:color w:val="auto"/>
        </w:rPr>
      </w:pPr>
    </w:p>
    <w:p>
      <w:pPr>
        <w:ind w:right="299"/>
        <w:spacing w:after="0" w:line="284"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Company’s independent registered public accounting firm retained to audit the Company’s consolidated financial statements and internal control over financial reporting. The Audit Committee also oversees the rotation of the independent registered public accounting firm’s lead audit partner and is involved in the selection and approval of the lead audit partner. The lead audit partner rotates every five years in accordance with regulatory requirements. The Audit Committee evaluates the selection of the Company’s independent auditors each year and determines whether to re-engage the current independent auditors or consider other firms. Following this process, the Audit Committee made the determination to re-engage Ernst &amp; Young LLP (“EY”) as the Company’s independent auditors for the fiscal year ending December 31, 2026.</w:t>
      </w:r>
    </w:p>
    <w:p>
      <w:pPr>
        <w:spacing w:after="0" w:line="121" w:lineRule="exact"/>
        <w:rPr>
          <w:sz w:val="20"/>
          <w:szCs w:val="20"/>
          <w:color w:val="auto"/>
        </w:rPr>
      </w:pPr>
    </w:p>
    <w:p>
      <w:pPr>
        <w:ind w:right="179"/>
        <w:spacing w:after="0" w:line="287" w:lineRule="auto"/>
        <w:rPr>
          <w:sz w:val="20"/>
          <w:szCs w:val="20"/>
          <w:color w:val="auto"/>
        </w:rPr>
      </w:pPr>
      <w:r>
        <w:rPr>
          <w:rFonts w:ascii="Arial" w:cs="Arial" w:eastAsia="Arial" w:hAnsi="Arial"/>
          <w:sz w:val="16"/>
          <w:szCs w:val="16"/>
          <w:b w:val="1"/>
          <w:bCs w:val="1"/>
          <w:color w:val="0956FF"/>
        </w:rPr>
        <w:t xml:space="preserve">Criteria for Re-Engaging EY. </w:t>
      </w:r>
      <w:r>
        <w:rPr>
          <w:rFonts w:ascii="Arial" w:cs="Arial" w:eastAsia="Arial" w:hAnsi="Arial"/>
          <w:sz w:val="16"/>
          <w:szCs w:val="16"/>
          <w:color w:val="000000"/>
        </w:rPr>
        <w:t>EY has served as the Company’s independent registered public accounting firm since 2017</w:t>
      </w:r>
      <w:r>
        <w:rPr>
          <w:rFonts w:ascii="Arial" w:cs="Arial" w:eastAsia="Arial" w:hAnsi="Arial"/>
          <w:sz w:val="16"/>
          <w:szCs w:val="16"/>
          <w:b w:val="1"/>
          <w:bCs w:val="1"/>
          <w:color w:val="0956FF"/>
        </w:rPr>
        <w:t xml:space="preserve"> </w:t>
      </w:r>
      <w:r>
        <w:rPr>
          <w:rFonts w:ascii="Arial" w:cs="Arial" w:eastAsia="Arial" w:hAnsi="Arial"/>
          <w:sz w:val="16"/>
          <w:szCs w:val="16"/>
          <w:color w:val="000000"/>
        </w:rPr>
        <w:t>when the Audit Committee selected the firm as part of a competitive and comprehensive request for proposal process. Through this process, the Audit Committee evaluated firms based on several key factors, including audit quality, the benefits of tenure versus fresh perspective, cultural fit and business acumen, innovation and technology, auditor independence, and the appropriateness of fees relative to both efficiency and audit quality. These critical factors continue to drive the Audit Committee’s priorities with respect to the selection and retention of the Company’s independent auditors. Based on its annual review, the Audit Committee believes that the continued retention of EY as our independent auditors is in the best interests of our shareholders.</w:t>
      </w:r>
    </w:p>
    <w:p>
      <w:pPr>
        <w:spacing w:after="0" w:line="103" w:lineRule="exact"/>
        <w:rPr>
          <w:sz w:val="20"/>
          <w:szCs w:val="20"/>
          <w:color w:val="auto"/>
        </w:rPr>
      </w:pPr>
    </w:p>
    <w:p>
      <w:pPr>
        <w:ind w:right="219"/>
        <w:spacing w:after="0" w:line="289" w:lineRule="auto"/>
        <w:rPr>
          <w:sz w:val="20"/>
          <w:szCs w:val="20"/>
          <w:color w:val="auto"/>
        </w:rPr>
      </w:pPr>
      <w:r>
        <w:rPr>
          <w:rFonts w:ascii="Arial" w:cs="Arial" w:eastAsia="Arial" w:hAnsi="Arial"/>
          <w:sz w:val="16"/>
          <w:szCs w:val="16"/>
          <w:b w:val="1"/>
          <w:bCs w:val="1"/>
          <w:color w:val="0956FF"/>
        </w:rPr>
        <w:t xml:space="preserve">Shareholder Ratification of Our Selection of EY. </w:t>
      </w:r>
      <w:r>
        <w:rPr>
          <w:rFonts w:ascii="Arial" w:cs="Arial" w:eastAsia="Arial" w:hAnsi="Arial"/>
          <w:sz w:val="16"/>
          <w:szCs w:val="16"/>
          <w:color w:val="000000"/>
        </w:rPr>
        <w:t>As a matter of good corporate governance, the Board submits the</w:t>
      </w:r>
      <w:r>
        <w:rPr>
          <w:rFonts w:ascii="Arial" w:cs="Arial" w:eastAsia="Arial" w:hAnsi="Arial"/>
          <w:sz w:val="16"/>
          <w:szCs w:val="16"/>
          <w:b w:val="1"/>
          <w:bCs w:val="1"/>
          <w:color w:val="0956FF"/>
        </w:rPr>
        <w:t xml:space="preserve"> </w:t>
      </w:r>
      <w:r>
        <w:rPr>
          <w:rFonts w:ascii="Arial" w:cs="Arial" w:eastAsia="Arial" w:hAnsi="Arial"/>
          <w:sz w:val="16"/>
          <w:szCs w:val="16"/>
          <w:color w:val="000000"/>
        </w:rPr>
        <w:t>selection of the independent auditors to our shareholders for ratification. If shareholders do not ratify the selection of EY, the Audit Committee will reconsider whether to engage EY but may ultimately determine to engage EY or another audit firm without resubmitting the matter to shareholders. Even if the shareholders ratify the selection of EY, the Audit Committee may, in its sole discretion, terminate the engagement of EY and direct the appointment of another independent registered public accounting firm at any time during the year, although it has no current intention to do so.</w:t>
      </w:r>
    </w:p>
    <w:p>
      <w:pPr>
        <w:spacing w:after="0" w:line="115" w:lineRule="exact"/>
        <w:rPr>
          <w:sz w:val="20"/>
          <w:szCs w:val="20"/>
          <w:color w:val="auto"/>
        </w:rPr>
      </w:pPr>
    </w:p>
    <w:p>
      <w:pPr>
        <w:ind w:right="139"/>
        <w:spacing w:after="0" w:line="301" w:lineRule="auto"/>
        <w:rPr>
          <w:sz w:val="20"/>
          <w:szCs w:val="20"/>
          <w:color w:val="auto"/>
        </w:rPr>
      </w:pPr>
      <w:r>
        <w:rPr>
          <w:rFonts w:ascii="Arial" w:cs="Arial" w:eastAsia="Arial" w:hAnsi="Arial"/>
          <w:sz w:val="16"/>
          <w:szCs w:val="16"/>
          <w:b w:val="1"/>
          <w:bCs w:val="1"/>
          <w:color w:val="0956FF"/>
        </w:rPr>
        <w:t xml:space="preserve">We Expect EY to Attend Our Annual Meeting. </w:t>
      </w:r>
      <w:r>
        <w:rPr>
          <w:rFonts w:ascii="Arial" w:cs="Arial" w:eastAsia="Arial" w:hAnsi="Arial"/>
          <w:sz w:val="16"/>
          <w:szCs w:val="16"/>
          <w:color w:val="000000"/>
        </w:rPr>
        <w:t>We expect that representatives of EY will be present at the Annual Meeting.</w:t>
      </w:r>
      <w:r>
        <w:rPr>
          <w:rFonts w:ascii="Arial" w:cs="Arial" w:eastAsia="Arial" w:hAnsi="Arial"/>
          <w:sz w:val="16"/>
          <w:szCs w:val="16"/>
          <w:b w:val="1"/>
          <w:bCs w:val="1"/>
          <w:color w:val="0956FF"/>
        </w:rPr>
        <w:t xml:space="preserve"> </w:t>
      </w:r>
      <w:r>
        <w:rPr>
          <w:rFonts w:ascii="Arial" w:cs="Arial" w:eastAsia="Arial" w:hAnsi="Arial"/>
          <w:sz w:val="16"/>
          <w:szCs w:val="16"/>
          <w:color w:val="000000"/>
        </w:rPr>
        <w:t>They will have an opportunity to make a statement if they desire and are expected to be available to respond to appropriate questions from shareholders.</w:t>
      </w:r>
    </w:p>
    <w:p>
      <w:pPr>
        <w:spacing w:after="0" w:line="91" w:lineRule="exact"/>
        <w:rPr>
          <w:sz w:val="20"/>
          <w:szCs w:val="20"/>
          <w:color w:val="auto"/>
        </w:rPr>
      </w:pPr>
    </w:p>
    <w:p>
      <w:pPr>
        <w:ind w:right="1199"/>
        <w:spacing w:after="0" w:line="321" w:lineRule="auto"/>
        <w:rPr>
          <w:sz w:val="20"/>
          <w:szCs w:val="20"/>
          <w:color w:val="auto"/>
        </w:rPr>
      </w:pPr>
      <w:r>
        <w:rPr>
          <w:rFonts w:ascii="Arial" w:cs="Arial" w:eastAsia="Arial" w:hAnsi="Arial"/>
          <w:sz w:val="16"/>
          <w:szCs w:val="16"/>
          <w:color w:val="auto"/>
        </w:rPr>
        <w:t>For additional information concerning the Audit Committee and its activities with EY, see the “Audit Committee Report” below.</w:t>
      </w:r>
    </w:p>
    <w:p>
      <w:pPr>
        <w:spacing w:after="0" w:line="241" w:lineRule="exact"/>
        <w:rPr>
          <w:sz w:val="20"/>
          <w:szCs w:val="20"/>
          <w:color w:val="auto"/>
        </w:rPr>
      </w:pPr>
    </w:p>
    <w:p>
      <w:pPr>
        <w:ind w:left="560" w:right="379"/>
        <w:spacing w:after="0" w:line="288" w:lineRule="auto"/>
        <w:rPr>
          <w:sz w:val="20"/>
          <w:szCs w:val="20"/>
          <w:color w:val="auto"/>
        </w:rPr>
      </w:pPr>
      <w:r>
        <w:rPr>
          <w:rFonts w:ascii="Arial" w:cs="Arial" w:eastAsia="Arial" w:hAnsi="Arial"/>
          <w:sz w:val="20"/>
          <w:szCs w:val="20"/>
          <w:color w:val="auto"/>
        </w:rPr>
        <w:t xml:space="preserve">The Board recommends a vote </w:t>
      </w:r>
      <w:r>
        <w:rPr>
          <w:rFonts w:ascii="Arial" w:cs="Arial" w:eastAsia="Arial" w:hAnsi="Arial"/>
          <w:sz w:val="20"/>
          <w:szCs w:val="20"/>
          <w:b w:val="1"/>
          <w:bCs w:val="1"/>
          <w:color w:val="0956FF"/>
        </w:rPr>
        <w:t>FOR</w:t>
      </w:r>
      <w:r>
        <w:rPr>
          <w:rFonts w:ascii="Arial" w:cs="Arial" w:eastAsia="Arial" w:hAnsi="Arial"/>
          <w:sz w:val="20"/>
          <w:szCs w:val="20"/>
          <w:color w:val="auto"/>
        </w:rPr>
        <w:t xml:space="preserve"> the proposal to ratify the selection of Ernst &amp; Young LLP as the Company’s independent registered public accounting firm for 2026.</w:t>
      </w:r>
    </w:p>
    <w:p>
      <w:pPr>
        <w:sectPr>
          <w:pgSz w:w="11900" w:h="16838" w:orient="portrait"/>
          <w:cols w:equalWidth="0" w:num="1">
            <w:col w:w="9059"/>
          </w:cols>
          <w:pgMar w:left="1400" w:top="1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35</w:t>
      </w:r>
    </w:p>
    <w:p>
      <w:pPr>
        <w:sectPr>
          <w:pgSz w:w="11900" w:h="16838" w:orient="portrait"/>
          <w:cols w:equalWidth="0" w:num="1">
            <w:col w:w="9059"/>
          </w:cols>
          <w:pgMar w:left="1400" w:top="1339"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2  </w:t>
      </w:r>
      <w:r>
        <w:rPr>
          <w:rFonts w:ascii="Arial" w:cs="Arial" w:eastAsia="Arial" w:hAnsi="Arial"/>
          <w:sz w:val="14"/>
          <w:szCs w:val="14"/>
          <w:b w:val="1"/>
          <w:bCs w:val="1"/>
          <w:color w:val="000000"/>
        </w:rPr>
        <w:t>Proposal to Ratify the Selection of Ernst &amp; Young LLP as the Company’s</w:t>
      </w:r>
    </w:p>
    <w:p>
      <w:pPr>
        <w:spacing w:after="0" w:line="2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Independent Registered Public Accounting Firm for 2026</w:t>
      </w:r>
    </w:p>
    <w:p>
      <w:pPr>
        <w:spacing w:after="0" w:line="354"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Audit Committee Report</w:t>
      </w:r>
    </w:p>
    <w:p>
      <w:pPr>
        <w:spacing w:after="0" w:line="127" w:lineRule="exact"/>
        <w:rPr>
          <w:sz w:val="20"/>
          <w:szCs w:val="20"/>
          <w:color w:val="auto"/>
        </w:rPr>
      </w:pPr>
    </w:p>
    <w:p>
      <w:pPr>
        <w:jc w:val="both"/>
        <w:ind w:right="639"/>
        <w:spacing w:after="0" w:line="321" w:lineRule="auto"/>
        <w:rPr>
          <w:sz w:val="20"/>
          <w:szCs w:val="20"/>
          <w:color w:val="auto"/>
        </w:rPr>
      </w:pPr>
      <w:r>
        <w:rPr>
          <w:rFonts w:ascii="Arial" w:cs="Arial" w:eastAsia="Arial" w:hAnsi="Arial"/>
          <w:sz w:val="16"/>
          <w:szCs w:val="16"/>
          <w:color w:val="auto"/>
        </w:rPr>
        <w:t>The Audit Committee of the Board of Directors of General Motors Company is a standing committee composed of five independent directors: Wesley G. Bush (Chair), Joanne C. Crevoiserat, Alfred Kelly, Mark A. Tatum and Jan E. Tighe.</w:t>
      </w:r>
    </w:p>
    <w:p>
      <w:pPr>
        <w:sectPr>
          <w:pgSz w:w="11900" w:h="16838" w:orient="portrait"/>
          <w:cols w:equalWidth="0" w:num="1">
            <w:col w:w="9059"/>
          </w:cols>
          <w:pgMar w:left="1400" w:top="657" w:right="1440" w:bottom="1440" w:gutter="0" w:footer="0" w:header="0"/>
        </w:sectPr>
      </w:pPr>
    </w:p>
    <w:p>
      <w:pPr>
        <w:spacing w:after="0" w:line="394"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0956FF"/>
        </w:rPr>
        <w:t>REASONS FOR SELECTION TO THE AUDIT</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0956FF"/>
        </w:rPr>
        <w:t>COMMITTEE</w:t>
      </w:r>
    </w:p>
    <w:p>
      <w:pPr>
        <w:spacing w:after="0" w:line="77" w:lineRule="exact"/>
        <w:rPr>
          <w:sz w:val="20"/>
          <w:szCs w:val="20"/>
          <w:color w:val="auto"/>
        </w:rPr>
      </w:pPr>
    </w:p>
    <w:p>
      <w:pPr>
        <w:ind w:left="240"/>
        <w:spacing w:after="0" w:line="295" w:lineRule="auto"/>
        <w:rPr>
          <w:sz w:val="20"/>
          <w:szCs w:val="20"/>
          <w:color w:val="auto"/>
        </w:rPr>
      </w:pPr>
      <w:r>
        <w:rPr>
          <w:rFonts w:ascii="Arial" w:cs="Arial" w:eastAsia="Arial" w:hAnsi="Arial"/>
          <w:sz w:val="16"/>
          <w:szCs w:val="16"/>
          <w:color w:val="auto"/>
        </w:rPr>
        <w:t>When selecting directors to serve on the Audit Committee, the Governance Committee and Board of Directors consider, among other factors: independence, financial literacy and expertise, and individual skills.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0956FF"/>
        </w:rPr>
        <w:t>FINANCIAL LITERACY AND EXPERTISE</w:t>
      </w:r>
    </w:p>
    <w:p>
      <w:pPr>
        <w:spacing w:after="0" w:line="95" w:lineRule="exact"/>
        <w:rPr>
          <w:sz w:val="20"/>
          <w:szCs w:val="20"/>
          <w:color w:val="auto"/>
        </w:rPr>
      </w:pPr>
    </w:p>
    <w:p>
      <w:pPr>
        <w:ind w:right="279"/>
        <w:spacing w:after="0" w:line="310" w:lineRule="auto"/>
        <w:rPr>
          <w:sz w:val="20"/>
          <w:szCs w:val="20"/>
          <w:color w:val="auto"/>
        </w:rPr>
      </w:pPr>
      <w:r>
        <w:rPr>
          <w:rFonts w:ascii="Arial" w:cs="Arial" w:eastAsia="Arial" w:hAnsi="Arial"/>
          <w:sz w:val="15"/>
          <w:szCs w:val="15"/>
          <w:color w:val="auto"/>
        </w:rPr>
        <w:t>The Board has determined that all members of the Audit Committee meet heightened independence and qualification criteria and are financially literate in accordance with the NYSE Corporate Governance Standards and SEC rules, and that Messrs. Bush and Kelly, and Ms. Crevoiserat, are each qualified as an “audit committee financial expert” as defined by the SEC.</w:t>
      </w:r>
    </w:p>
    <w:p>
      <w:pPr>
        <w:spacing w:after="0" w:line="200" w:lineRule="exact"/>
        <w:rPr>
          <w:sz w:val="20"/>
          <w:szCs w:val="20"/>
          <w:color w:val="auto"/>
        </w:rPr>
      </w:pPr>
    </w:p>
    <w:p>
      <w:pPr>
        <w:sectPr>
          <w:pgSz w:w="11900" w:h="16838" w:orient="portrait"/>
          <w:cols w:equalWidth="0" w:num="2">
            <w:col w:w="4220" w:space="580"/>
            <w:col w:w="4259"/>
          </w:cols>
          <w:pgMar w:left="1400" w:top="65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Purpose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Committee’s core purpose is to assist the Board by providing oversight of:</w:t>
      </w:r>
    </w:p>
    <w:p>
      <w:pPr>
        <w:spacing w:after="0" w:line="181" w:lineRule="exact"/>
        <w:rPr>
          <w:sz w:val="20"/>
          <w:szCs w:val="20"/>
          <w:color w:val="auto"/>
        </w:rPr>
      </w:pPr>
    </w:p>
    <w:p>
      <w:pPr>
        <w:ind w:left="200" w:hanging="192"/>
        <w:spacing w:after="0"/>
        <w:tabs>
          <w:tab w:leader="none" w:pos="200" w:val="left"/>
        </w:tabs>
        <w:numPr>
          <w:ilvl w:val="0"/>
          <w:numId w:val="60"/>
        </w:numPr>
        <w:rPr>
          <w:rFonts w:ascii="Arial" w:cs="Arial" w:eastAsia="Arial" w:hAnsi="Arial"/>
          <w:sz w:val="16"/>
          <w:szCs w:val="16"/>
          <w:color w:val="0956FF"/>
        </w:rPr>
      </w:pPr>
      <w:r>
        <w:rPr>
          <w:rFonts w:ascii="Arial" w:cs="Arial" w:eastAsia="Arial" w:hAnsi="Arial"/>
          <w:sz w:val="16"/>
          <w:szCs w:val="16"/>
          <w:color w:val="auto"/>
        </w:rPr>
        <w:t>The quality and integrity of GM’s financial statements;</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60"/>
        </w:numPr>
        <w:rPr>
          <w:rFonts w:ascii="Arial" w:cs="Arial" w:eastAsia="Arial" w:hAnsi="Arial"/>
          <w:sz w:val="16"/>
          <w:szCs w:val="16"/>
          <w:color w:val="0956FF"/>
        </w:rPr>
      </w:pPr>
      <w:r>
        <w:rPr>
          <w:rFonts w:ascii="Arial" w:cs="Arial" w:eastAsia="Arial" w:hAnsi="Arial"/>
          <w:sz w:val="16"/>
          <w:szCs w:val="16"/>
          <w:color w:val="auto"/>
        </w:rPr>
        <w:t>The effectiveness of GM’s financial reporting process and systems of disclosure controls and internal controls;</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60"/>
        </w:numPr>
        <w:rPr>
          <w:rFonts w:ascii="Arial" w:cs="Arial" w:eastAsia="Arial" w:hAnsi="Arial"/>
          <w:sz w:val="16"/>
          <w:szCs w:val="16"/>
          <w:color w:val="0956FF"/>
        </w:rPr>
      </w:pPr>
      <w:r>
        <w:rPr>
          <w:rFonts w:ascii="Arial" w:cs="Arial" w:eastAsia="Arial" w:hAnsi="Arial"/>
          <w:sz w:val="16"/>
          <w:szCs w:val="16"/>
          <w:color w:val="auto"/>
        </w:rPr>
        <w:t>The qualifications, performance, and independence of GM’s external auditors and their audit process;</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60"/>
        </w:numPr>
        <w:rPr>
          <w:rFonts w:ascii="Arial" w:cs="Arial" w:eastAsia="Arial" w:hAnsi="Arial"/>
          <w:sz w:val="16"/>
          <w:szCs w:val="16"/>
          <w:color w:val="0956FF"/>
        </w:rPr>
      </w:pPr>
      <w:r>
        <w:rPr>
          <w:rFonts w:ascii="Arial" w:cs="Arial" w:eastAsia="Arial" w:hAnsi="Arial"/>
          <w:sz w:val="16"/>
          <w:szCs w:val="16"/>
          <w:color w:val="auto"/>
        </w:rPr>
        <w:t>The scope and performance of GM’s internal audit function; and</w:t>
      </w:r>
    </w:p>
    <w:p>
      <w:pPr>
        <w:spacing w:after="0" w:line="86" w:lineRule="exact"/>
        <w:rPr>
          <w:rFonts w:ascii="Arial" w:cs="Arial" w:eastAsia="Arial" w:hAnsi="Arial"/>
          <w:sz w:val="16"/>
          <w:szCs w:val="16"/>
          <w:color w:val="0956FF"/>
        </w:rPr>
      </w:pPr>
    </w:p>
    <w:p>
      <w:pPr>
        <w:ind w:left="200" w:right="119" w:hanging="192"/>
        <w:spacing w:after="0" w:line="321" w:lineRule="auto"/>
        <w:tabs>
          <w:tab w:leader="none" w:pos="200" w:val="left"/>
        </w:tabs>
        <w:numPr>
          <w:ilvl w:val="0"/>
          <w:numId w:val="60"/>
        </w:numPr>
        <w:rPr>
          <w:rFonts w:ascii="Arial" w:cs="Arial" w:eastAsia="Arial" w:hAnsi="Arial"/>
          <w:sz w:val="16"/>
          <w:szCs w:val="16"/>
          <w:color w:val="0956FF"/>
        </w:rPr>
      </w:pPr>
      <w:r>
        <w:rPr>
          <w:rFonts w:ascii="Arial" w:cs="Arial" w:eastAsia="Arial" w:hAnsi="Arial"/>
          <w:sz w:val="16"/>
          <w:szCs w:val="16"/>
          <w:color w:val="auto"/>
        </w:rPr>
        <w:t>GM’s policies and procedures regarding compliance, ethics, and legal risk, including the standards of business conduct as embodied in GM’s code of conduct.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operates under a written charter adopted by the Audit Committee and approved by the Board of</w:t>
      </w:r>
    </w:p>
    <w:p>
      <w:pPr>
        <w:spacing w:after="0" w:line="32" w:lineRule="exact"/>
        <w:rPr>
          <w:sz w:val="20"/>
          <w:szCs w:val="20"/>
          <w:color w:val="auto"/>
        </w:rPr>
      </w:pPr>
    </w:p>
    <w:p>
      <w:pPr>
        <w:ind w:right="119"/>
        <w:spacing w:after="0" w:line="301" w:lineRule="auto"/>
        <w:rPr>
          <w:sz w:val="20"/>
          <w:szCs w:val="20"/>
          <w:color w:val="auto"/>
        </w:rPr>
      </w:pPr>
      <w:r>
        <w:rPr>
          <w:rFonts w:ascii="Arial" w:cs="Arial" w:eastAsia="Arial" w:hAnsi="Arial"/>
          <w:sz w:val="16"/>
          <w:szCs w:val="16"/>
          <w:color w:val="auto"/>
        </w:rPr>
        <w:t xml:space="preserve">Directors, which may be found on our website at </w:t>
      </w:r>
      <w:r>
        <w:rPr>
          <w:rFonts w:ascii="Arial" w:cs="Arial" w:eastAsia="Arial" w:hAnsi="Arial"/>
          <w:sz w:val="16"/>
          <w:szCs w:val="16"/>
          <w:u w:val="single" w:color="auto"/>
          <w:color w:val="0956FF"/>
        </w:rPr>
        <w:t>investor.gm.com/governanceandsustainability</w:t>
      </w:r>
      <w:r>
        <w:rPr>
          <w:rFonts w:ascii="Arial" w:cs="Arial" w:eastAsia="Arial" w:hAnsi="Arial"/>
          <w:sz w:val="16"/>
          <w:szCs w:val="16"/>
          <w:color w:val="auto"/>
        </w:rPr>
        <w:t xml:space="preserve"> . The Audit Committee reviews its charter at least once annually and updates it as necessary to address changes in regulatory requirements, authoritative guidance, evolving best practices, and shareholder feedback.</w:t>
      </w:r>
    </w:p>
    <w:p>
      <w:pPr>
        <w:spacing w:after="0" w:line="104" w:lineRule="exact"/>
        <w:rPr>
          <w:sz w:val="20"/>
          <w:szCs w:val="20"/>
          <w:color w:val="auto"/>
        </w:rPr>
      </w:pPr>
    </w:p>
    <w:p>
      <w:pPr>
        <w:ind w:right="199"/>
        <w:spacing w:after="0" w:line="289" w:lineRule="auto"/>
        <w:rPr>
          <w:sz w:val="20"/>
          <w:szCs w:val="20"/>
          <w:color w:val="auto"/>
        </w:rPr>
      </w:pPr>
      <w:r>
        <w:rPr>
          <w:rFonts w:ascii="Arial" w:cs="Arial" w:eastAsia="Arial" w:hAnsi="Arial"/>
          <w:sz w:val="16"/>
          <w:szCs w:val="16"/>
          <w:color w:val="auto"/>
        </w:rPr>
        <w:t>Management is responsible for the Company’s internal control over financial reporting and the financial reporting process and has delivered its opinion on the effectiveness of the Company’s controls. EY, the Company’s independent registered public accounting firm, is responsible for performing an independent audit of the Company’s consolidated financial statements and opining on the effectiveness of internal control over financial reporting in accordance with the standards of the Public Company Accounting Oversight Board (United States) (the “PCAOB”) and issuing its reports thereon. As provided in its charter, the Audit Committee’s responsibilities include monitoring and overseeing these processes.</w:t>
      </w:r>
    </w:p>
    <w:p>
      <w:pPr>
        <w:spacing w:after="0" w:line="6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Required Disclosures</w:t>
      </w:r>
    </w:p>
    <w:p>
      <w:pPr>
        <w:spacing w:after="0" w:line="132" w:lineRule="exact"/>
        <w:rPr>
          <w:sz w:val="20"/>
          <w:szCs w:val="20"/>
          <w:color w:val="auto"/>
        </w:rPr>
      </w:pPr>
    </w:p>
    <w:p>
      <w:pPr>
        <w:ind w:right="219"/>
        <w:spacing w:after="0" w:line="283" w:lineRule="auto"/>
        <w:rPr>
          <w:sz w:val="20"/>
          <w:szCs w:val="20"/>
          <w:color w:val="auto"/>
        </w:rPr>
      </w:pPr>
      <w:r>
        <w:rPr>
          <w:rFonts w:ascii="Arial" w:cs="Arial" w:eastAsia="Arial" w:hAnsi="Arial"/>
          <w:sz w:val="16"/>
          <w:szCs w:val="16"/>
          <w:color w:val="auto"/>
        </w:rPr>
        <w:t>In 2025, the Audit Committee met eight times and fulfilled all of its core charter obligations. Consistent with its charter responsibilities, the Audit Committee met and held discussions with management and EY regarding the Company’s audited financial statements and internal controls for the year ended December 31, 2025. In this context, management represented to the Audit Committee that the Company’s consolidated financial statements were prepared in accordance with accounting principles generally accepted in the United States. The Audit Committee reviewed and discussed the consolidated financial statements with management and EY and further discussed with EY the matters required by the PCAOB and the SEC. This review included a discussion with management and EY of the quality, not merely the acceptability, of GM’s accounting principles, the reasonableness of significant estimates and judgments, and the clarity of disclosure in GM’s financial statements, including the disclosures related to critical accounting estimates and critical audit matters. EY also provided to the Audit Committee the written communications and the letter as required by the applicable PCAOB standards concerning independence, and the Audit Committee discussed with EY the auditor’s independence. The Audit Committee also considered and determined that the non-audit services provided to GM by EY were permissible under the applicable independence rules. The Audit Committee concluded that EY was independent from the Company and management.</w:t>
      </w:r>
    </w:p>
    <w:p>
      <w:pPr>
        <w:sectPr>
          <w:pgSz w:w="11900" w:h="16838" w:orient="portrait"/>
          <w:cols w:equalWidth="0" w:num="1">
            <w:col w:w="9059"/>
          </w:cols>
          <w:pgMar w:left="1400" w:top="657" w:right="1440"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9059"/>
          </w:cols>
          <w:pgMar w:left="1400" w:top="657" w:right="1440"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2  </w:t>
      </w:r>
      <w:r>
        <w:rPr>
          <w:rFonts w:ascii="Arial" w:cs="Arial" w:eastAsia="Arial" w:hAnsi="Arial"/>
          <w:sz w:val="14"/>
          <w:szCs w:val="14"/>
          <w:b w:val="1"/>
          <w:bCs w:val="1"/>
          <w:color w:val="000000"/>
        </w:rPr>
        <w:t>Proposal to Ratify the Selection of Ernst &amp; Young LLP as the Company’s</w:t>
      </w:r>
    </w:p>
    <w:p>
      <w:pPr>
        <w:spacing w:after="0" w:line="29"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Independent Registered Public Accounting Firm for 2026</w:t>
      </w:r>
    </w:p>
    <w:p>
      <w:pPr>
        <w:spacing w:after="0" w:line="387"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For additional information about GM’s policies and procedures related to the approval of EY’s audit and non-audit services, see “Policy for Approval of Audit and Permitted Non-Audit Services” on page 38.</w:t>
      </w:r>
    </w:p>
    <w:p>
      <w:pPr>
        <w:spacing w:after="0" w:line="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Recommendation</w:t>
      </w:r>
    </w:p>
    <w:p>
      <w:pPr>
        <w:spacing w:after="0" w:line="119"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Based upon the Audit Committee’s discussions with management and EY as described in this report and the Audit Committee’s review of the representations of management and the reports of EY to the Audit Committee, the Audit Committee recommended to the Board of Directors, and the Board of Directors approved, the inclusion of the audited consolidated financial statements in the Company’s Annual Report on Form 10-K for the year ended December 31, 2025, as filed with the SEC on January 27, 2026.</w:t>
      </w: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3D3935"/>
        </w:rPr>
        <w:t>Audit Committee</w:t>
      </w:r>
    </w:p>
    <w:p>
      <w:pPr>
        <w:spacing w:after="0" w:line="167"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b w:val="1"/>
          <w:bCs w:val="1"/>
          <w:color w:val="0956FF"/>
        </w:rPr>
        <w:t>Wesley G. Bush</w:t>
      </w:r>
      <w:r>
        <w:rPr>
          <w:rFonts w:ascii="Arial" w:cs="Arial" w:eastAsia="Arial" w:hAnsi="Arial"/>
          <w:sz w:val="16"/>
          <w:szCs w:val="16"/>
          <w:b w:val="1"/>
          <w:bCs w:val="1"/>
          <w:color w:val="3D3935"/>
        </w:rPr>
        <w:t>(Chair)</w:t>
      </w:r>
      <w:r>
        <w:rPr>
          <w:sz w:val="20"/>
          <w:szCs w:val="20"/>
          <w:color w:val="auto"/>
        </w:rPr>
        <w:tab/>
      </w:r>
      <w:r>
        <w:rPr>
          <w:rFonts w:ascii="Arial" w:cs="Arial" w:eastAsia="Arial" w:hAnsi="Arial"/>
          <w:sz w:val="15"/>
          <w:szCs w:val="15"/>
          <w:b w:val="1"/>
          <w:bCs w:val="1"/>
          <w:color w:val="0956FF"/>
        </w:rPr>
        <w:t>Mark A. Tatum</w:t>
      </w:r>
    </w:p>
    <w:p>
      <w:pPr>
        <w:spacing w:after="0" w:line="21"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b w:val="1"/>
          <w:bCs w:val="1"/>
          <w:color w:val="0956FF"/>
        </w:rPr>
        <w:t>Joanne C. Crevoiserat</w:t>
      </w:r>
      <w:r>
        <w:rPr>
          <w:sz w:val="20"/>
          <w:szCs w:val="20"/>
          <w:color w:val="auto"/>
        </w:rPr>
        <w:tab/>
      </w:r>
      <w:r>
        <w:rPr>
          <w:rFonts w:ascii="Arial" w:cs="Arial" w:eastAsia="Arial" w:hAnsi="Arial"/>
          <w:sz w:val="15"/>
          <w:szCs w:val="15"/>
          <w:b w:val="1"/>
          <w:bCs w:val="1"/>
          <w:color w:val="0956FF"/>
        </w:rPr>
        <w:t>Jan E. Tighe</w:t>
      </w:r>
    </w:p>
    <w:p>
      <w:pPr>
        <w:spacing w:after="0" w:line="5"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0956FF"/>
        </w:rPr>
        <w:t>Alfred F. Kelly, Jr</w:t>
      </w:r>
    </w:p>
    <w:p>
      <w:pPr>
        <w:spacing w:after="0" w:line="200" w:lineRule="exact"/>
        <w:rPr>
          <w:sz w:val="20"/>
          <w:szCs w:val="20"/>
          <w:color w:val="auto"/>
        </w:rPr>
      </w:pPr>
    </w:p>
    <w:p>
      <w:pPr>
        <w:spacing w:after="0" w:line="237"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i w:val="1"/>
          <w:iCs w:val="1"/>
          <w:color w:val="auto"/>
        </w:rPr>
        <w:t>The preceding Audit Committee Report shall not be deemed incorporated by reference by any general statement incorporating by reference this Proxy Statement or any portion hereof into any filing under the Securities Act of 1933, as amended, or the Securities Exchange Act of 1934, as amended, and shall not otherwise be deemed filed thereunder.</w:t>
      </w:r>
    </w:p>
    <w:p>
      <w:pPr>
        <w:spacing w:after="0" w:line="206" w:lineRule="exact"/>
        <w:rPr>
          <w:sz w:val="20"/>
          <w:szCs w:val="20"/>
          <w:color w:val="auto"/>
        </w:rPr>
      </w:pPr>
    </w:p>
    <w:p>
      <w:pPr>
        <w:ind w:right="1000"/>
        <w:spacing w:after="0" w:line="279" w:lineRule="auto"/>
        <w:rPr>
          <w:sz w:val="20"/>
          <w:szCs w:val="20"/>
          <w:color w:val="auto"/>
        </w:rPr>
      </w:pPr>
      <w:r>
        <w:rPr>
          <w:rFonts w:ascii="Arial" w:cs="Arial" w:eastAsia="Arial" w:hAnsi="Arial"/>
          <w:sz w:val="40"/>
          <w:szCs w:val="40"/>
          <w:b w:val="1"/>
          <w:bCs w:val="1"/>
          <w:color w:val="0956FF"/>
        </w:rPr>
        <w:t>Fees Paid to Independent Registered Public Accounting Firm</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fees for professional services provided by EY for the annual audit of GM’s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internal control over financial reporting as of and for the years ended December 31, 2025 and</w:t>
      </w:r>
    </w:p>
    <w:p>
      <w:pPr>
        <w:spacing w:after="0" w:line="32" w:lineRule="exact"/>
        <w:rPr>
          <w:sz w:val="20"/>
          <w:szCs w:val="20"/>
          <w:color w:val="auto"/>
        </w:rPr>
      </w:pPr>
    </w:p>
    <w:p>
      <w:pPr>
        <w:spacing w:after="0"/>
        <w:tabs>
          <w:tab w:leader="none" w:pos="6700" w:val="left"/>
        </w:tabs>
        <w:rPr>
          <w:sz w:val="20"/>
          <w:szCs w:val="20"/>
          <w:color w:val="auto"/>
        </w:rPr>
      </w:pPr>
      <w:r>
        <w:rPr>
          <w:rFonts w:ascii="Arial" w:cs="Arial" w:eastAsia="Arial" w:hAnsi="Arial"/>
          <w:sz w:val="16"/>
          <w:szCs w:val="16"/>
          <w:color w:val="auto"/>
        </w:rPr>
        <w:t>2024, together with the fees billed for other services rendered by EY during these periods.</w:t>
      </w:r>
      <w:r>
        <w:rPr>
          <w:sz w:val="20"/>
          <w:szCs w:val="20"/>
          <w:color w:val="auto"/>
        </w:rPr>
        <w:tab/>
      </w:r>
      <w:r>
        <w:rPr>
          <w:rFonts w:ascii="Arial" w:cs="Arial" w:eastAsia="Arial" w:hAnsi="Arial"/>
          <w:sz w:val="16"/>
          <w:szCs w:val="16"/>
          <w:color w:val="auto"/>
        </w:rPr>
        <w:t>Amounts in the table below may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not sum due to rounding.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shd w:val="clear" w:color="auto" w:fill="ECEBEB"/>
          </w:tcPr>
          <w:p>
            <w:pPr>
              <w:spacing w:after="0"/>
              <w:rPr>
                <w:sz w:val="20"/>
                <w:szCs w:val="20"/>
                <w:color w:val="auto"/>
              </w:rPr>
            </w:pPr>
          </w:p>
        </w:tc>
        <w:tc>
          <w:tcPr>
            <w:tcW w:w="3860" w:type="dxa"/>
            <w:vAlign w:val="bottom"/>
            <w:shd w:val="clear" w:color="auto" w:fill="ECEBEB"/>
          </w:tcPr>
          <w:p>
            <w:pPr>
              <w:jc w:val="right"/>
              <w:ind w:right="121"/>
              <w:spacing w:after="0"/>
              <w:rPr>
                <w:sz w:val="20"/>
                <w:szCs w:val="20"/>
                <w:color w:val="auto"/>
              </w:rPr>
            </w:pPr>
            <w:r>
              <w:rPr>
                <w:rFonts w:ascii="Arial" w:cs="Arial" w:eastAsia="Arial" w:hAnsi="Arial"/>
                <w:sz w:val="14"/>
                <w:szCs w:val="14"/>
                <w:b w:val="1"/>
                <w:bCs w:val="1"/>
                <w:color w:val="auto"/>
              </w:rPr>
              <w:t>2025</w:t>
            </w:r>
          </w:p>
        </w:tc>
        <w:tc>
          <w:tcPr>
            <w:tcW w:w="1080" w:type="dxa"/>
            <w:vAlign w:val="bottom"/>
            <w:shd w:val="clear" w:color="auto" w:fill="ECEBEB"/>
          </w:tcPr>
          <w:p>
            <w:pPr>
              <w:jc w:val="right"/>
              <w:ind w:right="21"/>
              <w:spacing w:after="0"/>
              <w:rPr>
                <w:sz w:val="20"/>
                <w:szCs w:val="20"/>
                <w:color w:val="auto"/>
              </w:rPr>
            </w:pPr>
            <w:r>
              <w:rPr>
                <w:rFonts w:ascii="Arial" w:cs="Arial" w:eastAsia="Arial" w:hAnsi="Arial"/>
                <w:sz w:val="14"/>
                <w:szCs w:val="14"/>
                <w:b w:val="1"/>
                <w:bCs w:val="1"/>
                <w:color w:val="auto"/>
              </w:rPr>
              <w:t>2024</w:t>
            </w:r>
          </w:p>
        </w:tc>
      </w:tr>
      <w:tr>
        <w:trPr>
          <w:trHeight w:val="185"/>
        </w:trPr>
        <w:tc>
          <w:tcPr>
            <w:tcW w:w="414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Type of Fees</w:t>
            </w:r>
          </w:p>
        </w:tc>
        <w:tc>
          <w:tcPr>
            <w:tcW w:w="3860" w:type="dxa"/>
            <w:vAlign w:val="bottom"/>
            <w:tcBorders>
              <w:bottom w:val="single" w:sz="8" w:color="0956FF"/>
            </w:tcBorders>
            <w:shd w:val="clear" w:color="auto" w:fill="ECEBEB"/>
          </w:tcPr>
          <w:p>
            <w:pPr>
              <w:jc w:val="right"/>
              <w:ind w:right="61"/>
              <w:spacing w:after="0"/>
              <w:rPr>
                <w:sz w:val="20"/>
                <w:szCs w:val="20"/>
                <w:color w:val="auto"/>
              </w:rPr>
            </w:pPr>
            <w:r>
              <w:rPr>
                <w:rFonts w:ascii="Arial" w:cs="Arial" w:eastAsia="Arial" w:hAnsi="Arial"/>
                <w:sz w:val="14"/>
                <w:szCs w:val="14"/>
                <w:b w:val="1"/>
                <w:bCs w:val="1"/>
                <w:color w:val="auto"/>
              </w:rPr>
              <w:t>($ in millions)</w:t>
            </w:r>
          </w:p>
        </w:tc>
        <w:tc>
          <w:tcPr>
            <w:tcW w:w="108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 in millions)</w:t>
            </w:r>
          </w:p>
        </w:tc>
      </w:tr>
      <w:tr>
        <w:trPr>
          <w:trHeight w:val="249"/>
        </w:trPr>
        <w:tc>
          <w:tcPr>
            <w:tcW w:w="4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Audit</w:t>
            </w:r>
          </w:p>
        </w:tc>
        <w:tc>
          <w:tcPr>
            <w:tcW w:w="3860" w:type="dxa"/>
            <w:vAlign w:val="bottom"/>
            <w:tcBorders>
              <w:bottom w:val="single" w:sz="8" w:color="D8D7D7"/>
            </w:tcBorders>
          </w:tcPr>
          <w:p>
            <w:pPr>
              <w:jc w:val="right"/>
              <w:ind w:right="101"/>
              <w:spacing w:after="0"/>
              <w:rPr>
                <w:sz w:val="20"/>
                <w:szCs w:val="20"/>
                <w:color w:val="auto"/>
              </w:rPr>
            </w:pPr>
            <w:r>
              <w:rPr>
                <w:rFonts w:ascii="Arial" w:cs="Arial" w:eastAsia="Arial" w:hAnsi="Arial"/>
                <w:sz w:val="16"/>
                <w:szCs w:val="16"/>
                <w:color w:val="auto"/>
              </w:rPr>
              <w:t>27</w:t>
            </w:r>
          </w:p>
        </w:tc>
        <w:tc>
          <w:tcPr>
            <w:tcW w:w="108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25</w:t>
            </w:r>
          </w:p>
        </w:tc>
      </w:tr>
      <w:tr>
        <w:trPr>
          <w:trHeight w:val="250"/>
        </w:trPr>
        <w:tc>
          <w:tcPr>
            <w:tcW w:w="4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Audit-Related</w:t>
            </w:r>
          </w:p>
        </w:tc>
        <w:tc>
          <w:tcPr>
            <w:tcW w:w="386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4</w:t>
            </w:r>
          </w:p>
        </w:tc>
      </w:tr>
      <w:tr>
        <w:trPr>
          <w:trHeight w:val="250"/>
        </w:trPr>
        <w:tc>
          <w:tcPr>
            <w:tcW w:w="4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Tax</w:t>
            </w:r>
          </w:p>
        </w:tc>
        <w:tc>
          <w:tcPr>
            <w:tcW w:w="3860" w:type="dxa"/>
            <w:vAlign w:val="bottom"/>
            <w:tcBorders>
              <w:bottom w:val="single" w:sz="8" w:color="D8D7D7"/>
            </w:tcBorders>
          </w:tcPr>
          <w:p>
            <w:pPr>
              <w:jc w:val="right"/>
              <w:ind w:right="81"/>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w:t>
            </w:r>
          </w:p>
        </w:tc>
      </w:tr>
      <w:tr>
        <w:trPr>
          <w:trHeight w:val="250"/>
        </w:trPr>
        <w:tc>
          <w:tcPr>
            <w:tcW w:w="4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Subtotal</w:t>
            </w:r>
          </w:p>
        </w:tc>
        <w:tc>
          <w:tcPr>
            <w:tcW w:w="386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32</w:t>
            </w:r>
          </w:p>
        </w:tc>
        <w:tc>
          <w:tcPr>
            <w:tcW w:w="108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30</w:t>
            </w:r>
          </w:p>
        </w:tc>
      </w:tr>
      <w:tr>
        <w:trPr>
          <w:trHeight w:val="250"/>
        </w:trPr>
        <w:tc>
          <w:tcPr>
            <w:tcW w:w="4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All Other Services</w:t>
            </w:r>
          </w:p>
        </w:tc>
        <w:tc>
          <w:tcPr>
            <w:tcW w:w="386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140" w:type="dxa"/>
            <w:vAlign w:val="bottom"/>
            <w:tcBorders>
              <w:bottom w:val="single" w:sz="8" w:color="0956FF"/>
            </w:tcBorders>
          </w:tcPr>
          <w:p>
            <w:pPr>
              <w:ind w:left="60"/>
              <w:spacing w:after="0"/>
              <w:rPr>
                <w:sz w:val="20"/>
                <w:szCs w:val="20"/>
                <w:color w:val="auto"/>
              </w:rPr>
            </w:pPr>
            <w:r>
              <w:rPr>
                <w:rFonts w:ascii="Arial" w:cs="Arial" w:eastAsia="Arial" w:hAnsi="Arial"/>
                <w:sz w:val="16"/>
                <w:szCs w:val="16"/>
                <w:color w:val="auto"/>
              </w:rPr>
              <w:t>TOTAL</w:t>
            </w:r>
          </w:p>
        </w:tc>
        <w:tc>
          <w:tcPr>
            <w:tcW w:w="3860" w:type="dxa"/>
            <w:vAlign w:val="bottom"/>
            <w:tcBorders>
              <w:bottom w:val="single" w:sz="8" w:color="0956FF"/>
            </w:tcBorders>
          </w:tcPr>
          <w:p>
            <w:pPr>
              <w:jc w:val="right"/>
              <w:ind w:right="121"/>
              <w:spacing w:after="0"/>
              <w:rPr>
                <w:sz w:val="20"/>
                <w:szCs w:val="20"/>
                <w:color w:val="auto"/>
              </w:rPr>
            </w:pPr>
            <w:r>
              <w:rPr>
                <w:rFonts w:ascii="Arial" w:cs="Arial" w:eastAsia="Arial" w:hAnsi="Arial"/>
                <w:sz w:val="16"/>
                <w:szCs w:val="16"/>
                <w:color w:val="auto"/>
              </w:rPr>
              <w:t>32</w:t>
            </w:r>
          </w:p>
        </w:tc>
        <w:tc>
          <w:tcPr>
            <w:tcW w:w="1080" w:type="dxa"/>
            <w:vAlign w:val="bottom"/>
            <w:tcBorders>
              <w:bottom w:val="single" w:sz="8" w:color="0956FF"/>
            </w:tcBorders>
          </w:tcPr>
          <w:p>
            <w:pPr>
              <w:jc w:val="right"/>
              <w:ind w:right="21"/>
              <w:spacing w:after="0"/>
              <w:rPr>
                <w:sz w:val="20"/>
                <w:szCs w:val="20"/>
                <w:color w:val="auto"/>
              </w:rPr>
            </w:pPr>
            <w:r>
              <w:rPr>
                <w:rFonts w:ascii="Arial" w:cs="Arial" w:eastAsia="Arial" w:hAnsi="Arial"/>
                <w:sz w:val="16"/>
                <w:szCs w:val="16"/>
                <w:color w:val="auto"/>
              </w:rPr>
              <w:t>30</w:t>
            </w:r>
          </w:p>
        </w:tc>
      </w:tr>
    </w:tbl>
    <w:p>
      <w:pPr>
        <w:spacing w:after="0" w:line="229"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b w:val="1"/>
          <w:bCs w:val="1"/>
          <w:color w:val="0956FF"/>
        </w:rPr>
        <w:t xml:space="preserve">Audit Fees </w:t>
      </w:r>
      <w:r>
        <w:rPr>
          <w:rFonts w:ascii="Arial" w:cs="Arial" w:eastAsia="Arial" w:hAnsi="Arial"/>
          <w:sz w:val="16"/>
          <w:szCs w:val="16"/>
          <w:color w:val="000000"/>
        </w:rPr>
        <w:t>– Includes fees for the integrated audit of the Company’s consolidated financial statements and internal control</w:t>
      </w:r>
      <w:r>
        <w:rPr>
          <w:rFonts w:ascii="Arial" w:cs="Arial" w:eastAsia="Arial" w:hAnsi="Arial"/>
          <w:sz w:val="16"/>
          <w:szCs w:val="16"/>
          <w:b w:val="1"/>
          <w:bCs w:val="1"/>
          <w:color w:val="0956FF"/>
        </w:rPr>
        <w:t xml:space="preserve"> </w:t>
      </w:r>
      <w:r>
        <w:rPr>
          <w:rFonts w:ascii="Arial" w:cs="Arial" w:eastAsia="Arial" w:hAnsi="Arial"/>
          <w:sz w:val="16"/>
          <w:szCs w:val="16"/>
          <w:color w:val="000000"/>
        </w:rPr>
        <w:t>over financial reporting, including reviews of the consolidated financial statements contained in the Company’s Annual Report on Form 10-K, the interim financial statements contained in the Company’s Quarterly Reports on Form 10-Q, and audits of statutory financial statements.</w:t>
      </w:r>
    </w:p>
    <w:p>
      <w:pPr>
        <w:spacing w:after="0" w:line="94"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b w:val="1"/>
          <w:bCs w:val="1"/>
          <w:color w:val="0956FF"/>
        </w:rPr>
        <w:t xml:space="preserve">Audit-Related Fees </w:t>
      </w:r>
      <w:r>
        <w:rPr>
          <w:rFonts w:ascii="Arial" w:cs="Arial" w:eastAsia="Arial" w:hAnsi="Arial"/>
          <w:sz w:val="16"/>
          <w:szCs w:val="16"/>
          <w:color w:val="000000"/>
        </w:rPr>
        <w:t>– Includes fees for assurance and related services that are traditionally performed by the independent</w:t>
      </w:r>
      <w:r>
        <w:rPr>
          <w:rFonts w:ascii="Arial" w:cs="Arial" w:eastAsia="Arial" w:hAnsi="Arial"/>
          <w:sz w:val="16"/>
          <w:szCs w:val="16"/>
          <w:b w:val="1"/>
          <w:bCs w:val="1"/>
          <w:color w:val="0956FF"/>
        </w:rPr>
        <w:t xml:space="preserve"> </w:t>
      </w:r>
      <w:r>
        <w:rPr>
          <w:rFonts w:ascii="Arial" w:cs="Arial" w:eastAsia="Arial" w:hAnsi="Arial"/>
          <w:sz w:val="16"/>
          <w:szCs w:val="16"/>
          <w:color w:val="000000"/>
        </w:rPr>
        <w:t>registered public accounting firm. More specifically, these services include employee benefit plan audits, comfort letters in connection with financing transactions, financial due diligence, other attestation services, and consultations concerning financial accounting and reporting standards.</w:t>
      </w:r>
    </w:p>
    <w:p>
      <w:pPr>
        <w:sectPr>
          <w:pgSz w:w="11900" w:h="16838" w:orient="portrait"/>
          <w:cols w:equalWidth="0" w:num="1">
            <w:col w:w="9200"/>
          </w:cols>
          <w:pgMar w:left="1400" w:top="65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37</w:t>
      </w:r>
    </w:p>
    <w:p>
      <w:pPr>
        <w:sectPr>
          <w:pgSz w:w="11900" w:h="16838" w:orient="portrait"/>
          <w:cols w:equalWidth="0" w:num="1">
            <w:col w:w="9200"/>
          </w:cols>
          <w:pgMar w:left="1400" w:top="657" w:right="12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2  </w:t>
      </w:r>
      <w:r>
        <w:rPr>
          <w:rFonts w:ascii="Arial" w:cs="Arial" w:eastAsia="Arial" w:hAnsi="Arial"/>
          <w:sz w:val="14"/>
          <w:szCs w:val="14"/>
          <w:b w:val="1"/>
          <w:bCs w:val="1"/>
          <w:color w:val="000000"/>
        </w:rPr>
        <w:t>Proposal to Ratify the Selection of Ernst &amp; Young LLP as the Company’s</w:t>
      </w:r>
    </w:p>
    <w:p>
      <w:pPr>
        <w:spacing w:after="0" w:line="2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Independent Registered Public Accounting Firm for 2026</w:t>
      </w:r>
    </w:p>
    <w:p>
      <w:pPr>
        <w:spacing w:after="0" w:line="387" w:lineRule="exact"/>
        <w:rPr>
          <w:sz w:val="20"/>
          <w:szCs w:val="20"/>
          <w:color w:val="auto"/>
        </w:rPr>
      </w:pPr>
    </w:p>
    <w:p>
      <w:pPr>
        <w:ind w:right="139"/>
        <w:spacing w:after="0" w:line="295" w:lineRule="auto"/>
        <w:rPr>
          <w:sz w:val="20"/>
          <w:szCs w:val="20"/>
          <w:color w:val="auto"/>
        </w:rPr>
      </w:pPr>
      <w:r>
        <w:rPr>
          <w:rFonts w:ascii="Arial" w:cs="Arial" w:eastAsia="Arial" w:hAnsi="Arial"/>
          <w:sz w:val="16"/>
          <w:szCs w:val="16"/>
          <w:b w:val="1"/>
          <w:bCs w:val="1"/>
          <w:color w:val="0956FF"/>
        </w:rPr>
        <w:t xml:space="preserve">Tax Fees </w:t>
      </w:r>
      <w:r>
        <w:rPr>
          <w:rFonts w:ascii="Arial" w:cs="Arial" w:eastAsia="Arial" w:hAnsi="Arial"/>
          <w:sz w:val="16"/>
          <w:szCs w:val="16"/>
          <w:color w:val="000000"/>
        </w:rPr>
        <w:t>– Includes fees for tax compliance, tax planning, and tax advice. Tax compliance involves preparation of original</w:t>
      </w:r>
      <w:r>
        <w:rPr>
          <w:rFonts w:ascii="Arial" w:cs="Arial" w:eastAsia="Arial" w:hAnsi="Arial"/>
          <w:sz w:val="16"/>
          <w:szCs w:val="16"/>
          <w:b w:val="1"/>
          <w:bCs w:val="1"/>
          <w:color w:val="0956FF"/>
        </w:rPr>
        <w:t xml:space="preserve"> </w:t>
      </w:r>
      <w:r>
        <w:rPr>
          <w:rFonts w:ascii="Arial" w:cs="Arial" w:eastAsia="Arial" w:hAnsi="Arial"/>
          <w:sz w:val="16"/>
          <w:szCs w:val="16"/>
          <w:color w:val="000000"/>
        </w:rPr>
        <w:t>and amended tax returns and claims for refunds.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108" w:lineRule="exact"/>
        <w:rPr>
          <w:sz w:val="20"/>
          <w:szCs w:val="20"/>
          <w:color w:val="auto"/>
        </w:rPr>
      </w:pPr>
    </w:p>
    <w:p>
      <w:pPr>
        <w:ind w:right="579"/>
        <w:spacing w:after="0" w:line="304" w:lineRule="auto"/>
        <w:rPr>
          <w:sz w:val="20"/>
          <w:szCs w:val="20"/>
          <w:color w:val="auto"/>
        </w:rPr>
      </w:pPr>
      <w:r>
        <w:rPr>
          <w:rFonts w:ascii="Arial" w:cs="Arial" w:eastAsia="Arial" w:hAnsi="Arial"/>
          <w:sz w:val="16"/>
          <w:szCs w:val="16"/>
          <w:b w:val="1"/>
          <w:bCs w:val="1"/>
          <w:color w:val="0956FF"/>
        </w:rPr>
        <w:t xml:space="preserve">All Other Fees </w:t>
      </w:r>
      <w:r>
        <w:rPr>
          <w:rFonts w:ascii="Arial" w:cs="Arial" w:eastAsia="Arial" w:hAnsi="Arial"/>
          <w:sz w:val="16"/>
          <w:szCs w:val="16"/>
          <w:color w:val="000000"/>
        </w:rPr>
        <w:t>– Includes fees for services that are not contained in the above categories and consists of permissible</w:t>
      </w:r>
      <w:r>
        <w:rPr>
          <w:rFonts w:ascii="Arial" w:cs="Arial" w:eastAsia="Arial" w:hAnsi="Arial"/>
          <w:sz w:val="16"/>
          <w:szCs w:val="16"/>
          <w:b w:val="1"/>
          <w:bCs w:val="1"/>
          <w:color w:val="0956FF"/>
        </w:rPr>
        <w:t xml:space="preserve"> </w:t>
      </w:r>
      <w:r>
        <w:rPr>
          <w:rFonts w:ascii="Arial" w:cs="Arial" w:eastAsia="Arial" w:hAnsi="Arial"/>
          <w:sz w:val="16"/>
          <w:szCs w:val="16"/>
          <w:color w:val="000000"/>
        </w:rPr>
        <w:t>advisory services.</w:t>
      </w:r>
    </w:p>
    <w:p>
      <w:pPr>
        <w:spacing w:after="0" w:line="216" w:lineRule="exact"/>
        <w:rPr>
          <w:sz w:val="20"/>
          <w:szCs w:val="20"/>
          <w:color w:val="auto"/>
        </w:rPr>
      </w:pPr>
    </w:p>
    <w:p>
      <w:pPr>
        <w:ind w:right="1059"/>
        <w:spacing w:after="0" w:line="276" w:lineRule="auto"/>
        <w:rPr>
          <w:sz w:val="20"/>
          <w:szCs w:val="20"/>
          <w:color w:val="auto"/>
        </w:rPr>
      </w:pPr>
      <w:r>
        <w:rPr>
          <w:rFonts w:ascii="Arial" w:cs="Arial" w:eastAsia="Arial" w:hAnsi="Arial"/>
          <w:sz w:val="40"/>
          <w:szCs w:val="40"/>
          <w:b w:val="1"/>
          <w:bCs w:val="1"/>
          <w:color w:val="0956FF"/>
        </w:rPr>
        <w:t>Policy for Approval of Audit and Permitted Non-Audit Services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services performed by EY in 2025 were pre-approved in accordance with the pre-approval policy and procedures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established by the Audit Committee. This policy requires that, prior to the provision of services by the auditor,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will be presented, for consideration, with a description of the types of Audit-Related, Tax, and All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expected to be performed by the auditor during the fiscal year, with amounts budgeted for each category. Subject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these pre-approved budgets, any requests for individual services falling within these categories for less than $1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approved by management, while any such requests for $1 million or more not specifically contemplated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approved by the Audit Committee must be submitted to the Audit Committee Chair for pre-approval and must be reported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full Audit Committee at its next regularly scheduled meeting. Management must report actual spending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category to the full Audit Committee periodically throughout the year.</w:t>
      </w:r>
    </w:p>
    <w:p>
      <w:pPr>
        <w:spacing w:after="0" w:line="167" w:lineRule="exact"/>
        <w:rPr>
          <w:sz w:val="20"/>
          <w:szCs w:val="20"/>
          <w:color w:val="auto"/>
        </w:rPr>
      </w:pPr>
    </w:p>
    <w:p>
      <w:pPr>
        <w:ind w:right="679"/>
        <w:spacing w:after="0" w:line="295" w:lineRule="auto"/>
        <w:rPr>
          <w:sz w:val="20"/>
          <w:szCs w:val="20"/>
          <w:color w:val="auto"/>
        </w:rPr>
      </w:pPr>
      <w:r>
        <w:rPr>
          <w:rFonts w:ascii="Arial" w:cs="Arial" w:eastAsia="Arial" w:hAnsi="Arial"/>
          <w:sz w:val="16"/>
          <w:szCs w:val="16"/>
          <w:color w:val="auto"/>
        </w:rPr>
        <w:t>These services are actively monitored (both spending and work content) by the Audit Committee to maintain the appropriate objectivity and independence in EY’s core work, which is the annual audit of the Company’s consolidated financial statements and internal control over financial reporting. The Audit Committee determined that all services provided by EY in 2025 were permissible under applicable independence rules.</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9059"/>
          </w:cols>
          <w:pgMar w:left="1400" w:top="657"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Arial" w:cs="Arial" w:eastAsia="Arial" w:hAnsi="Arial"/>
          <w:sz w:val="22"/>
          <w:szCs w:val="22"/>
          <w:color w:val="FFFFFF"/>
        </w:rPr>
        <w:t>ITEM 3</w:t>
      </w:r>
    </w:p>
    <w:p>
      <w:pPr>
        <w:spacing w:after="0" w:line="334" w:lineRule="exact"/>
        <w:rPr>
          <w:sz w:val="20"/>
          <w:szCs w:val="20"/>
          <w:color w:val="auto"/>
        </w:rPr>
      </w:pPr>
    </w:p>
    <w:p>
      <w:pPr>
        <w:ind w:right="799"/>
        <w:spacing w:after="0" w:line="301" w:lineRule="auto"/>
        <w:rPr>
          <w:sz w:val="20"/>
          <w:szCs w:val="20"/>
          <w:color w:val="auto"/>
        </w:rPr>
      </w:pPr>
      <w:r>
        <w:rPr>
          <w:rFonts w:ascii="Arial" w:cs="Arial" w:eastAsia="Arial" w:hAnsi="Arial"/>
          <w:sz w:val="39"/>
          <w:szCs w:val="39"/>
          <w:b w:val="1"/>
          <w:bCs w:val="1"/>
          <w:color w:val="auto"/>
        </w:rPr>
        <w:t>Proposal to Approve, on an Advisory Basis, Named Executive Officer Compensation</w:t>
      </w:r>
    </w:p>
    <w:p>
      <w:pPr>
        <w:spacing w:after="0" w:line="2" w:lineRule="exact"/>
        <w:rPr>
          <w:sz w:val="20"/>
          <w:szCs w:val="20"/>
          <w:color w:val="auto"/>
        </w:rPr>
      </w:pPr>
    </w:p>
    <w:p>
      <w:pPr>
        <w:ind w:right="119"/>
        <w:spacing w:after="0" w:line="291" w:lineRule="auto"/>
        <w:rPr>
          <w:sz w:val="20"/>
          <w:szCs w:val="20"/>
          <w:color w:val="auto"/>
        </w:rPr>
      </w:pPr>
      <w:r>
        <w:rPr>
          <w:rFonts w:ascii="Arial" w:cs="Arial" w:eastAsia="Arial" w:hAnsi="Arial"/>
          <w:sz w:val="16"/>
          <w:szCs w:val="16"/>
          <w:color w:val="auto"/>
        </w:rPr>
        <w:t>Executive compensation is an important matter for our shareholders. The Dodd-Frank Wall Street Reform and Consumer Protection Act requires that we provide you with the opportunity to vote to approve, on a non-binding, advisory basis, the compensation of our NEOs as disclosed in this Proxy Statement in accordance with the compensation disclosure rules of the SEC (sometimes referred to as “Say-on-Pay”). The Board has adopted a policy providing for an annual Say-on-Pay advisory vote.</w:t>
      </w:r>
    </w:p>
    <w:p>
      <w:pPr>
        <w:spacing w:after="0" w:line="100" w:lineRule="exact"/>
        <w:rPr>
          <w:sz w:val="20"/>
          <w:szCs w:val="20"/>
          <w:color w:val="auto"/>
        </w:rPr>
      </w:pPr>
    </w:p>
    <w:p>
      <w:pPr>
        <w:ind w:right="139"/>
        <w:spacing w:after="0" w:line="291" w:lineRule="auto"/>
        <w:rPr>
          <w:sz w:val="20"/>
          <w:szCs w:val="20"/>
          <w:color w:val="auto"/>
        </w:rPr>
      </w:pPr>
      <w:r>
        <w:rPr>
          <w:rFonts w:ascii="Arial" w:cs="Arial" w:eastAsia="Arial" w:hAnsi="Arial"/>
          <w:sz w:val="16"/>
          <w:szCs w:val="16"/>
          <w:color w:val="auto"/>
        </w:rPr>
        <w:t>The Compensation Committee has approved the compensation arrangements for our NEOs described in the Compensation Discussion and Analysis section beginning on page 42 and the accompanying executive compensation tables beginning on page 62. We urge you to read the Compensation Discussion and Analysis for a more complete understanding of our executive compensation plans, including our compensation principles, our objectives, and the 2025 compensation of our NEOs.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are asking shareholders to vote in favor of the following resolution:</w:t>
      </w:r>
    </w:p>
    <w:p>
      <w:pPr>
        <w:spacing w:after="0" w:line="167" w:lineRule="exact"/>
        <w:rPr>
          <w:sz w:val="20"/>
          <w:szCs w:val="20"/>
          <w:color w:val="auto"/>
        </w:rPr>
      </w:pPr>
    </w:p>
    <w:p>
      <w:pPr>
        <w:jc w:val="both"/>
        <w:ind w:right="319"/>
        <w:spacing w:after="0" w:line="301"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Compensation Discussion and Analysis, the executive compensation tables, and the related narrative discussion, is hereby APPROVED.</w:t>
      </w:r>
    </w:p>
    <w:p>
      <w:pPr>
        <w:spacing w:after="0" w:line="104" w:lineRule="exact"/>
        <w:rPr>
          <w:sz w:val="20"/>
          <w:szCs w:val="20"/>
          <w:color w:val="auto"/>
        </w:rPr>
      </w:pPr>
    </w:p>
    <w:p>
      <w:pPr>
        <w:ind w:right="759"/>
        <w:spacing w:after="0" w:line="321" w:lineRule="auto"/>
        <w:rPr>
          <w:sz w:val="20"/>
          <w:szCs w:val="20"/>
          <w:color w:val="auto"/>
        </w:rPr>
      </w:pPr>
      <w:r>
        <w:rPr>
          <w:rFonts w:ascii="Arial" w:cs="Arial" w:eastAsia="Arial" w:hAnsi="Arial"/>
          <w:sz w:val="16"/>
          <w:szCs w:val="16"/>
          <w:color w:val="auto"/>
        </w:rPr>
        <w:t>Although the vote on this item is non-binding, the Board and the Compensation Committee value the opinions of our shareholders and will consider the outcome of the vote when making future compensation decisions for NEOs.</w:t>
      </w:r>
    </w:p>
    <w:p>
      <w:pPr>
        <w:spacing w:after="0" w:line="241" w:lineRule="exact"/>
        <w:rPr>
          <w:sz w:val="20"/>
          <w:szCs w:val="20"/>
          <w:color w:val="auto"/>
        </w:rPr>
      </w:pPr>
    </w:p>
    <w:p>
      <w:pPr>
        <w:ind w:left="560" w:right="859"/>
        <w:spacing w:after="0" w:line="288" w:lineRule="auto"/>
        <w:rPr>
          <w:sz w:val="20"/>
          <w:szCs w:val="20"/>
          <w:color w:val="auto"/>
        </w:rPr>
      </w:pPr>
      <w:r>
        <w:rPr>
          <w:rFonts w:ascii="Arial" w:cs="Arial" w:eastAsia="Arial" w:hAnsi="Arial"/>
          <w:sz w:val="20"/>
          <w:szCs w:val="20"/>
          <w:color w:val="auto"/>
        </w:rPr>
        <w:t xml:space="preserve">The Board recommends a vote </w:t>
      </w:r>
      <w:r>
        <w:rPr>
          <w:rFonts w:ascii="Arial" w:cs="Arial" w:eastAsia="Arial" w:hAnsi="Arial"/>
          <w:sz w:val="20"/>
          <w:szCs w:val="20"/>
          <w:b w:val="1"/>
          <w:bCs w:val="1"/>
          <w:color w:val="0956FF"/>
        </w:rPr>
        <w:t>FOR</w:t>
      </w:r>
      <w:r>
        <w:rPr>
          <w:rFonts w:ascii="Arial" w:cs="Arial" w:eastAsia="Arial" w:hAnsi="Arial"/>
          <w:sz w:val="20"/>
          <w:szCs w:val="20"/>
          <w:color w:val="auto"/>
        </w:rPr>
        <w:t xml:space="preserve"> the advisory proposal to approve named executive officer compensation.</w:t>
      </w:r>
    </w:p>
    <w:p>
      <w:pPr>
        <w:sectPr>
          <w:pgSz w:w="11900" w:h="16838" w:orient="portrait"/>
          <w:cols w:equalWidth="0" w:num="1">
            <w:col w:w="9059"/>
          </w:cols>
          <w:pgMar w:left="1400" w:top="1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39</w:t>
      </w:r>
    </w:p>
    <w:p>
      <w:pPr>
        <w:sectPr>
          <w:pgSz w:w="11900" w:h="16838" w:orient="portrait"/>
          <w:cols w:equalWidth="0" w:num="1">
            <w:col w:w="9059"/>
          </w:cols>
          <w:pgMar w:left="1400" w:top="1339"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39"/>
          <w:szCs w:val="39"/>
          <w:b w:val="1"/>
          <w:bCs w:val="1"/>
          <w:color w:val="0956FF"/>
        </w:rPr>
        <w:t>Letter From the Compensation Committee Chair</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Shareholders:</w:t>
      </w:r>
    </w:p>
    <w:p>
      <w:pPr>
        <w:spacing w:after="0" w:line="99" w:lineRule="exact"/>
        <w:rPr>
          <w:sz w:val="20"/>
          <w:szCs w:val="20"/>
          <w:color w:val="auto"/>
        </w:rPr>
      </w:pPr>
    </w:p>
    <w:p>
      <w:pPr>
        <w:ind w:right="219"/>
        <w:spacing w:after="0" w:line="295" w:lineRule="auto"/>
        <w:rPr>
          <w:sz w:val="20"/>
          <w:szCs w:val="20"/>
          <w:color w:val="auto"/>
        </w:rPr>
      </w:pPr>
      <w:r>
        <w:rPr>
          <w:rFonts w:ascii="Arial" w:cs="Arial" w:eastAsia="Arial" w:hAnsi="Arial"/>
          <w:sz w:val="16"/>
          <w:szCs w:val="16"/>
          <w:color w:val="auto"/>
        </w:rPr>
        <w:t>I’m pleased to be writing to you as the new Chair of GM’s Compensation Committee. Having served on the Committee for several years, I’m honored to have been selected to succeed Wes Bush as Chair. I’m committed to continuing our steadfast focus on aligning our compensation program to our strategy to drive continued success for the Company and its shareholders.</w:t>
      </w:r>
    </w:p>
    <w:p>
      <w:pPr>
        <w:spacing w:after="0" w:line="108" w:lineRule="exact"/>
        <w:rPr>
          <w:sz w:val="20"/>
          <w:szCs w:val="20"/>
          <w:color w:val="auto"/>
        </w:rPr>
      </w:pPr>
    </w:p>
    <w:p>
      <w:pPr>
        <w:ind w:right="179"/>
        <w:spacing w:after="0" w:line="289" w:lineRule="auto"/>
        <w:rPr>
          <w:sz w:val="20"/>
          <w:szCs w:val="20"/>
          <w:color w:val="auto"/>
        </w:rPr>
      </w:pPr>
      <w:r>
        <w:rPr>
          <w:rFonts w:ascii="Arial" w:cs="Arial" w:eastAsia="Arial" w:hAnsi="Arial"/>
          <w:sz w:val="16"/>
          <w:szCs w:val="16"/>
          <w:color w:val="auto"/>
        </w:rPr>
        <w:t>General Motors faced a challenging operating environment this past year, with a rapidly evolving trade and regulatory environment that had significant impact on our industry, and slowing EV demand that resulted in overcapacity in the market. As these dynamics emerged, we reassessed our manufacturing footprint and acted swiftly and decisively to adjust our portfolio. At the same time, we continued to build industry-leading vehicles and delivered exceptional customer experiences. This high level of execution contributed to strong shareholder returns both on an absolute basis and relative to our automotive peers and other relevant benchmarks.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Evolving Our Program</w:t>
      </w:r>
    </w:p>
    <w:p>
      <w:pPr>
        <w:spacing w:after="0" w:line="95" w:lineRule="exact"/>
        <w:rPr>
          <w:sz w:val="20"/>
          <w:szCs w:val="20"/>
          <w:color w:val="auto"/>
        </w:rPr>
      </w:pPr>
    </w:p>
    <w:p>
      <w:pPr>
        <w:ind w:right="299"/>
        <w:spacing w:after="0" w:line="289" w:lineRule="auto"/>
        <w:rPr>
          <w:sz w:val="20"/>
          <w:szCs w:val="20"/>
          <w:color w:val="auto"/>
        </w:rPr>
      </w:pPr>
      <w:r>
        <w:rPr>
          <w:rFonts w:ascii="Arial" w:cs="Arial" w:eastAsia="Arial" w:hAnsi="Arial"/>
          <w:sz w:val="16"/>
          <w:szCs w:val="16"/>
          <w:color w:val="auto"/>
        </w:rPr>
        <w:t>Heading into the year, the Committee adopted a rigorous, formula-based approach to setting our 2025 performance-based incentive targets, while anticipating market and regulatory uncertainty. To proactively manage the impact of these significant variables, we approved a pre-determined list of potential adjustments to the STIP related to material trade and regulatory changes. We also evolved our EV targets to increase the focus on improving EV profitability. For our long-term incentive plan, our 2025-2027 PSUs will be measured entirely against relative performance metrics as our industry navigates ongoing transformation, disruption, and regulatory changes.</w:t>
      </w:r>
    </w:p>
    <w:p>
      <w:pPr>
        <w:spacing w:after="0" w:line="115" w:lineRule="exact"/>
        <w:rPr>
          <w:sz w:val="20"/>
          <w:szCs w:val="20"/>
          <w:color w:val="auto"/>
        </w:rPr>
      </w:pPr>
    </w:p>
    <w:p>
      <w:pPr>
        <w:ind w:right="319"/>
        <w:spacing w:after="0" w:line="295" w:lineRule="auto"/>
        <w:rPr>
          <w:sz w:val="20"/>
          <w:szCs w:val="20"/>
          <w:color w:val="auto"/>
        </w:rPr>
      </w:pPr>
      <w:r>
        <w:rPr>
          <w:rFonts w:ascii="Arial" w:cs="Arial" w:eastAsia="Arial" w:hAnsi="Arial"/>
          <w:sz w:val="16"/>
          <w:szCs w:val="16"/>
          <w:color w:val="auto"/>
        </w:rPr>
        <w:t>Together, the targets we set for our 2025 compensation program were intended to incentivize management to navigate uncertainty, continue to make great products that our customers love, and drive improved profitability. We believe that these clear and challenging targets rewarded management for delivering results that are fully aligned with our shareholder interests. We discuss this in more detail on page 92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2025 Performance and Pay Outcomes</w:t>
      </w:r>
    </w:p>
    <w:p>
      <w:pPr>
        <w:spacing w:after="0" w:line="122" w:lineRule="exact"/>
        <w:rPr>
          <w:sz w:val="20"/>
          <w:szCs w:val="20"/>
          <w:color w:val="auto"/>
        </w:rPr>
      </w:pPr>
    </w:p>
    <w:p>
      <w:pPr>
        <w:ind w:right="139"/>
        <w:spacing w:after="0" w:line="283" w:lineRule="auto"/>
        <w:rPr>
          <w:sz w:val="20"/>
          <w:szCs w:val="20"/>
          <w:color w:val="auto"/>
        </w:rPr>
      </w:pPr>
      <w:r>
        <w:rPr>
          <w:rFonts w:ascii="Arial" w:cs="Arial" w:eastAsia="Arial" w:hAnsi="Arial"/>
          <w:sz w:val="16"/>
          <w:szCs w:val="16"/>
          <w:color w:val="auto"/>
        </w:rPr>
        <w:t>Thanks to the collective efforts of our team, and our compelling vehicle portfolio, the Company was able to deliver another strong year of earnings and cash flow . We achieved strong U.S. vehicle sales, including a 48% year-over-year increase in sales of our award-winning EVs, improved the time to market and quality of critical software launches, increased engineering efficiency, and delivered positive vehicle launch performance.</w:t>
      </w:r>
    </w:p>
    <w:p>
      <w:pPr>
        <w:spacing w:after="0" w:line="118" w:lineRule="exact"/>
        <w:rPr>
          <w:sz w:val="20"/>
          <w:szCs w:val="20"/>
          <w:color w:val="auto"/>
        </w:rPr>
      </w:pPr>
    </w:p>
    <w:p>
      <w:pPr>
        <w:ind w:right="239"/>
        <w:spacing w:after="0" w:line="321" w:lineRule="auto"/>
        <w:rPr>
          <w:sz w:val="20"/>
          <w:szCs w:val="20"/>
          <w:color w:val="auto"/>
        </w:rPr>
      </w:pPr>
      <w:r>
        <w:rPr>
          <w:rFonts w:ascii="Arial" w:cs="Arial" w:eastAsia="Arial" w:hAnsi="Arial"/>
          <w:sz w:val="16"/>
          <w:szCs w:val="16"/>
          <w:color w:val="auto"/>
        </w:rPr>
        <w:t>The result of this was a strong year of value creation, achieving absolute TSR of over 50%. Collectively, these results led to achievement of 118% of target on our short-term plan and payout of 162% of target on our 2023-2025 PSUs.</w:t>
      </w:r>
    </w:p>
    <w:p>
      <w:pPr>
        <w:spacing w:after="0" w:line="75" w:lineRule="exact"/>
        <w:rPr>
          <w:sz w:val="20"/>
          <w:szCs w:val="20"/>
          <w:color w:val="auto"/>
        </w:rPr>
      </w:pPr>
    </w:p>
    <w:p>
      <w:pPr>
        <w:ind w:right="79"/>
        <w:spacing w:after="0" w:line="288" w:lineRule="auto"/>
        <w:rPr>
          <w:sz w:val="20"/>
          <w:szCs w:val="20"/>
          <w:color w:val="auto"/>
        </w:rPr>
      </w:pPr>
      <w:r>
        <w:rPr>
          <w:rFonts w:ascii="Arial" w:cs="Arial" w:eastAsia="Arial" w:hAnsi="Arial"/>
          <w:sz w:val="16"/>
          <w:szCs w:val="16"/>
          <w:color w:val="auto"/>
        </w:rPr>
        <w:t>These results are a clear reflection of the successful efforts of an outstanding executive leadership team, led by our CEO Mary Barra, who is driving our strategic transformation forward in this dynamic operating environment. For 2026, we conducted a thorough assessment of Ms. Barra’s target pay opportunity and approved an increase of 8.1% to her long-term compensation opportunity (granted 75% in PSUs and 25% in RSUs), resulting in a modest increase of 6.2% in target total compensation. This increase is commensurate with our strategy to reward and motivate performance and to offer market-competitive compensation. We believe this adjustment in her target pay, entirely in long-term equity, is aligned with our shareholders’ interests while appropriately recognizing Ms. Barra’s exceptional leadership.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Ongoing Shareholder Engagement</w:t>
      </w:r>
    </w:p>
    <w:p>
      <w:pPr>
        <w:spacing w:after="0" w:line="108" w:lineRule="exact"/>
        <w:rPr>
          <w:sz w:val="20"/>
          <w:szCs w:val="20"/>
          <w:color w:val="auto"/>
        </w:rPr>
      </w:pPr>
    </w:p>
    <w:p>
      <w:pPr>
        <w:ind w:right="79"/>
        <w:spacing w:after="0" w:line="289" w:lineRule="auto"/>
        <w:rPr>
          <w:sz w:val="20"/>
          <w:szCs w:val="20"/>
          <w:color w:val="auto"/>
        </w:rPr>
      </w:pPr>
      <w:r>
        <w:rPr>
          <w:rFonts w:ascii="Arial" w:cs="Arial" w:eastAsia="Arial" w:hAnsi="Arial"/>
          <w:sz w:val="16"/>
          <w:szCs w:val="16"/>
          <w:color w:val="auto"/>
        </w:rPr>
        <w:t>Our shareholders’ perspectives continue to be an important input for the Committee. Following our successful 2025 Say on Pay vote (which garnered the support of over 90% of our shareholders), we continued extensive shareholder engagement to ensure we remain attuned to our investors. I was pleased to have discussions with many of our shareholders beginning in the fall of 2025, alongside our Independent Lead Director, Pat Russo. From these conversations, the Committee understands that investors support our program structure, its continued evolution with our business strategy, and our transparency in explaining our compensation approach. We appreciate your input and look forward to ongoing discussion and feedback.</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9059"/>
          </w:cols>
          <w:pgMar w:left="1400" w:top="657" w:right="1440"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Looking Ahead</w:t>
      </w:r>
    </w:p>
    <w:p>
      <w:pPr>
        <w:spacing w:after="0" w:line="9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This is an exciting time full of opportunities as General Motors continues to evolve its business. Our core business has always been building great vehicles that customers love. Delivering on that promise means investing in the innovation and technology that customers in 2026 expect and demand. To enable us to succeed, we must attract and retain technical talent with skills in key areas such as software design and development, robotics and artificial intelligence. Building beautifully designed, high-performing, and technology-forward vehicles has always been the Company’s mission, and delivering that mission means having a high-performing team with the right skills. In order to execute this talent strategy, we are asking shareholders to approve an increase in the number of shares available for issuance under our 2020 Long-Term Incentive Plan.</w:t>
      </w:r>
    </w:p>
    <w:p>
      <w:pPr>
        <w:spacing w:after="0" w:line="318" w:lineRule="exact"/>
        <w:rPr>
          <w:sz w:val="20"/>
          <w:szCs w:val="20"/>
          <w:color w:val="auto"/>
        </w:rPr>
      </w:pPr>
    </w:p>
    <w:p>
      <w:pPr>
        <w:ind w:right="900"/>
        <w:spacing w:after="0" w:line="321" w:lineRule="auto"/>
        <w:rPr>
          <w:sz w:val="20"/>
          <w:szCs w:val="20"/>
          <w:color w:val="auto"/>
        </w:rPr>
      </w:pPr>
      <w:r>
        <w:rPr>
          <w:rFonts w:ascii="Arial" w:cs="Arial" w:eastAsia="Arial" w:hAnsi="Arial"/>
          <w:sz w:val="16"/>
          <w:szCs w:val="16"/>
          <w:color w:val="auto"/>
        </w:rPr>
        <w:t>On behalf of the Compensation Committee, I appreciate your input and thank you for your ongoing engagement with General Motors.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956FF"/>
        </w:rPr>
        <w:t>Devin N. Wenig</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02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41</w:t>
      </w:r>
    </w:p>
    <w:p>
      <w:pPr>
        <w:sectPr>
          <w:pgSz w:w="11900" w:h="16838" w:orient="portrait"/>
          <w:cols w:equalWidth="0" w:num="1">
            <w:col w:w="9220"/>
          </w:cols>
          <w:pgMar w:left="1400" w:top="657" w:right="127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Compensation Discussion and Analysis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840" w:type="dxa"/>
        <w:tblCellMar>
          <w:top w:w="0" w:type="dxa"/>
          <w:left w:w="0" w:type="dxa"/>
          <w:bottom w:w="0" w:type="dxa"/>
          <w:right w:w="0" w:type="dxa"/>
        </w:tblCellMar>
      </w:tblPr>
      <w:tr>
        <w:trPr>
          <w:trHeight w:val="217"/>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0956FF"/>
              </w:rPr>
              <w:t>Mary T. Barra</w:t>
            </w:r>
          </w:p>
        </w:tc>
        <w:tc>
          <w:tcPr>
            <w:tcW w:w="2520" w:type="dxa"/>
            <w:vAlign w:val="bottom"/>
          </w:tcPr>
          <w:p>
            <w:pPr>
              <w:ind w:left="1020"/>
              <w:spacing w:after="0"/>
              <w:rPr>
                <w:sz w:val="20"/>
                <w:szCs w:val="20"/>
                <w:color w:val="auto"/>
              </w:rPr>
            </w:pPr>
            <w:r>
              <w:rPr>
                <w:rFonts w:ascii="Arial" w:cs="Arial" w:eastAsia="Arial" w:hAnsi="Arial"/>
                <w:sz w:val="18"/>
                <w:szCs w:val="18"/>
                <w:b w:val="1"/>
                <w:bCs w:val="1"/>
                <w:color w:val="0956FF"/>
                <w:w w:val="98"/>
              </w:rPr>
              <w:t>Paul A. Jacobson</w:t>
            </w:r>
          </w:p>
        </w:tc>
        <w:tc>
          <w:tcPr>
            <w:tcW w:w="0" w:type="dxa"/>
            <w:vAlign w:val="bottom"/>
          </w:tcPr>
          <w:p>
            <w:pPr>
              <w:spacing w:after="0"/>
              <w:rPr>
                <w:sz w:val="1"/>
                <w:szCs w:val="1"/>
                <w:color w:val="auto"/>
              </w:rPr>
            </w:pPr>
          </w:p>
        </w:tc>
      </w:tr>
      <w:tr>
        <w:trPr>
          <w:trHeight w:val="189"/>
        </w:trPr>
        <w:tc>
          <w:tcPr>
            <w:tcW w:w="2180" w:type="dxa"/>
            <w:vAlign w:val="bottom"/>
            <w:vMerge w:val="continue"/>
          </w:tcPr>
          <w:p>
            <w:pPr>
              <w:spacing w:after="0"/>
              <w:rPr>
                <w:sz w:val="16"/>
                <w:szCs w:val="16"/>
                <w:color w:val="auto"/>
              </w:rPr>
            </w:pPr>
          </w:p>
        </w:tc>
        <w:tc>
          <w:tcPr>
            <w:tcW w:w="2520" w:type="dxa"/>
            <w:vAlign w:val="bottom"/>
          </w:tcPr>
          <w:p>
            <w:pPr>
              <w:ind w:left="1020"/>
              <w:spacing w:after="0"/>
              <w:rPr>
                <w:sz w:val="20"/>
                <w:szCs w:val="20"/>
                <w:color w:val="auto"/>
              </w:rPr>
            </w:pPr>
            <w:r>
              <w:rPr>
                <w:rFonts w:ascii="Arial" w:cs="Arial" w:eastAsia="Arial" w:hAnsi="Arial"/>
                <w:sz w:val="15"/>
                <w:szCs w:val="15"/>
                <w:color w:val="auto"/>
              </w:rPr>
              <w:t>Executive Vice</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20"/>
                <w:szCs w:val="20"/>
                <w:color w:val="auto"/>
              </w:rPr>
            </w:pPr>
            <w:r>
              <w:rPr>
                <w:rFonts w:ascii="Arial" w:cs="Arial" w:eastAsia="Arial" w:hAnsi="Arial"/>
                <w:sz w:val="15"/>
                <w:szCs w:val="15"/>
                <w:color w:val="auto"/>
              </w:rPr>
              <w:t>Chair and Chief</w:t>
            </w:r>
          </w:p>
        </w:tc>
        <w:tc>
          <w:tcPr>
            <w:tcW w:w="2520" w:type="dxa"/>
            <w:vAlign w:val="bottom"/>
          </w:tcPr>
          <w:p>
            <w:pPr>
              <w:ind w:left="1020"/>
              <w:spacing w:after="0"/>
              <w:rPr>
                <w:sz w:val="20"/>
                <w:szCs w:val="20"/>
                <w:color w:val="auto"/>
              </w:rPr>
            </w:pPr>
            <w:r>
              <w:rPr>
                <w:rFonts w:ascii="Arial" w:cs="Arial" w:eastAsia="Arial" w:hAnsi="Arial"/>
                <w:sz w:val="15"/>
                <w:szCs w:val="15"/>
                <w:color w:val="auto"/>
              </w:rPr>
              <w:t>President and Chief</w:t>
            </w:r>
          </w:p>
        </w:tc>
        <w:tc>
          <w:tcPr>
            <w:tcW w:w="0" w:type="dxa"/>
            <w:vAlign w:val="bottom"/>
          </w:tcPr>
          <w:p>
            <w:pPr>
              <w:spacing w:after="0"/>
              <w:rPr>
                <w:sz w:val="1"/>
                <w:szCs w:val="1"/>
                <w:color w:val="auto"/>
              </w:rPr>
            </w:pPr>
          </w:p>
        </w:tc>
      </w:tr>
      <w:tr>
        <w:trPr>
          <w:trHeight w:val="200"/>
        </w:trPr>
        <w:tc>
          <w:tcPr>
            <w:tcW w:w="2180" w:type="dxa"/>
            <w:vAlign w:val="bottom"/>
          </w:tcPr>
          <w:p>
            <w:pPr>
              <w:spacing w:after="0"/>
              <w:rPr>
                <w:sz w:val="20"/>
                <w:szCs w:val="20"/>
                <w:color w:val="auto"/>
              </w:rPr>
            </w:pPr>
            <w:r>
              <w:rPr>
                <w:rFonts w:ascii="Arial" w:cs="Arial" w:eastAsia="Arial" w:hAnsi="Arial"/>
                <w:sz w:val="15"/>
                <w:szCs w:val="15"/>
                <w:color w:val="auto"/>
              </w:rPr>
              <w:t>Executive Officer</w:t>
            </w:r>
          </w:p>
        </w:tc>
        <w:tc>
          <w:tcPr>
            <w:tcW w:w="2520" w:type="dxa"/>
            <w:vAlign w:val="bottom"/>
          </w:tcPr>
          <w:p>
            <w:pPr>
              <w:ind w:left="1020"/>
              <w:spacing w:after="0"/>
              <w:rPr>
                <w:sz w:val="20"/>
                <w:szCs w:val="20"/>
                <w:color w:val="auto"/>
              </w:rPr>
            </w:pPr>
            <w:r>
              <w:rPr>
                <w:rFonts w:ascii="Arial" w:cs="Arial" w:eastAsia="Arial" w:hAnsi="Arial"/>
                <w:sz w:val="15"/>
                <w:szCs w:val="15"/>
                <w:color w:val="auto"/>
              </w:rPr>
              <w:t>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tbl>
      <w:tblPr>
        <w:tblLayout w:type="fixed"/>
        <w:tblInd w:w="1280" w:type="dxa"/>
        <w:tblCellMar>
          <w:top w:w="0" w:type="dxa"/>
          <w:left w:w="0" w:type="dxa"/>
          <w:bottom w:w="0" w:type="dxa"/>
          <w:right w:w="0" w:type="dxa"/>
        </w:tblCellMar>
      </w:tblPr>
      <w:tr>
        <w:trPr>
          <w:trHeight w:val="217"/>
        </w:trPr>
        <w:tc>
          <w:tcPr>
            <w:tcW w:w="1920" w:type="dxa"/>
            <w:vAlign w:val="bottom"/>
          </w:tcPr>
          <w:p>
            <w:pPr>
              <w:spacing w:after="0"/>
              <w:rPr>
                <w:sz w:val="18"/>
                <w:szCs w:val="18"/>
                <w:color w:val="auto"/>
              </w:rPr>
            </w:pPr>
          </w:p>
        </w:tc>
        <w:tc>
          <w:tcPr>
            <w:tcW w:w="3180" w:type="dxa"/>
            <w:vAlign w:val="bottom"/>
          </w:tcPr>
          <w:p>
            <w:pPr>
              <w:ind w:left="700"/>
              <w:spacing w:after="0"/>
              <w:rPr>
                <w:sz w:val="20"/>
                <w:szCs w:val="20"/>
                <w:color w:val="auto"/>
              </w:rPr>
            </w:pPr>
            <w:r>
              <w:rPr>
                <w:rFonts w:ascii="Arial" w:cs="Arial" w:eastAsia="Arial" w:hAnsi="Arial"/>
                <w:sz w:val="18"/>
                <w:szCs w:val="18"/>
                <w:b w:val="1"/>
                <w:bCs w:val="1"/>
                <w:color w:val="0956FF"/>
              </w:rPr>
              <w:t>Sterling J. Anderson</w:t>
            </w:r>
          </w:p>
        </w:tc>
        <w:tc>
          <w:tcPr>
            <w:tcW w:w="2000" w:type="dxa"/>
            <w:vAlign w:val="bottom"/>
          </w:tcPr>
          <w:p>
            <w:pPr>
              <w:ind w:left="740"/>
              <w:spacing w:after="0"/>
              <w:rPr>
                <w:sz w:val="20"/>
                <w:szCs w:val="20"/>
                <w:color w:val="auto"/>
              </w:rPr>
            </w:pPr>
            <w:r>
              <w:rPr>
                <w:rFonts w:ascii="Arial" w:cs="Arial" w:eastAsia="Arial" w:hAnsi="Arial"/>
                <w:sz w:val="18"/>
                <w:szCs w:val="18"/>
                <w:b w:val="1"/>
                <w:bCs w:val="1"/>
                <w:color w:val="0956FF"/>
                <w:w w:val="96"/>
              </w:rPr>
              <w:t>Rory V. Harvey</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3180" w:type="dxa"/>
            <w:vAlign w:val="bottom"/>
          </w:tcPr>
          <w:p>
            <w:pPr>
              <w:ind w:left="700"/>
              <w:spacing w:after="0"/>
              <w:rPr>
                <w:sz w:val="20"/>
                <w:szCs w:val="20"/>
                <w:color w:val="auto"/>
              </w:rPr>
            </w:pPr>
            <w:r>
              <w:rPr>
                <w:rFonts w:ascii="Arial" w:cs="Arial" w:eastAsia="Arial" w:hAnsi="Arial"/>
                <w:sz w:val="15"/>
                <w:szCs w:val="15"/>
                <w:color w:val="auto"/>
              </w:rPr>
              <w:t>Executive Vice</w:t>
            </w:r>
          </w:p>
        </w:tc>
        <w:tc>
          <w:tcPr>
            <w:tcW w:w="2000" w:type="dxa"/>
            <w:vAlign w:val="bottom"/>
          </w:tcPr>
          <w:p>
            <w:pPr>
              <w:ind w:left="740"/>
              <w:spacing w:after="0"/>
              <w:rPr>
                <w:sz w:val="20"/>
                <w:szCs w:val="20"/>
                <w:color w:val="auto"/>
              </w:rPr>
            </w:pPr>
            <w:r>
              <w:rPr>
                <w:rFonts w:ascii="Arial" w:cs="Arial" w:eastAsia="Arial" w:hAnsi="Arial"/>
                <w:sz w:val="15"/>
                <w:szCs w:val="15"/>
                <w:color w:val="auto"/>
              </w:rPr>
              <w:t>Executive Vice</w:t>
            </w:r>
          </w:p>
        </w:tc>
        <w:tc>
          <w:tcPr>
            <w:tcW w:w="0" w:type="dxa"/>
            <w:vAlign w:val="bottom"/>
          </w:tcPr>
          <w:p>
            <w:pPr>
              <w:spacing w:after="0"/>
              <w:rPr>
                <w:sz w:val="1"/>
                <w:szCs w:val="1"/>
                <w:color w:val="auto"/>
              </w:rPr>
            </w:pPr>
          </w:p>
        </w:tc>
      </w:tr>
      <w:tr>
        <w:trPr>
          <w:trHeight w:val="176"/>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0956FF"/>
              </w:rPr>
              <w:t>Mark L. Reuss</w:t>
            </w:r>
          </w:p>
        </w:tc>
        <w:tc>
          <w:tcPr>
            <w:tcW w:w="3180" w:type="dxa"/>
            <w:vAlign w:val="bottom"/>
          </w:tcPr>
          <w:p>
            <w:pPr>
              <w:ind w:left="700"/>
              <w:spacing w:after="0"/>
              <w:rPr>
                <w:sz w:val="20"/>
                <w:szCs w:val="20"/>
                <w:color w:val="auto"/>
              </w:rPr>
            </w:pPr>
            <w:r>
              <w:rPr>
                <w:rFonts w:ascii="Arial" w:cs="Arial" w:eastAsia="Arial" w:hAnsi="Arial"/>
                <w:sz w:val="15"/>
                <w:szCs w:val="15"/>
                <w:color w:val="auto"/>
              </w:rPr>
              <w:t>President, Global</w:t>
            </w:r>
          </w:p>
        </w:tc>
        <w:tc>
          <w:tcPr>
            <w:tcW w:w="2000" w:type="dxa"/>
            <w:vAlign w:val="bottom"/>
          </w:tcPr>
          <w:p>
            <w:pPr>
              <w:ind w:left="740"/>
              <w:spacing w:after="0"/>
              <w:rPr>
                <w:sz w:val="20"/>
                <w:szCs w:val="20"/>
                <w:color w:val="auto"/>
              </w:rPr>
            </w:pPr>
            <w:r>
              <w:rPr>
                <w:rFonts w:ascii="Arial" w:cs="Arial" w:eastAsia="Arial" w:hAnsi="Arial"/>
                <w:sz w:val="15"/>
                <w:szCs w:val="15"/>
                <w:color w:val="auto"/>
              </w:rPr>
              <w:t>President and</w:t>
            </w:r>
          </w:p>
        </w:tc>
        <w:tc>
          <w:tcPr>
            <w:tcW w:w="0" w:type="dxa"/>
            <w:vAlign w:val="bottom"/>
          </w:tcPr>
          <w:p>
            <w:pPr>
              <w:spacing w:after="0"/>
              <w:rPr>
                <w:sz w:val="1"/>
                <w:szCs w:val="1"/>
                <w:color w:val="auto"/>
              </w:rPr>
            </w:pPr>
          </w:p>
        </w:tc>
      </w:tr>
      <w:tr>
        <w:trPr>
          <w:trHeight w:val="189"/>
        </w:trPr>
        <w:tc>
          <w:tcPr>
            <w:tcW w:w="1920" w:type="dxa"/>
            <w:vAlign w:val="bottom"/>
            <w:vMerge w:val="continue"/>
          </w:tcPr>
          <w:p>
            <w:pPr>
              <w:spacing w:after="0"/>
              <w:rPr>
                <w:sz w:val="16"/>
                <w:szCs w:val="16"/>
                <w:color w:val="auto"/>
              </w:rPr>
            </w:pPr>
          </w:p>
        </w:tc>
        <w:tc>
          <w:tcPr>
            <w:tcW w:w="3180" w:type="dxa"/>
            <w:vAlign w:val="bottom"/>
          </w:tcPr>
          <w:p>
            <w:pPr>
              <w:ind w:left="700"/>
              <w:spacing w:after="0"/>
              <w:rPr>
                <w:sz w:val="20"/>
                <w:szCs w:val="20"/>
                <w:color w:val="auto"/>
              </w:rPr>
            </w:pPr>
            <w:r>
              <w:rPr>
                <w:rFonts w:ascii="Arial" w:cs="Arial" w:eastAsia="Arial" w:hAnsi="Arial"/>
                <w:sz w:val="15"/>
                <w:szCs w:val="15"/>
                <w:color w:val="auto"/>
              </w:rPr>
              <w:t>Product and Chief</w:t>
            </w:r>
          </w:p>
        </w:tc>
        <w:tc>
          <w:tcPr>
            <w:tcW w:w="2000" w:type="dxa"/>
            <w:vAlign w:val="bottom"/>
          </w:tcPr>
          <w:p>
            <w:pPr>
              <w:ind w:left="740"/>
              <w:spacing w:after="0"/>
              <w:rPr>
                <w:sz w:val="20"/>
                <w:szCs w:val="20"/>
                <w:color w:val="auto"/>
              </w:rPr>
            </w:pPr>
            <w:r>
              <w:rPr>
                <w:rFonts w:ascii="Arial" w:cs="Arial" w:eastAsia="Arial" w:hAnsi="Arial"/>
                <w:sz w:val="15"/>
                <w:szCs w:val="15"/>
                <w:color w:val="auto"/>
              </w:rPr>
              <w:t>President, Global</w:t>
            </w:r>
          </w:p>
        </w:tc>
        <w:tc>
          <w:tcPr>
            <w:tcW w:w="0" w:type="dxa"/>
            <w:vAlign w:val="bottom"/>
          </w:tcPr>
          <w:p>
            <w:pPr>
              <w:spacing w:after="0"/>
              <w:rPr>
                <w:sz w:val="1"/>
                <w:szCs w:val="1"/>
                <w:color w:val="auto"/>
              </w:rPr>
            </w:pPr>
          </w:p>
        </w:tc>
      </w:tr>
      <w:tr>
        <w:trPr>
          <w:trHeight w:val="200"/>
        </w:trPr>
        <w:tc>
          <w:tcPr>
            <w:tcW w:w="1920" w:type="dxa"/>
            <w:vAlign w:val="bottom"/>
          </w:tcPr>
          <w:p>
            <w:pPr>
              <w:spacing w:after="0"/>
              <w:rPr>
                <w:sz w:val="20"/>
                <w:szCs w:val="20"/>
                <w:color w:val="auto"/>
              </w:rPr>
            </w:pPr>
            <w:r>
              <w:rPr>
                <w:rFonts w:ascii="Arial" w:cs="Arial" w:eastAsia="Arial" w:hAnsi="Arial"/>
                <w:sz w:val="15"/>
                <w:szCs w:val="15"/>
                <w:color w:val="auto"/>
              </w:rPr>
              <w:t>President</w:t>
            </w:r>
          </w:p>
        </w:tc>
        <w:tc>
          <w:tcPr>
            <w:tcW w:w="3180" w:type="dxa"/>
            <w:vAlign w:val="bottom"/>
          </w:tcPr>
          <w:p>
            <w:pPr>
              <w:ind w:left="700"/>
              <w:spacing w:after="0"/>
              <w:rPr>
                <w:sz w:val="20"/>
                <w:szCs w:val="20"/>
                <w:color w:val="auto"/>
              </w:rPr>
            </w:pPr>
            <w:r>
              <w:rPr>
                <w:rFonts w:ascii="Arial" w:cs="Arial" w:eastAsia="Arial" w:hAnsi="Arial"/>
                <w:sz w:val="15"/>
                <w:szCs w:val="15"/>
                <w:color w:val="auto"/>
              </w:rPr>
              <w:t>Product Officer</w:t>
            </w:r>
          </w:p>
        </w:tc>
        <w:tc>
          <w:tcPr>
            <w:tcW w:w="2000" w:type="dxa"/>
            <w:vAlign w:val="bottom"/>
          </w:tcPr>
          <w:p>
            <w:pPr>
              <w:ind w:left="740"/>
              <w:spacing w:after="0"/>
              <w:rPr>
                <w:sz w:val="20"/>
                <w:szCs w:val="20"/>
                <w:color w:val="auto"/>
              </w:rPr>
            </w:pPr>
            <w:r>
              <w:rPr>
                <w:rFonts w:ascii="Arial" w:cs="Arial" w:eastAsia="Arial" w:hAnsi="Arial"/>
                <w:sz w:val="15"/>
                <w:szCs w:val="15"/>
                <w:color w:val="auto"/>
              </w:rPr>
              <w:t>Markets</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Table of Contents</w:t>
      </w:r>
    </w:p>
    <w:p>
      <w:pPr>
        <w:sectPr>
          <w:pgSz w:w="11900" w:h="16838" w:orient="portrait"/>
          <w:cols w:equalWidth="0" w:num="1">
            <w:col w:w="9059"/>
          </w:cols>
          <w:pgMar w:left="1400" w:top="657" w:right="1440" w:bottom="1440" w:gutter="0" w:footer="0" w:header="0"/>
        </w:sectPr>
      </w:pPr>
    </w:p>
    <w:p>
      <w:pPr>
        <w:spacing w:after="0" w:line="31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Executive Summary</w:t>
      </w:r>
    </w:p>
    <w:p>
      <w:pPr>
        <w:spacing w:after="0" w:line="77" w:lineRule="exact"/>
        <w:rPr>
          <w:sz w:val="20"/>
          <w:szCs w:val="20"/>
          <w:color w:val="auto"/>
        </w:rPr>
      </w:pPr>
    </w:p>
    <w:p>
      <w:pPr>
        <w:ind w:left="180" w:right="525"/>
        <w:spacing w:after="0" w:line="400" w:lineRule="auto"/>
        <w:rPr>
          <w:sz w:val="20"/>
          <w:szCs w:val="20"/>
          <w:color w:val="auto"/>
        </w:rPr>
      </w:pPr>
      <w:r>
        <w:rPr>
          <w:rFonts w:ascii="Arial" w:cs="Arial" w:eastAsia="Arial" w:hAnsi="Arial"/>
          <w:sz w:val="14"/>
          <w:szCs w:val="14"/>
          <w:color w:val="auto"/>
        </w:rPr>
        <w:t>Our Company Performance 2025 Financial Highlights Shareholder Outreach Key Updates for 2025 Compensation Principles 2025 Compensation Highlights Compensation Governance Best Practices</w:t>
      </w: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956FF"/>
        </w:rPr>
        <w:t>2025 NEO Compensation</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Target Compensation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Salary</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Incentive Compensation</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Long-Term Incentive Compensation</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Perquisites and Other Compensation</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15" w:type="dxa"/>
        <w:tblCellMar>
          <w:top w:w="0" w:type="dxa"/>
          <w:left w:w="0" w:type="dxa"/>
          <w:bottom w:w="0" w:type="dxa"/>
          <w:right w:w="0" w:type="dxa"/>
        </w:tblCellMar>
      </w:tblPr>
      <w:tr>
        <w:trPr>
          <w:trHeight w:val="223"/>
        </w:trPr>
        <w:tc>
          <w:tcPr>
            <w:tcW w:w="400" w:type="dxa"/>
            <w:vAlign w:val="bottom"/>
          </w:tcPr>
          <w:p>
            <w:pPr>
              <w:jc w:val="right"/>
              <w:ind w:right="147"/>
              <w:spacing w:after="0"/>
              <w:rPr>
                <w:sz w:val="20"/>
                <w:szCs w:val="20"/>
                <w:color w:val="auto"/>
              </w:rPr>
            </w:pPr>
            <w:r>
              <w:rPr>
                <w:rFonts w:ascii="Arial" w:cs="Arial" w:eastAsia="Arial" w:hAnsi="Arial"/>
                <w:sz w:val="16"/>
                <w:szCs w:val="16"/>
                <w:b w:val="1"/>
                <w:bCs w:val="1"/>
                <w:color w:val="0956FF"/>
                <w:w w:val="89"/>
              </w:rPr>
              <w:t>43</w:t>
            </w:r>
          </w:p>
        </w:tc>
        <w:tc>
          <w:tcPr>
            <w:tcW w:w="4200" w:type="dxa"/>
            <w:vAlign w:val="bottom"/>
          </w:tcPr>
          <w:p>
            <w:pPr>
              <w:ind w:left="220"/>
              <w:spacing w:after="0"/>
              <w:rPr>
                <w:sz w:val="20"/>
                <w:szCs w:val="20"/>
                <w:color w:val="auto"/>
              </w:rPr>
            </w:pPr>
            <w:r>
              <w:rPr>
                <w:rFonts w:ascii="Arial" w:cs="Arial" w:eastAsia="Arial" w:hAnsi="Arial"/>
                <w:sz w:val="16"/>
                <w:szCs w:val="16"/>
                <w:b w:val="1"/>
                <w:bCs w:val="1"/>
                <w:color w:val="0956FF"/>
              </w:rPr>
              <w:t>Compensation Decision-Making Process</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0956FF"/>
              </w:rPr>
              <w:t>55</w:t>
            </w:r>
          </w:p>
        </w:tc>
        <w:tc>
          <w:tcPr>
            <w:tcW w:w="0" w:type="dxa"/>
            <w:vAlign w:val="bottom"/>
          </w:tcPr>
          <w:p>
            <w:pPr>
              <w:spacing w:after="0"/>
              <w:rPr>
                <w:sz w:val="1"/>
                <w:szCs w:val="1"/>
                <w:color w:val="auto"/>
              </w:rPr>
            </w:pPr>
          </w:p>
        </w:tc>
      </w:tr>
      <w:tr>
        <w:trPr>
          <w:trHeight w:val="229"/>
        </w:trPr>
        <w:tc>
          <w:tcPr>
            <w:tcW w:w="400" w:type="dxa"/>
            <w:vAlign w:val="bottom"/>
          </w:tcPr>
          <w:p>
            <w:pPr>
              <w:jc w:val="right"/>
              <w:ind w:right="147"/>
              <w:spacing w:after="0"/>
              <w:rPr>
                <w:sz w:val="20"/>
                <w:szCs w:val="20"/>
                <w:color w:val="auto"/>
              </w:rPr>
            </w:pPr>
            <w:r>
              <w:rPr>
                <w:rFonts w:ascii="Arial" w:cs="Arial" w:eastAsia="Arial" w:hAnsi="Arial"/>
                <w:sz w:val="14"/>
                <w:szCs w:val="14"/>
                <w:color w:val="auto"/>
              </w:rPr>
              <w:t>43</w:t>
            </w:r>
          </w:p>
        </w:tc>
        <w:tc>
          <w:tcPr>
            <w:tcW w:w="4200" w:type="dxa"/>
            <w:vAlign w:val="bottom"/>
          </w:tcPr>
          <w:p>
            <w:pPr>
              <w:ind w:left="340"/>
              <w:spacing w:after="0"/>
              <w:rPr>
                <w:sz w:val="20"/>
                <w:szCs w:val="20"/>
                <w:color w:val="auto"/>
              </w:rPr>
            </w:pPr>
            <w:r>
              <w:rPr>
                <w:rFonts w:ascii="Arial" w:cs="Arial" w:eastAsia="Arial" w:hAnsi="Arial"/>
                <w:sz w:val="14"/>
                <w:szCs w:val="14"/>
                <w:color w:val="auto"/>
              </w:rPr>
              <w:t>Roles and Responsibilities</w:t>
            </w:r>
          </w:p>
        </w:tc>
        <w:tc>
          <w:tcPr>
            <w:tcW w:w="2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57"/>
        </w:trPr>
        <w:tc>
          <w:tcPr>
            <w:tcW w:w="400" w:type="dxa"/>
            <w:vAlign w:val="bottom"/>
          </w:tcPr>
          <w:p>
            <w:pPr>
              <w:jc w:val="right"/>
              <w:ind w:right="147"/>
              <w:spacing w:after="0"/>
              <w:rPr>
                <w:sz w:val="20"/>
                <w:szCs w:val="20"/>
                <w:color w:val="auto"/>
              </w:rPr>
            </w:pPr>
            <w:r>
              <w:rPr>
                <w:rFonts w:ascii="Arial" w:cs="Arial" w:eastAsia="Arial" w:hAnsi="Arial"/>
                <w:sz w:val="14"/>
                <w:szCs w:val="14"/>
                <w:color w:val="auto"/>
              </w:rPr>
              <w:t>43</w:t>
            </w:r>
          </w:p>
        </w:tc>
        <w:tc>
          <w:tcPr>
            <w:tcW w:w="4200" w:type="dxa"/>
            <w:vAlign w:val="bottom"/>
          </w:tcPr>
          <w:p>
            <w:pPr>
              <w:ind w:left="340"/>
              <w:spacing w:after="0"/>
              <w:rPr>
                <w:sz w:val="20"/>
                <w:szCs w:val="20"/>
                <w:color w:val="auto"/>
              </w:rPr>
            </w:pPr>
            <w:r>
              <w:rPr>
                <w:rFonts w:ascii="Arial" w:cs="Arial" w:eastAsia="Arial" w:hAnsi="Arial"/>
                <w:sz w:val="14"/>
                <w:szCs w:val="14"/>
                <w:color w:val="auto"/>
              </w:rPr>
              <w:t>Peer Group</w:t>
            </w:r>
          </w:p>
        </w:tc>
        <w:tc>
          <w:tcPr>
            <w:tcW w:w="2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57"/>
        </w:trPr>
        <w:tc>
          <w:tcPr>
            <w:tcW w:w="400" w:type="dxa"/>
            <w:vAlign w:val="bottom"/>
          </w:tcPr>
          <w:p>
            <w:pPr>
              <w:jc w:val="right"/>
              <w:ind w:right="167"/>
              <w:spacing w:after="0"/>
              <w:rPr>
                <w:sz w:val="20"/>
                <w:szCs w:val="20"/>
                <w:color w:val="auto"/>
              </w:rPr>
            </w:pPr>
            <w:r>
              <w:rPr>
                <w:rFonts w:ascii="Arial" w:cs="Arial" w:eastAsia="Arial" w:hAnsi="Arial"/>
                <w:sz w:val="14"/>
                <w:szCs w:val="14"/>
                <w:color w:val="auto"/>
                <w:w w:val="89"/>
              </w:rPr>
              <w:t>44</w:t>
            </w:r>
          </w:p>
        </w:tc>
        <w:tc>
          <w:tcPr>
            <w:tcW w:w="4200" w:type="dxa"/>
            <w:vAlign w:val="bottom"/>
          </w:tcPr>
          <w:p>
            <w:pPr>
              <w:ind w:left="340"/>
              <w:spacing w:after="0"/>
              <w:rPr>
                <w:sz w:val="20"/>
                <w:szCs w:val="20"/>
                <w:color w:val="auto"/>
              </w:rPr>
            </w:pPr>
            <w:r>
              <w:rPr>
                <w:rFonts w:ascii="Arial" w:cs="Arial" w:eastAsia="Arial" w:hAnsi="Arial"/>
                <w:sz w:val="14"/>
                <w:szCs w:val="14"/>
                <w:color w:val="auto"/>
              </w:rPr>
              <w:t>Compensation Risk Assessment</w:t>
            </w:r>
          </w:p>
        </w:tc>
        <w:tc>
          <w:tcPr>
            <w:tcW w:w="2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6"/>
        </w:trPr>
        <w:tc>
          <w:tcPr>
            <w:tcW w:w="400" w:type="dxa"/>
            <w:vAlign w:val="bottom"/>
          </w:tcPr>
          <w:p>
            <w:pPr>
              <w:jc w:val="right"/>
              <w:ind w:right="167"/>
              <w:spacing w:after="0"/>
              <w:rPr>
                <w:sz w:val="20"/>
                <w:szCs w:val="20"/>
                <w:color w:val="auto"/>
              </w:rPr>
            </w:pPr>
            <w:r>
              <w:rPr>
                <w:rFonts w:ascii="Arial" w:cs="Arial" w:eastAsia="Arial" w:hAnsi="Arial"/>
                <w:sz w:val="14"/>
                <w:szCs w:val="14"/>
                <w:color w:val="auto"/>
                <w:w w:val="89"/>
              </w:rPr>
              <w:t>44</w:t>
            </w:r>
          </w:p>
        </w:tc>
        <w:tc>
          <w:tcPr>
            <w:tcW w:w="4200" w:type="dxa"/>
            <w:vAlign w:val="bottom"/>
            <w:vMerge w:val="restart"/>
          </w:tcPr>
          <w:p>
            <w:pPr>
              <w:ind w:left="220"/>
              <w:spacing w:after="0"/>
              <w:rPr>
                <w:sz w:val="20"/>
                <w:szCs w:val="20"/>
                <w:color w:val="auto"/>
              </w:rPr>
            </w:pPr>
            <w:r>
              <w:rPr>
                <w:rFonts w:ascii="Arial" w:cs="Arial" w:eastAsia="Arial" w:hAnsi="Arial"/>
                <w:sz w:val="16"/>
                <w:szCs w:val="16"/>
                <w:b w:val="1"/>
                <w:bCs w:val="1"/>
                <w:color w:val="0956FF"/>
              </w:rPr>
              <w:t>Compensation Policies and Governance Practices</w:t>
            </w: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0956FF"/>
              </w:rPr>
              <w:t>59</w:t>
            </w:r>
          </w:p>
        </w:tc>
        <w:tc>
          <w:tcPr>
            <w:tcW w:w="0" w:type="dxa"/>
            <w:vAlign w:val="bottom"/>
          </w:tcPr>
          <w:p>
            <w:pPr>
              <w:spacing w:after="0"/>
              <w:rPr>
                <w:sz w:val="1"/>
                <w:szCs w:val="1"/>
                <w:color w:val="auto"/>
              </w:rPr>
            </w:pPr>
          </w:p>
        </w:tc>
      </w:tr>
      <w:tr>
        <w:trPr>
          <w:trHeight w:val="82"/>
        </w:trPr>
        <w:tc>
          <w:tcPr>
            <w:tcW w:w="400" w:type="dxa"/>
            <w:vAlign w:val="bottom"/>
            <w:vMerge w:val="restart"/>
          </w:tcPr>
          <w:p>
            <w:pPr>
              <w:jc w:val="right"/>
              <w:ind w:right="147"/>
              <w:spacing w:after="0"/>
              <w:rPr>
                <w:sz w:val="20"/>
                <w:szCs w:val="20"/>
                <w:color w:val="auto"/>
              </w:rPr>
            </w:pPr>
            <w:r>
              <w:rPr>
                <w:rFonts w:ascii="Arial" w:cs="Arial" w:eastAsia="Arial" w:hAnsi="Arial"/>
                <w:sz w:val="14"/>
                <w:szCs w:val="14"/>
                <w:color w:val="auto"/>
              </w:rPr>
              <w:t>45</w:t>
            </w:r>
          </w:p>
        </w:tc>
        <w:tc>
          <w:tcPr>
            <w:tcW w:w="42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00" w:type="dxa"/>
            <w:vAlign w:val="bottom"/>
            <w:vMerge w:val="continue"/>
          </w:tcPr>
          <w:p>
            <w:pPr>
              <w:spacing w:after="0"/>
              <w:rPr>
                <w:sz w:val="15"/>
                <w:szCs w:val="15"/>
                <w:color w:val="auto"/>
              </w:rPr>
            </w:pPr>
          </w:p>
        </w:tc>
        <w:tc>
          <w:tcPr>
            <w:tcW w:w="4200" w:type="dxa"/>
            <w:vAlign w:val="bottom"/>
            <w:vMerge w:val="restart"/>
          </w:tcPr>
          <w:p>
            <w:pPr>
              <w:ind w:left="340"/>
              <w:spacing w:after="0"/>
              <w:rPr>
                <w:sz w:val="20"/>
                <w:szCs w:val="20"/>
                <w:color w:val="auto"/>
              </w:rPr>
            </w:pPr>
            <w:r>
              <w:rPr>
                <w:rFonts w:ascii="Arial" w:cs="Arial" w:eastAsia="Arial" w:hAnsi="Arial"/>
                <w:sz w:val="14"/>
                <w:szCs w:val="14"/>
                <w:color w:val="auto"/>
              </w:rPr>
              <w:t>Stock Ownership Requirements</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68"/>
        </w:trPr>
        <w:tc>
          <w:tcPr>
            <w:tcW w:w="400" w:type="dxa"/>
            <w:vAlign w:val="bottom"/>
            <w:vMerge w:val="restart"/>
          </w:tcPr>
          <w:p>
            <w:pPr>
              <w:jc w:val="right"/>
              <w:ind w:right="147"/>
              <w:spacing w:after="0"/>
              <w:rPr>
                <w:sz w:val="20"/>
                <w:szCs w:val="20"/>
                <w:color w:val="auto"/>
              </w:rPr>
            </w:pPr>
            <w:r>
              <w:rPr>
                <w:rFonts w:ascii="Arial" w:cs="Arial" w:eastAsia="Arial" w:hAnsi="Arial"/>
                <w:sz w:val="14"/>
                <w:szCs w:val="14"/>
                <w:color w:val="auto"/>
              </w:rPr>
              <w:t>45</w:t>
            </w:r>
          </w:p>
        </w:tc>
        <w:tc>
          <w:tcPr>
            <w:tcW w:w="42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0" w:type="dxa"/>
            <w:vAlign w:val="bottom"/>
            <w:vMerge w:val="continue"/>
          </w:tcPr>
          <w:p>
            <w:pPr>
              <w:spacing w:after="0"/>
              <w:rPr>
                <w:sz w:val="16"/>
                <w:szCs w:val="16"/>
                <w:color w:val="auto"/>
              </w:rPr>
            </w:pPr>
          </w:p>
        </w:tc>
        <w:tc>
          <w:tcPr>
            <w:tcW w:w="4200" w:type="dxa"/>
            <w:vAlign w:val="bottom"/>
            <w:vMerge w:val="restart"/>
          </w:tcPr>
          <w:p>
            <w:pPr>
              <w:ind w:left="340"/>
              <w:spacing w:after="0"/>
              <w:rPr>
                <w:sz w:val="20"/>
                <w:szCs w:val="20"/>
                <w:color w:val="auto"/>
              </w:rPr>
            </w:pPr>
            <w:r>
              <w:rPr>
                <w:rFonts w:ascii="Arial" w:cs="Arial" w:eastAsia="Arial" w:hAnsi="Arial"/>
                <w:sz w:val="14"/>
                <w:szCs w:val="14"/>
                <w:color w:val="auto"/>
              </w:rPr>
              <w:t>Policy on Recoupment of Incentive Compensation</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68"/>
        </w:trPr>
        <w:tc>
          <w:tcPr>
            <w:tcW w:w="400" w:type="dxa"/>
            <w:vAlign w:val="bottom"/>
            <w:vMerge w:val="restart"/>
          </w:tcPr>
          <w:p>
            <w:pPr>
              <w:jc w:val="right"/>
              <w:ind w:right="147"/>
              <w:spacing w:after="0"/>
              <w:rPr>
                <w:sz w:val="20"/>
                <w:szCs w:val="20"/>
                <w:color w:val="auto"/>
              </w:rPr>
            </w:pPr>
            <w:r>
              <w:rPr>
                <w:rFonts w:ascii="Arial" w:cs="Arial" w:eastAsia="Arial" w:hAnsi="Arial"/>
                <w:sz w:val="14"/>
                <w:szCs w:val="14"/>
                <w:color w:val="auto"/>
              </w:rPr>
              <w:t>47</w:t>
            </w:r>
          </w:p>
        </w:tc>
        <w:tc>
          <w:tcPr>
            <w:tcW w:w="42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0" w:type="dxa"/>
            <w:vAlign w:val="bottom"/>
            <w:vMerge w:val="continue"/>
          </w:tcPr>
          <w:p>
            <w:pPr>
              <w:spacing w:after="0"/>
              <w:rPr>
                <w:sz w:val="16"/>
                <w:szCs w:val="16"/>
                <w:color w:val="auto"/>
              </w:rPr>
            </w:pPr>
          </w:p>
        </w:tc>
        <w:tc>
          <w:tcPr>
            <w:tcW w:w="4200" w:type="dxa"/>
            <w:vAlign w:val="bottom"/>
            <w:vMerge w:val="restart"/>
          </w:tcPr>
          <w:p>
            <w:pPr>
              <w:ind w:left="340"/>
              <w:spacing w:after="0"/>
              <w:rPr>
                <w:sz w:val="20"/>
                <w:szCs w:val="20"/>
                <w:color w:val="auto"/>
              </w:rPr>
            </w:pPr>
            <w:r>
              <w:rPr>
                <w:rFonts w:ascii="Arial" w:cs="Arial" w:eastAsia="Arial" w:hAnsi="Arial"/>
                <w:sz w:val="14"/>
                <w:szCs w:val="14"/>
                <w:color w:val="auto"/>
              </w:rPr>
              <w:t>Trading GM Securities</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42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755" w:hanging="755"/>
        <w:spacing w:after="0"/>
        <w:tabs>
          <w:tab w:leader="none" w:pos="755" w:val="left"/>
        </w:tabs>
        <w:numPr>
          <w:ilvl w:val="0"/>
          <w:numId w:val="61"/>
        </w:numPr>
        <w:rPr>
          <w:rFonts w:ascii="Arial" w:cs="Arial" w:eastAsia="Arial" w:hAnsi="Arial"/>
          <w:sz w:val="16"/>
          <w:szCs w:val="16"/>
          <w:b w:val="1"/>
          <w:bCs w:val="1"/>
          <w:color w:val="0956FF"/>
        </w:rPr>
      </w:pPr>
      <w:r>
        <w:rPr>
          <w:rFonts w:ascii="Arial" w:cs="Arial" w:eastAsia="Arial" w:hAnsi="Arial"/>
          <w:sz w:val="14"/>
          <w:szCs w:val="14"/>
          <w:color w:val="auto"/>
        </w:rPr>
        <w:t>Policies and Practices Related to Timing of</w:t>
      </w:r>
    </w:p>
    <w:tbl>
      <w:tblPr>
        <w:tblLayout w:type="fixed"/>
        <w:tblInd w:w="35" w:type="dxa"/>
        <w:tblCellMar>
          <w:top w:w="0" w:type="dxa"/>
          <w:left w:w="0" w:type="dxa"/>
          <w:bottom w:w="0" w:type="dxa"/>
          <w:right w:w="0" w:type="dxa"/>
        </w:tblCellMar>
      </w:tblPr>
      <w:tr>
        <w:trPr>
          <w:trHeight w:val="190"/>
        </w:trPr>
        <w:tc>
          <w:tcPr>
            <w:tcW w:w="440" w:type="dxa"/>
            <w:vAlign w:val="bottom"/>
            <w:vMerge w:val="restart"/>
          </w:tcPr>
          <w:p>
            <w:pPr>
              <w:jc w:val="right"/>
              <w:ind w:right="208"/>
              <w:spacing w:after="0"/>
              <w:rPr>
                <w:sz w:val="20"/>
                <w:szCs w:val="20"/>
                <w:color w:val="auto"/>
              </w:rPr>
            </w:pPr>
            <w:r>
              <w:rPr>
                <w:rFonts w:ascii="Arial" w:cs="Arial" w:eastAsia="Arial" w:hAnsi="Arial"/>
                <w:sz w:val="14"/>
                <w:szCs w:val="14"/>
                <w:color w:val="auto"/>
                <w:w w:val="89"/>
              </w:rPr>
              <w:t>48</w:t>
            </w:r>
          </w:p>
        </w:tc>
        <w:tc>
          <w:tcPr>
            <w:tcW w:w="3600" w:type="dxa"/>
            <w:vAlign w:val="bottom"/>
          </w:tcPr>
          <w:p>
            <w:pPr>
              <w:ind w:left="280"/>
              <w:spacing w:after="0"/>
              <w:rPr>
                <w:sz w:val="20"/>
                <w:szCs w:val="20"/>
                <w:color w:val="auto"/>
              </w:rPr>
            </w:pPr>
            <w:r>
              <w:rPr>
                <w:rFonts w:ascii="Arial" w:cs="Arial" w:eastAsia="Arial" w:hAnsi="Arial"/>
                <w:sz w:val="14"/>
                <w:szCs w:val="14"/>
                <w:color w:val="auto"/>
              </w:rPr>
              <w:t>Equity Awards</w:t>
            </w: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53"/>
        </w:trPr>
        <w:tc>
          <w:tcPr>
            <w:tcW w:w="440" w:type="dxa"/>
            <w:vAlign w:val="bottom"/>
            <w:vMerge w:val="continue"/>
          </w:tcPr>
          <w:p>
            <w:pPr>
              <w:spacing w:after="0"/>
              <w:rPr>
                <w:sz w:val="4"/>
                <w:szCs w:val="4"/>
                <w:color w:val="auto"/>
              </w:rPr>
            </w:pPr>
          </w:p>
        </w:tc>
        <w:tc>
          <w:tcPr>
            <w:tcW w:w="3600" w:type="dxa"/>
            <w:vAlign w:val="bottom"/>
            <w:vMerge w:val="restart"/>
          </w:tcPr>
          <w:p>
            <w:pPr>
              <w:ind w:left="280"/>
              <w:spacing w:after="0"/>
              <w:rPr>
                <w:sz w:val="20"/>
                <w:szCs w:val="20"/>
                <w:color w:val="auto"/>
              </w:rPr>
            </w:pPr>
            <w:r>
              <w:rPr>
                <w:rFonts w:ascii="Arial" w:cs="Arial" w:eastAsia="Arial" w:hAnsi="Arial"/>
                <w:sz w:val="14"/>
                <w:szCs w:val="14"/>
                <w:color w:val="auto"/>
              </w:rPr>
              <w:t>Tax Considerations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440" w:type="dxa"/>
            <w:vAlign w:val="bottom"/>
            <w:vMerge w:val="restart"/>
          </w:tcPr>
          <w:p>
            <w:pPr>
              <w:jc w:val="right"/>
              <w:ind w:right="208"/>
              <w:spacing w:after="0"/>
              <w:rPr>
                <w:sz w:val="20"/>
                <w:szCs w:val="20"/>
                <w:color w:val="auto"/>
              </w:rPr>
            </w:pPr>
            <w:r>
              <w:rPr>
                <w:rFonts w:ascii="Arial" w:cs="Arial" w:eastAsia="Arial" w:hAnsi="Arial"/>
                <w:sz w:val="14"/>
                <w:szCs w:val="14"/>
                <w:color w:val="auto"/>
                <w:w w:val="89"/>
              </w:rPr>
              <w:t>49</w:t>
            </w:r>
          </w:p>
        </w:tc>
        <w:tc>
          <w:tcPr>
            <w:tcW w:w="36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0" w:type="dxa"/>
            <w:vAlign w:val="bottom"/>
            <w:vMerge w:val="continue"/>
          </w:tcPr>
          <w:p>
            <w:pPr>
              <w:spacing w:after="0"/>
              <w:rPr>
                <w:sz w:val="8"/>
                <w:szCs w:val="8"/>
                <w:color w:val="auto"/>
              </w:rPr>
            </w:pPr>
          </w:p>
        </w:tc>
        <w:tc>
          <w:tcPr>
            <w:tcW w:w="3600" w:type="dxa"/>
            <w:vAlign w:val="bottom"/>
            <w:vMerge w:val="restart"/>
          </w:tcPr>
          <w:p>
            <w:pPr>
              <w:ind w:left="280"/>
              <w:spacing w:after="0"/>
              <w:rPr>
                <w:sz w:val="20"/>
                <w:szCs w:val="20"/>
                <w:color w:val="auto"/>
              </w:rPr>
            </w:pPr>
            <w:r>
              <w:rPr>
                <w:rFonts w:ascii="Arial" w:cs="Arial" w:eastAsia="Arial" w:hAnsi="Arial"/>
                <w:sz w:val="14"/>
                <w:szCs w:val="14"/>
                <w:color w:val="auto"/>
              </w:rPr>
              <w:t>Employment and Termination Agreements</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2"/>
        </w:trPr>
        <w:tc>
          <w:tcPr>
            <w:tcW w:w="440" w:type="dxa"/>
            <w:vAlign w:val="bottom"/>
            <w:vMerge w:val="restart"/>
          </w:tcPr>
          <w:p>
            <w:pPr>
              <w:jc w:val="right"/>
              <w:ind w:right="208"/>
              <w:spacing w:after="0"/>
              <w:rPr>
                <w:sz w:val="20"/>
                <w:szCs w:val="20"/>
                <w:color w:val="auto"/>
              </w:rPr>
            </w:pPr>
            <w:r>
              <w:rPr>
                <w:rFonts w:ascii="Arial" w:cs="Arial" w:eastAsia="Arial" w:hAnsi="Arial"/>
                <w:sz w:val="14"/>
                <w:szCs w:val="14"/>
                <w:color w:val="auto"/>
                <w:w w:val="89"/>
              </w:rPr>
              <w:t>49</w:t>
            </w:r>
          </w:p>
        </w:tc>
        <w:tc>
          <w:tcPr>
            <w:tcW w:w="3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40" w:type="dxa"/>
            <w:vAlign w:val="bottom"/>
            <w:vMerge w:val="continue"/>
          </w:tcPr>
          <w:p>
            <w:pPr>
              <w:spacing w:after="0"/>
              <w:rPr>
                <w:sz w:val="8"/>
                <w:szCs w:val="8"/>
                <w:color w:val="auto"/>
              </w:rPr>
            </w:pPr>
          </w:p>
        </w:tc>
        <w:tc>
          <w:tcPr>
            <w:tcW w:w="3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5"/>
        <w:spacing w:after="0"/>
        <w:rPr>
          <w:sz w:val="20"/>
          <w:szCs w:val="20"/>
          <w:color w:val="auto"/>
        </w:rPr>
      </w:pPr>
      <w:r>
        <w:rPr>
          <w:rFonts w:ascii="Arial" w:cs="Arial" w:eastAsia="Arial" w:hAnsi="Arial"/>
          <w:sz w:val="14"/>
          <w:szCs w:val="14"/>
          <w:color w:val="auto"/>
        </w:rPr>
        <w:t>52</w:t>
      </w:r>
    </w:p>
    <w:p>
      <w:pPr>
        <w:spacing w:after="0" w:line="96" w:lineRule="exact"/>
        <w:rPr>
          <w:sz w:val="20"/>
          <w:szCs w:val="20"/>
          <w:color w:val="auto"/>
        </w:rPr>
      </w:pPr>
    </w:p>
    <w:p>
      <w:pPr>
        <w:ind w:left="35"/>
        <w:spacing w:after="0"/>
        <w:rPr>
          <w:sz w:val="20"/>
          <w:szCs w:val="20"/>
          <w:color w:val="auto"/>
        </w:rPr>
      </w:pPr>
      <w:r>
        <w:rPr>
          <w:rFonts w:ascii="Arial" w:cs="Arial" w:eastAsia="Arial" w:hAnsi="Arial"/>
          <w:sz w:val="14"/>
          <w:szCs w:val="14"/>
          <w:color w:val="auto"/>
        </w:rPr>
        <w:t>54</w:t>
      </w:r>
    </w:p>
    <w:p>
      <w:pPr>
        <w:spacing w:after="0" w:line="200" w:lineRule="exact"/>
        <w:rPr>
          <w:sz w:val="20"/>
          <w:szCs w:val="20"/>
          <w:color w:val="auto"/>
        </w:rPr>
      </w:pPr>
    </w:p>
    <w:p>
      <w:pPr>
        <w:sectPr>
          <w:pgSz w:w="11900" w:h="16838" w:orient="portrait"/>
          <w:cols w:equalWidth="0" w:num="2">
            <w:col w:w="3405" w:space="720"/>
            <w:col w:w="4934"/>
          </w:cols>
          <w:pgMar w:left="1400" w:top="65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9059"/>
          </w:cols>
          <w:pgMar w:left="1400" w:top="657" w:right="1440"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Summary</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Our Company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Executing with Discipline to Drive Performance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480" w:right="520"/>
        <w:spacing w:after="0" w:line="218" w:lineRule="exact"/>
        <w:rPr>
          <w:sz w:val="20"/>
          <w:szCs w:val="20"/>
          <w:color w:val="auto"/>
        </w:rPr>
      </w:pPr>
      <w:r>
        <w:rPr>
          <w:rFonts w:ascii="Arial" w:cs="Arial" w:eastAsia="Arial" w:hAnsi="Arial"/>
          <w:sz w:val="16"/>
          <w:szCs w:val="16"/>
          <w:b w:val="1"/>
          <w:bCs w:val="1"/>
          <w:color w:val="auto"/>
        </w:rPr>
        <w:t>I’m proud of our global team, including our dealers and suppliers, for delivering an exceptional 2025 while adapting to significant changes. Our multi</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year foundation of product excellence, operating discipline, and resilience sets GM apart, and I believe it will continue to fuel our strong momentum.”</w:t>
      </w:r>
    </w:p>
    <w:p>
      <w:pPr>
        <w:spacing w:after="0" w:line="157" w:lineRule="exact"/>
        <w:rPr>
          <w:sz w:val="20"/>
          <w:szCs w:val="20"/>
          <w:color w:val="auto"/>
        </w:rPr>
      </w:pPr>
    </w:p>
    <w:p>
      <w:pPr>
        <w:ind w:left="580" w:hanging="93"/>
        <w:spacing w:after="0"/>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0956FF"/>
        </w:rPr>
        <w:t>Mary T. Barra, Chair and CEO</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GM has an unmatched portfolio driven by innovation</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0956FF"/>
        </w:rPr>
        <w:t>Driving us forward</w:t>
      </w:r>
    </w:p>
    <w:p>
      <w:pPr>
        <w:spacing w:after="0" w:line="81" w:lineRule="exact"/>
        <w:rPr>
          <w:sz w:val="20"/>
          <w:szCs w:val="20"/>
          <w:color w:val="auto"/>
        </w:rPr>
      </w:pPr>
    </w:p>
    <w:p>
      <w:pPr>
        <w:ind w:left="240" w:right="300"/>
        <w:spacing w:after="0" w:line="321" w:lineRule="auto"/>
        <w:rPr>
          <w:sz w:val="20"/>
          <w:szCs w:val="20"/>
          <w:color w:val="auto"/>
        </w:rPr>
      </w:pPr>
      <w:r>
        <w:rPr>
          <w:rFonts w:ascii="Arial" w:cs="Arial" w:eastAsia="Arial" w:hAnsi="Arial"/>
          <w:sz w:val="16"/>
          <w:szCs w:val="16"/>
          <w:color w:val="auto"/>
        </w:rPr>
        <w:t>GM delivered its fourth consecutive year of market share growth.</w:t>
      </w:r>
    </w:p>
    <w:p>
      <w:pPr>
        <w:spacing w:after="0" w:line="200" w:lineRule="exact"/>
        <w:rPr>
          <w:sz w:val="20"/>
          <w:szCs w:val="20"/>
          <w:color w:val="auto"/>
        </w:rPr>
      </w:pPr>
    </w:p>
    <w:p>
      <w:pPr>
        <w:spacing w:after="0" w:line="347" w:lineRule="exact"/>
        <w:rPr>
          <w:sz w:val="20"/>
          <w:szCs w:val="20"/>
          <w:color w:val="auto"/>
        </w:rPr>
      </w:pPr>
    </w:p>
    <w:p>
      <w:pPr>
        <w:ind w:left="240" w:right="40"/>
        <w:spacing w:after="0" w:line="291" w:lineRule="auto"/>
        <w:rPr>
          <w:sz w:val="20"/>
          <w:szCs w:val="20"/>
          <w:color w:val="auto"/>
        </w:rPr>
      </w:pPr>
      <w:r>
        <w:rPr>
          <w:rFonts w:ascii="Arial" w:cs="Arial" w:eastAsia="Arial" w:hAnsi="Arial"/>
          <w:sz w:val="16"/>
          <w:szCs w:val="16"/>
          <w:color w:val="auto"/>
        </w:rPr>
        <w:t>Consistently strong cash generation has allowed us to execute all phases of our capital allocation program, from investing in the business and our people, to maintaining a strong balance sheet, and returning capital to shareholders.</w:t>
      </w:r>
    </w:p>
    <w:p>
      <w:pPr>
        <w:spacing w:after="0" w:line="356" w:lineRule="exact"/>
        <w:rPr>
          <w:sz w:val="20"/>
          <w:szCs w:val="20"/>
          <w:color w:val="auto"/>
        </w:rPr>
      </w:pPr>
    </w:p>
    <w:p>
      <w:pPr>
        <w:ind w:left="240" w:right="280"/>
        <w:spacing w:after="0" w:line="321" w:lineRule="auto"/>
        <w:rPr>
          <w:sz w:val="20"/>
          <w:szCs w:val="20"/>
          <w:color w:val="auto"/>
        </w:rPr>
      </w:pPr>
      <w:r>
        <w:rPr>
          <w:rFonts w:ascii="Arial" w:cs="Arial" w:eastAsia="Arial" w:hAnsi="Arial"/>
          <w:sz w:val="16"/>
          <w:szCs w:val="16"/>
          <w:color w:val="auto"/>
        </w:rPr>
        <w:t>In the last five years alone, we’ve invested $60B in U.S. manufacturing, R&amp;D, and talent.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0956FF"/>
        </w:rPr>
        <w:t>Building great vehicles</w:t>
      </w:r>
    </w:p>
    <w:p>
      <w:pPr>
        <w:spacing w:after="0" w:line="81" w:lineRule="exact"/>
        <w:rPr>
          <w:sz w:val="20"/>
          <w:szCs w:val="20"/>
          <w:color w:val="auto"/>
        </w:rPr>
      </w:pPr>
    </w:p>
    <w:p>
      <w:pPr>
        <w:ind w:right="520"/>
        <w:spacing w:after="0" w:line="301" w:lineRule="auto"/>
        <w:rPr>
          <w:sz w:val="20"/>
          <w:szCs w:val="20"/>
          <w:color w:val="auto"/>
        </w:rPr>
      </w:pPr>
      <w:r>
        <w:rPr>
          <w:rFonts w:ascii="Arial" w:cs="Arial" w:eastAsia="Arial" w:hAnsi="Arial"/>
          <w:sz w:val="16"/>
          <w:szCs w:val="16"/>
          <w:color w:val="auto"/>
        </w:rPr>
        <w:t>GM reached its highest U.S. market share since 2015 and led the industry in overall loyalty to a manufacturer for the 11th straight year.</w:t>
      </w:r>
    </w:p>
    <w:p>
      <w:pPr>
        <w:spacing w:after="0" w:line="347" w:lineRule="exact"/>
        <w:rPr>
          <w:sz w:val="20"/>
          <w:szCs w:val="20"/>
          <w:color w:val="auto"/>
        </w:rPr>
      </w:pPr>
    </w:p>
    <w:p>
      <w:pPr>
        <w:ind w:right="600"/>
        <w:spacing w:after="0" w:line="301" w:lineRule="auto"/>
        <w:rPr>
          <w:sz w:val="20"/>
          <w:szCs w:val="20"/>
          <w:color w:val="auto"/>
        </w:rPr>
      </w:pPr>
      <w:r>
        <w:rPr>
          <w:rFonts w:ascii="Arial" w:cs="Arial" w:eastAsia="Arial" w:hAnsi="Arial"/>
          <w:sz w:val="16"/>
          <w:szCs w:val="16"/>
          <w:color w:val="auto"/>
        </w:rPr>
        <w:t>Our Chevrolet Trax, Chevy and GMC full-size SUVs, Corvette and both Cadillac Blackwing sedans were named to Car and Driver’s 10Best list.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color w:val="auto"/>
        </w:rPr>
        <w:t>Cadillac Escalade IQ won MotorTrend’s SUV of the Year award, with features winning individual honors in the Best Tech awards.</w:t>
      </w:r>
    </w:p>
    <w:p>
      <w:pPr>
        <w:spacing w:after="0" w:line="200" w:lineRule="exact"/>
        <w:rPr>
          <w:sz w:val="20"/>
          <w:szCs w:val="20"/>
          <w:color w:val="auto"/>
        </w:rPr>
      </w:pPr>
    </w:p>
    <w:p>
      <w:pPr>
        <w:sectPr>
          <w:pgSz w:w="11900" w:h="16838" w:orient="portrait"/>
          <w:cols w:equalWidth="0" w:num="2">
            <w:col w:w="4140" w:space="720"/>
            <w:col w:w="4360"/>
          </w:cols>
          <w:pgMar w:left="1400" w:top="657" w:right="127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2025 Financial Highlights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701"/>
        </w:trPr>
        <w:tc>
          <w:tcPr>
            <w:tcW w:w="246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w w:val="99"/>
              </w:rPr>
              <w:t>$185.0B</w:t>
            </w:r>
          </w:p>
        </w:tc>
        <w:tc>
          <w:tcPr>
            <w:tcW w:w="40" w:type="dxa"/>
            <w:vAlign w:val="bottom"/>
          </w:tcPr>
          <w:p>
            <w:pPr>
              <w:spacing w:after="0"/>
              <w:rPr>
                <w:sz w:val="24"/>
                <w:szCs w:val="24"/>
                <w:color w:val="auto"/>
              </w:rPr>
            </w:pPr>
          </w:p>
        </w:tc>
        <w:tc>
          <w:tcPr>
            <w:tcW w:w="226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rPr>
              <w:t>$2.7B</w:t>
            </w:r>
          </w:p>
        </w:tc>
        <w:tc>
          <w:tcPr>
            <w:tcW w:w="60" w:type="dxa"/>
            <w:vAlign w:val="bottom"/>
          </w:tcPr>
          <w:p>
            <w:pPr>
              <w:spacing w:after="0"/>
              <w:rPr>
                <w:sz w:val="24"/>
                <w:szCs w:val="24"/>
                <w:color w:val="auto"/>
              </w:rPr>
            </w:pPr>
          </w:p>
        </w:tc>
        <w:tc>
          <w:tcPr>
            <w:tcW w:w="212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w w:val="99"/>
              </w:rPr>
              <w:t>1.5%</w:t>
            </w:r>
          </w:p>
        </w:tc>
        <w:tc>
          <w:tcPr>
            <w:tcW w:w="40" w:type="dxa"/>
            <w:vAlign w:val="bottom"/>
          </w:tcPr>
          <w:p>
            <w:pPr>
              <w:spacing w:after="0"/>
              <w:rPr>
                <w:sz w:val="24"/>
                <w:szCs w:val="24"/>
                <w:color w:val="auto"/>
              </w:rPr>
            </w:pPr>
          </w:p>
        </w:tc>
        <w:tc>
          <w:tcPr>
            <w:tcW w:w="210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rPr>
              <w:t>$3.27</w:t>
            </w:r>
          </w:p>
        </w:tc>
      </w:tr>
      <w:tr>
        <w:trPr>
          <w:trHeight w:val="215"/>
        </w:trPr>
        <w:tc>
          <w:tcPr>
            <w:tcW w:w="2460" w:type="dxa"/>
            <w:vAlign w:val="bottom"/>
            <w:shd w:val="clear" w:color="auto" w:fill="ECEBEB"/>
          </w:tcPr>
          <w:p>
            <w:pPr>
              <w:jc w:val="center"/>
              <w:spacing w:after="0"/>
              <w:rPr>
                <w:sz w:val="20"/>
                <w:szCs w:val="20"/>
                <w:color w:val="auto"/>
              </w:rPr>
            </w:pPr>
            <w:r>
              <w:rPr>
                <w:rFonts w:ascii="Arial" w:cs="Arial" w:eastAsia="Arial" w:hAnsi="Arial"/>
                <w:sz w:val="16"/>
                <w:szCs w:val="16"/>
                <w:color w:val="auto"/>
              </w:rPr>
              <w:t>Revenue</w:t>
            </w:r>
          </w:p>
        </w:tc>
        <w:tc>
          <w:tcPr>
            <w:tcW w:w="40" w:type="dxa"/>
            <w:vAlign w:val="bottom"/>
          </w:tcPr>
          <w:p>
            <w:pPr>
              <w:spacing w:after="0"/>
              <w:rPr>
                <w:sz w:val="18"/>
                <w:szCs w:val="18"/>
                <w:color w:val="auto"/>
              </w:rPr>
            </w:pPr>
          </w:p>
        </w:tc>
        <w:tc>
          <w:tcPr>
            <w:tcW w:w="2260" w:type="dxa"/>
            <w:vAlign w:val="bottom"/>
            <w:shd w:val="clear" w:color="auto" w:fill="ECEBEB"/>
          </w:tcPr>
          <w:p>
            <w:pPr>
              <w:jc w:val="center"/>
              <w:spacing w:after="0"/>
              <w:rPr>
                <w:sz w:val="20"/>
                <w:szCs w:val="20"/>
                <w:color w:val="auto"/>
              </w:rPr>
            </w:pPr>
            <w:r>
              <w:rPr>
                <w:rFonts w:ascii="Arial" w:cs="Arial" w:eastAsia="Arial" w:hAnsi="Arial"/>
                <w:sz w:val="16"/>
                <w:szCs w:val="16"/>
                <w:color w:val="auto"/>
              </w:rPr>
              <w:t>Net Income Attributable</w:t>
            </w:r>
          </w:p>
        </w:tc>
        <w:tc>
          <w:tcPr>
            <w:tcW w:w="60" w:type="dxa"/>
            <w:vAlign w:val="bottom"/>
          </w:tcPr>
          <w:p>
            <w:pPr>
              <w:spacing w:after="0"/>
              <w:rPr>
                <w:sz w:val="18"/>
                <w:szCs w:val="18"/>
                <w:color w:val="auto"/>
              </w:rPr>
            </w:pPr>
          </w:p>
        </w:tc>
        <w:tc>
          <w:tcPr>
            <w:tcW w:w="2120" w:type="dxa"/>
            <w:vAlign w:val="bottom"/>
            <w:shd w:val="clear" w:color="auto" w:fill="ECEBEB"/>
          </w:tcPr>
          <w:p>
            <w:pPr>
              <w:jc w:val="center"/>
              <w:spacing w:after="0"/>
              <w:rPr>
                <w:sz w:val="20"/>
                <w:szCs w:val="20"/>
                <w:color w:val="auto"/>
              </w:rPr>
            </w:pPr>
            <w:r>
              <w:rPr>
                <w:rFonts w:ascii="Arial" w:cs="Arial" w:eastAsia="Arial" w:hAnsi="Arial"/>
                <w:sz w:val="16"/>
                <w:szCs w:val="16"/>
                <w:color w:val="auto"/>
              </w:rPr>
              <w:t>Net Income Margin</w:t>
            </w:r>
          </w:p>
        </w:tc>
        <w:tc>
          <w:tcPr>
            <w:tcW w:w="40" w:type="dxa"/>
            <w:vAlign w:val="bottom"/>
          </w:tcPr>
          <w:p>
            <w:pPr>
              <w:spacing w:after="0"/>
              <w:rPr>
                <w:sz w:val="18"/>
                <w:szCs w:val="18"/>
                <w:color w:val="auto"/>
              </w:rPr>
            </w:pPr>
          </w:p>
        </w:tc>
        <w:tc>
          <w:tcPr>
            <w:tcW w:w="2100" w:type="dxa"/>
            <w:vAlign w:val="bottom"/>
            <w:shd w:val="clear" w:color="auto" w:fill="ECEBEB"/>
          </w:tcPr>
          <w:p>
            <w:pPr>
              <w:jc w:val="center"/>
              <w:spacing w:after="0"/>
              <w:rPr>
                <w:sz w:val="20"/>
                <w:szCs w:val="20"/>
                <w:color w:val="auto"/>
              </w:rPr>
            </w:pPr>
            <w:r>
              <w:rPr>
                <w:rFonts w:ascii="Arial" w:cs="Arial" w:eastAsia="Arial" w:hAnsi="Arial"/>
                <w:sz w:val="16"/>
                <w:szCs w:val="16"/>
                <w:color w:val="auto"/>
              </w:rPr>
              <w:t>EPS-diluted</w:t>
            </w:r>
          </w:p>
        </w:tc>
      </w:tr>
      <w:tr>
        <w:trPr>
          <w:trHeight w:val="216"/>
        </w:trPr>
        <w:tc>
          <w:tcPr>
            <w:tcW w:w="2460" w:type="dxa"/>
            <w:vAlign w:val="bottom"/>
            <w:shd w:val="clear" w:color="auto" w:fill="ECEBEB"/>
          </w:tcPr>
          <w:p>
            <w:pPr>
              <w:spacing w:after="0"/>
              <w:rPr>
                <w:sz w:val="18"/>
                <w:szCs w:val="18"/>
                <w:color w:val="auto"/>
              </w:rPr>
            </w:pPr>
          </w:p>
        </w:tc>
        <w:tc>
          <w:tcPr>
            <w:tcW w:w="40" w:type="dxa"/>
            <w:vAlign w:val="bottom"/>
          </w:tcPr>
          <w:p>
            <w:pPr>
              <w:spacing w:after="0"/>
              <w:rPr>
                <w:sz w:val="18"/>
                <w:szCs w:val="18"/>
                <w:color w:val="auto"/>
              </w:rPr>
            </w:pPr>
          </w:p>
        </w:tc>
        <w:tc>
          <w:tcPr>
            <w:tcW w:w="2260" w:type="dxa"/>
            <w:vAlign w:val="bottom"/>
            <w:shd w:val="clear" w:color="auto" w:fill="ECEBEB"/>
          </w:tcPr>
          <w:p>
            <w:pPr>
              <w:jc w:val="center"/>
              <w:spacing w:after="0"/>
              <w:rPr>
                <w:sz w:val="20"/>
                <w:szCs w:val="20"/>
                <w:color w:val="auto"/>
              </w:rPr>
            </w:pPr>
            <w:r>
              <w:rPr>
                <w:rFonts w:ascii="Arial" w:cs="Arial" w:eastAsia="Arial" w:hAnsi="Arial"/>
                <w:sz w:val="16"/>
                <w:szCs w:val="16"/>
                <w:color w:val="auto"/>
                <w:w w:val="99"/>
              </w:rPr>
              <w:t>to Stockholders</w:t>
            </w:r>
          </w:p>
        </w:tc>
        <w:tc>
          <w:tcPr>
            <w:tcW w:w="60" w:type="dxa"/>
            <w:vAlign w:val="bottom"/>
          </w:tcPr>
          <w:p>
            <w:pPr>
              <w:spacing w:after="0"/>
              <w:rPr>
                <w:sz w:val="18"/>
                <w:szCs w:val="18"/>
                <w:color w:val="auto"/>
              </w:rPr>
            </w:pPr>
          </w:p>
        </w:tc>
        <w:tc>
          <w:tcPr>
            <w:tcW w:w="2120" w:type="dxa"/>
            <w:vAlign w:val="bottom"/>
            <w:shd w:val="clear" w:color="auto" w:fill="ECEBEB"/>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shd w:val="clear" w:color="auto" w:fill="ECEBEB"/>
          </w:tcPr>
          <w:p>
            <w:pPr>
              <w:spacing w:after="0"/>
              <w:rPr>
                <w:sz w:val="18"/>
                <w:szCs w:val="18"/>
                <w:color w:val="auto"/>
              </w:rPr>
            </w:pPr>
          </w:p>
        </w:tc>
      </w:tr>
      <w:tr>
        <w:trPr>
          <w:trHeight w:val="177"/>
        </w:trPr>
        <w:tc>
          <w:tcPr>
            <w:tcW w:w="2460" w:type="dxa"/>
            <w:vAlign w:val="bottom"/>
            <w:shd w:val="clear" w:color="auto" w:fill="ECEBEB"/>
          </w:tcPr>
          <w:p>
            <w:pPr>
              <w:spacing w:after="0"/>
              <w:rPr>
                <w:sz w:val="15"/>
                <w:szCs w:val="15"/>
                <w:color w:val="auto"/>
              </w:rPr>
            </w:pPr>
          </w:p>
        </w:tc>
        <w:tc>
          <w:tcPr>
            <w:tcW w:w="40" w:type="dxa"/>
            <w:vAlign w:val="bottom"/>
          </w:tcPr>
          <w:p>
            <w:pPr>
              <w:spacing w:after="0"/>
              <w:rPr>
                <w:sz w:val="15"/>
                <w:szCs w:val="15"/>
                <w:color w:val="auto"/>
              </w:rPr>
            </w:pPr>
          </w:p>
        </w:tc>
        <w:tc>
          <w:tcPr>
            <w:tcW w:w="2260" w:type="dxa"/>
            <w:vAlign w:val="bottom"/>
            <w:shd w:val="clear" w:color="auto" w:fill="ECEBEB"/>
          </w:tcPr>
          <w:p>
            <w:pPr>
              <w:spacing w:after="0"/>
              <w:rPr>
                <w:sz w:val="15"/>
                <w:szCs w:val="15"/>
                <w:color w:val="auto"/>
              </w:rPr>
            </w:pPr>
          </w:p>
        </w:tc>
        <w:tc>
          <w:tcPr>
            <w:tcW w:w="60" w:type="dxa"/>
            <w:vAlign w:val="bottom"/>
          </w:tcPr>
          <w:p>
            <w:pPr>
              <w:spacing w:after="0"/>
              <w:rPr>
                <w:sz w:val="15"/>
                <w:szCs w:val="15"/>
                <w:color w:val="auto"/>
              </w:rPr>
            </w:pPr>
          </w:p>
        </w:tc>
        <w:tc>
          <w:tcPr>
            <w:tcW w:w="2120" w:type="dxa"/>
            <w:vAlign w:val="bottom"/>
            <w:shd w:val="clear" w:color="auto" w:fill="ECEBEB"/>
          </w:tcPr>
          <w:p>
            <w:pPr>
              <w:spacing w:after="0"/>
              <w:rPr>
                <w:sz w:val="15"/>
                <w:szCs w:val="15"/>
                <w:color w:val="auto"/>
              </w:rPr>
            </w:pPr>
          </w:p>
        </w:tc>
        <w:tc>
          <w:tcPr>
            <w:tcW w:w="40" w:type="dxa"/>
            <w:vAlign w:val="bottom"/>
          </w:tcPr>
          <w:p>
            <w:pPr>
              <w:spacing w:after="0"/>
              <w:rPr>
                <w:sz w:val="15"/>
                <w:szCs w:val="15"/>
                <w:color w:val="auto"/>
              </w:rPr>
            </w:pPr>
          </w:p>
        </w:tc>
        <w:tc>
          <w:tcPr>
            <w:tcW w:w="2100" w:type="dxa"/>
            <w:vAlign w:val="bottom"/>
            <w:shd w:val="clear" w:color="auto" w:fill="ECEBEB"/>
          </w:tcPr>
          <w:p>
            <w:pPr>
              <w:spacing w:after="0"/>
              <w:rPr>
                <w:sz w:val="15"/>
                <w:szCs w:val="15"/>
                <w:color w:val="auto"/>
              </w:rPr>
            </w:pPr>
          </w:p>
        </w:tc>
      </w:tr>
      <w:tr>
        <w:trPr>
          <w:trHeight w:val="54"/>
        </w:trPr>
        <w:tc>
          <w:tcPr>
            <w:tcW w:w="2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180" w:type="dxa"/>
            <w:vAlign w:val="bottom"/>
            <w:gridSpan w:val="2"/>
          </w:tcPr>
          <w:p>
            <w:pPr>
              <w:spacing w:after="0"/>
              <w:rPr>
                <w:sz w:val="4"/>
                <w:szCs w:val="4"/>
                <w:color w:val="auto"/>
              </w:rPr>
            </w:pPr>
          </w:p>
        </w:tc>
        <w:tc>
          <w:tcPr>
            <w:tcW w:w="2140" w:type="dxa"/>
            <w:vAlign w:val="bottom"/>
            <w:gridSpan w:val="2"/>
          </w:tcPr>
          <w:p>
            <w:pPr>
              <w:spacing w:after="0"/>
              <w:rPr>
                <w:sz w:val="4"/>
                <w:szCs w:val="4"/>
                <w:color w:val="auto"/>
              </w:rPr>
            </w:pPr>
          </w:p>
        </w:tc>
      </w:tr>
      <w:tr>
        <w:trPr>
          <w:trHeight w:val="691"/>
        </w:trPr>
        <w:tc>
          <w:tcPr>
            <w:tcW w:w="246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rPr>
              <w:t>19.3%</w:t>
            </w:r>
          </w:p>
        </w:tc>
        <w:tc>
          <w:tcPr>
            <w:tcW w:w="40" w:type="dxa"/>
            <w:vAlign w:val="bottom"/>
          </w:tcPr>
          <w:p>
            <w:pPr>
              <w:spacing w:after="0"/>
              <w:rPr>
                <w:sz w:val="24"/>
                <w:szCs w:val="24"/>
                <w:color w:val="auto"/>
              </w:rPr>
            </w:pPr>
          </w:p>
        </w:tc>
        <w:tc>
          <w:tcPr>
            <w:tcW w:w="2260" w:type="dxa"/>
            <w:vAlign w:val="bottom"/>
            <w:shd w:val="clear" w:color="auto" w:fill="ECEBEB"/>
          </w:tcPr>
          <w:p>
            <w:pPr>
              <w:ind w:left="460"/>
              <w:spacing w:after="0"/>
              <w:rPr>
                <w:sz w:val="20"/>
                <w:szCs w:val="20"/>
                <w:color w:val="auto"/>
              </w:rPr>
            </w:pPr>
            <w:r>
              <w:rPr>
                <w:rFonts w:ascii="Arial" w:cs="Arial" w:eastAsia="Arial" w:hAnsi="Arial"/>
                <w:sz w:val="43"/>
                <w:szCs w:val="43"/>
                <w:b w:val="1"/>
                <w:bCs w:val="1"/>
                <w:color w:val="0956FF"/>
              </w:rPr>
              <w:t>$12.7B</w:t>
            </w:r>
          </w:p>
        </w:tc>
        <w:tc>
          <w:tcPr>
            <w:tcW w:w="60" w:type="dxa"/>
            <w:vAlign w:val="bottom"/>
          </w:tcPr>
          <w:p>
            <w:pPr>
              <w:spacing w:after="0"/>
              <w:rPr>
                <w:sz w:val="24"/>
                <w:szCs w:val="24"/>
                <w:color w:val="auto"/>
              </w:rPr>
            </w:pPr>
          </w:p>
        </w:tc>
        <w:tc>
          <w:tcPr>
            <w:tcW w:w="212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rPr>
              <w:t>6.9%</w:t>
            </w:r>
          </w:p>
        </w:tc>
        <w:tc>
          <w:tcPr>
            <w:tcW w:w="40" w:type="dxa"/>
            <w:vAlign w:val="bottom"/>
          </w:tcPr>
          <w:p>
            <w:pPr>
              <w:spacing w:after="0"/>
              <w:rPr>
                <w:sz w:val="24"/>
                <w:szCs w:val="24"/>
                <w:color w:val="auto"/>
              </w:rPr>
            </w:pPr>
          </w:p>
        </w:tc>
        <w:tc>
          <w:tcPr>
            <w:tcW w:w="2100" w:type="dxa"/>
            <w:vAlign w:val="bottom"/>
            <w:shd w:val="clear" w:color="auto" w:fill="ECEBEB"/>
          </w:tcPr>
          <w:p>
            <w:pPr>
              <w:jc w:val="center"/>
              <w:spacing w:after="0"/>
              <w:rPr>
                <w:sz w:val="20"/>
                <w:szCs w:val="20"/>
                <w:color w:val="auto"/>
              </w:rPr>
            </w:pPr>
            <w:r>
              <w:rPr>
                <w:rFonts w:ascii="Arial" w:cs="Arial" w:eastAsia="Arial" w:hAnsi="Arial"/>
                <w:sz w:val="43"/>
                <w:szCs w:val="43"/>
                <w:b w:val="1"/>
                <w:bCs w:val="1"/>
                <w:color w:val="0956FF"/>
              </w:rPr>
              <w:t>$10.60</w:t>
            </w:r>
          </w:p>
        </w:tc>
      </w:tr>
      <w:tr>
        <w:trPr>
          <w:trHeight w:val="254"/>
        </w:trPr>
        <w:tc>
          <w:tcPr>
            <w:tcW w:w="2460" w:type="dxa"/>
            <w:vAlign w:val="bottom"/>
            <w:shd w:val="clear" w:color="auto" w:fill="ECEBEB"/>
          </w:tcPr>
          <w:p>
            <w:pPr>
              <w:jc w:val="center"/>
              <w:spacing w:after="0"/>
              <w:rPr>
                <w:sz w:val="20"/>
                <w:szCs w:val="20"/>
                <w:color w:val="auto"/>
              </w:rPr>
            </w:pPr>
            <w:r>
              <w:rPr>
                <w:rFonts w:ascii="Arial" w:cs="Arial" w:eastAsia="Arial" w:hAnsi="Arial"/>
                <w:sz w:val="16"/>
                <w:szCs w:val="16"/>
                <w:color w:val="auto"/>
                <w:w w:val="97"/>
              </w:rPr>
              <w:t>ROIC-adjusted</w:t>
            </w:r>
            <w:r>
              <w:rPr>
                <w:rFonts w:ascii="Arial" w:cs="Arial" w:eastAsia="Arial" w:hAnsi="Arial"/>
                <w:sz w:val="21"/>
                <w:szCs w:val="21"/>
                <w:color w:val="auto"/>
                <w:w w:val="97"/>
                <w:vertAlign w:val="superscript"/>
              </w:rPr>
              <w:t>(1)</w:t>
            </w:r>
          </w:p>
        </w:tc>
        <w:tc>
          <w:tcPr>
            <w:tcW w:w="40" w:type="dxa"/>
            <w:vAlign w:val="bottom"/>
          </w:tcPr>
          <w:p>
            <w:pPr>
              <w:spacing w:after="0"/>
              <w:rPr>
                <w:sz w:val="22"/>
                <w:szCs w:val="22"/>
                <w:color w:val="auto"/>
              </w:rPr>
            </w:pPr>
          </w:p>
        </w:tc>
        <w:tc>
          <w:tcPr>
            <w:tcW w:w="2260" w:type="dxa"/>
            <w:vAlign w:val="bottom"/>
            <w:shd w:val="clear" w:color="auto" w:fill="ECEBEB"/>
          </w:tcPr>
          <w:p>
            <w:pPr>
              <w:jc w:val="center"/>
              <w:spacing w:after="0"/>
              <w:rPr>
                <w:sz w:val="20"/>
                <w:szCs w:val="20"/>
                <w:color w:val="auto"/>
              </w:rPr>
            </w:pPr>
            <w:r>
              <w:rPr>
                <w:rFonts w:ascii="Arial" w:cs="Arial" w:eastAsia="Arial" w:hAnsi="Arial"/>
                <w:sz w:val="16"/>
                <w:szCs w:val="16"/>
                <w:color w:val="auto"/>
                <w:w w:val="94"/>
              </w:rPr>
              <w:t xml:space="preserve">EBIT-adjusted </w:t>
            </w:r>
            <w:r>
              <w:rPr>
                <w:rFonts w:ascii="Arial" w:cs="Arial" w:eastAsia="Arial" w:hAnsi="Arial"/>
                <w:sz w:val="21"/>
                <w:szCs w:val="21"/>
                <w:color w:val="auto"/>
                <w:w w:val="94"/>
                <w:vertAlign w:val="superscript"/>
              </w:rPr>
              <w:t>(1)</w:t>
            </w:r>
          </w:p>
        </w:tc>
        <w:tc>
          <w:tcPr>
            <w:tcW w:w="60" w:type="dxa"/>
            <w:vAlign w:val="bottom"/>
          </w:tcPr>
          <w:p>
            <w:pPr>
              <w:spacing w:after="0"/>
              <w:rPr>
                <w:sz w:val="22"/>
                <w:szCs w:val="22"/>
                <w:color w:val="auto"/>
              </w:rPr>
            </w:pPr>
          </w:p>
        </w:tc>
        <w:tc>
          <w:tcPr>
            <w:tcW w:w="2120" w:type="dxa"/>
            <w:vAlign w:val="bottom"/>
            <w:shd w:val="clear" w:color="auto" w:fill="ECEBEB"/>
          </w:tcPr>
          <w:p>
            <w:pPr>
              <w:jc w:val="center"/>
              <w:spacing w:after="0"/>
              <w:rPr>
                <w:sz w:val="20"/>
                <w:szCs w:val="20"/>
                <w:color w:val="auto"/>
              </w:rPr>
            </w:pPr>
            <w:r>
              <w:rPr>
                <w:rFonts w:ascii="Arial" w:cs="Arial" w:eastAsia="Arial" w:hAnsi="Arial"/>
                <w:sz w:val="16"/>
                <w:szCs w:val="16"/>
                <w:color w:val="auto"/>
                <w:w w:val="96"/>
              </w:rPr>
              <w:t xml:space="preserve">EBIT-adjusted </w:t>
            </w:r>
            <w:r>
              <w:rPr>
                <w:rFonts w:ascii="Arial" w:cs="Arial" w:eastAsia="Arial" w:hAnsi="Arial"/>
                <w:sz w:val="21"/>
                <w:szCs w:val="21"/>
                <w:color w:val="auto"/>
                <w:w w:val="96"/>
                <w:vertAlign w:val="superscript"/>
              </w:rPr>
              <w:t>(1)</w:t>
            </w:r>
            <w:r>
              <w:rPr>
                <w:rFonts w:ascii="Arial" w:cs="Arial" w:eastAsia="Arial" w:hAnsi="Arial"/>
                <w:sz w:val="16"/>
                <w:szCs w:val="16"/>
                <w:color w:val="auto"/>
                <w:w w:val="96"/>
              </w:rPr>
              <w:t xml:space="preserve"> Margin</w:t>
            </w:r>
          </w:p>
        </w:tc>
        <w:tc>
          <w:tcPr>
            <w:tcW w:w="40" w:type="dxa"/>
            <w:vAlign w:val="bottom"/>
          </w:tcPr>
          <w:p>
            <w:pPr>
              <w:spacing w:after="0"/>
              <w:rPr>
                <w:sz w:val="22"/>
                <w:szCs w:val="22"/>
                <w:color w:val="auto"/>
              </w:rPr>
            </w:pPr>
          </w:p>
        </w:tc>
        <w:tc>
          <w:tcPr>
            <w:tcW w:w="2100" w:type="dxa"/>
            <w:vAlign w:val="bottom"/>
            <w:shd w:val="clear" w:color="auto" w:fill="ECEBEB"/>
          </w:tcPr>
          <w:p>
            <w:pPr>
              <w:jc w:val="center"/>
              <w:spacing w:after="0"/>
              <w:rPr>
                <w:sz w:val="20"/>
                <w:szCs w:val="20"/>
                <w:color w:val="auto"/>
              </w:rPr>
            </w:pPr>
            <w:r>
              <w:rPr>
                <w:rFonts w:ascii="Arial" w:cs="Arial" w:eastAsia="Arial" w:hAnsi="Arial"/>
                <w:sz w:val="16"/>
                <w:szCs w:val="16"/>
                <w:color w:val="auto"/>
                <w:w w:val="97"/>
              </w:rPr>
              <w:t xml:space="preserve">EPS-diluted-adjusted </w:t>
            </w:r>
            <w:r>
              <w:rPr>
                <w:rFonts w:ascii="Arial" w:cs="Arial" w:eastAsia="Arial" w:hAnsi="Arial"/>
                <w:sz w:val="21"/>
                <w:szCs w:val="21"/>
                <w:color w:val="auto"/>
                <w:w w:val="97"/>
                <w:vertAlign w:val="superscript"/>
              </w:rPr>
              <w:t>(1)</w:t>
            </w:r>
          </w:p>
        </w:tc>
      </w:tr>
      <w:tr>
        <w:trPr>
          <w:trHeight w:val="149"/>
        </w:trPr>
        <w:tc>
          <w:tcPr>
            <w:tcW w:w="2460" w:type="dxa"/>
            <w:vAlign w:val="bottom"/>
            <w:shd w:val="clear" w:color="auto" w:fill="ECEBEB"/>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shd w:val="clear" w:color="auto" w:fill="ECEBEB"/>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shd w:val="clear" w:color="auto" w:fill="ECEBEB"/>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shd w:val="clear" w:color="auto" w:fill="ECEBEB"/>
          </w:tcPr>
          <w:p>
            <w:pPr>
              <w:spacing w:after="0"/>
              <w:rPr>
                <w:sz w:val="12"/>
                <w:szCs w:val="12"/>
                <w:color w:val="auto"/>
              </w:rPr>
            </w:pPr>
          </w:p>
        </w:tc>
      </w:tr>
    </w:tbl>
    <w:p>
      <w:pPr>
        <w:spacing w:after="0" w:line="99" w:lineRule="exact"/>
        <w:rPr>
          <w:sz w:val="20"/>
          <w:szCs w:val="20"/>
          <w:color w:val="auto"/>
        </w:rPr>
      </w:pPr>
    </w:p>
    <w:p>
      <w:pPr>
        <w:ind w:left="200" w:right="660" w:hanging="192"/>
        <w:spacing w:after="0" w:line="239" w:lineRule="auto"/>
        <w:tabs>
          <w:tab w:leader="none" w:pos="20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 Refer to Appendix A for a reconciliation of Non-GAAP financial measures to their closest comparable GAAP measure.</w:t>
      </w:r>
    </w:p>
    <w:p>
      <w:pPr>
        <w:sectPr>
          <w:pgSz w:w="11900" w:h="16838" w:orient="portrait"/>
          <w:cols w:equalWidth="0" w:num="1">
            <w:col w:w="9220"/>
          </w:cols>
          <w:pgMar w:left="1400" w:top="65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43</w:t>
      </w:r>
    </w:p>
    <w:p>
      <w:pPr>
        <w:sectPr>
          <w:pgSz w:w="11900" w:h="16838" w:orient="portrait"/>
          <w:cols w:equalWidth="0" w:num="1">
            <w:col w:w="9220"/>
          </w:cols>
          <w:pgMar w:left="1400" w:top="657" w:right="127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Shareholder Outreach</w:t>
      </w:r>
    </w:p>
    <w:p>
      <w:pPr>
        <w:spacing w:after="0" w:line="11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 previously discussed in this Proxy Statement, shareholder feedback is an important input for our Board and Compensation Committee as they evolve our executive compensation program to ensure continued alignment with our business strategy and the interests of our senior leaders and shareholders. In 2025, we were pleased that support for our executive compensation program significantly rebounded following a challenging 2024 Say on Pay vote. We believe this was the result of positive changes we made to our program in consideration of our business strategy and input from shareholders received during the extensive outreach we conducted following our 2024 Annual Meeting. The Company has continued its robust engagement efforts to help provide shareholder voices in the Committee’s decision-making process. As part of that effort, our Independent Lead Director, Pat Russo, and Chair of our Executive Compensation Committee, Devin Wenig, met with several of our shareholders to discuss executive compensation and other matters, and perspectives from these conversations were shared with our full Board.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feedback we received from our shareholders since the 2025 Annual Meeting :</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30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Key Themes</w:t>
            </w:r>
          </w:p>
        </w:tc>
        <w:tc>
          <w:tcPr>
            <w:tcW w:w="6780" w:type="dxa"/>
            <w:vAlign w:val="bottom"/>
            <w:tcBorders>
              <w:bottom w:val="single" w:sz="8" w:color="0956FF"/>
            </w:tcBorders>
            <w:shd w:val="clear" w:color="auto" w:fill="ECEBEB"/>
          </w:tcPr>
          <w:p>
            <w:pPr>
              <w:ind w:left="560"/>
              <w:spacing w:after="0"/>
              <w:rPr>
                <w:sz w:val="20"/>
                <w:szCs w:val="20"/>
                <w:color w:val="auto"/>
              </w:rPr>
            </w:pPr>
            <w:r>
              <w:rPr>
                <w:rFonts w:ascii="Arial" w:cs="Arial" w:eastAsia="Arial" w:hAnsi="Arial"/>
                <w:sz w:val="14"/>
                <w:szCs w:val="14"/>
                <w:b w:val="1"/>
                <w:bCs w:val="1"/>
                <w:color w:val="auto"/>
              </w:rPr>
              <w:t>Feedback</w:t>
            </w:r>
          </w:p>
        </w:tc>
        <w:tc>
          <w:tcPr>
            <w:tcW w:w="0" w:type="dxa"/>
            <w:vAlign w:val="bottom"/>
          </w:tcPr>
          <w:p>
            <w:pPr>
              <w:spacing w:after="0"/>
              <w:rPr>
                <w:sz w:val="1"/>
                <w:szCs w:val="1"/>
                <w:color w:val="auto"/>
              </w:rPr>
            </w:pPr>
          </w:p>
        </w:tc>
      </w:tr>
      <w:tr>
        <w:trPr>
          <w:trHeight w:val="288"/>
        </w:trPr>
        <w:tc>
          <w:tcPr>
            <w:tcW w:w="2300" w:type="dxa"/>
            <w:vAlign w:val="bottom"/>
          </w:tcPr>
          <w:p>
            <w:pPr>
              <w:spacing w:after="0"/>
              <w:rPr>
                <w:sz w:val="24"/>
                <w:szCs w:val="24"/>
                <w:color w:val="auto"/>
              </w:rPr>
            </w:pPr>
          </w:p>
        </w:tc>
        <w:tc>
          <w:tcPr>
            <w:tcW w:w="6780" w:type="dxa"/>
            <w:vAlign w:val="bottom"/>
          </w:tcPr>
          <w:p>
            <w:pPr>
              <w:ind w:left="56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Support for continued alignment of metrics with the Company’s strategic pillars,</w:t>
            </w:r>
          </w:p>
        </w:tc>
        <w:tc>
          <w:tcPr>
            <w:tcW w:w="0" w:type="dxa"/>
            <w:vAlign w:val="bottom"/>
          </w:tcPr>
          <w:p>
            <w:pPr>
              <w:spacing w:after="0"/>
              <w:rPr>
                <w:sz w:val="1"/>
                <w:szCs w:val="1"/>
                <w:color w:val="auto"/>
              </w:rPr>
            </w:pPr>
          </w:p>
        </w:tc>
      </w:tr>
      <w:tr>
        <w:trPr>
          <w:trHeight w:val="216"/>
        </w:trPr>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STIP Program Design</w:t>
            </w:r>
          </w:p>
        </w:tc>
        <w:tc>
          <w:tcPr>
            <w:tcW w:w="6780" w:type="dxa"/>
            <w:vAlign w:val="bottom"/>
          </w:tcPr>
          <w:p>
            <w:pPr>
              <w:ind w:left="760"/>
              <w:spacing w:after="0"/>
              <w:rPr>
                <w:sz w:val="20"/>
                <w:szCs w:val="20"/>
                <w:color w:val="auto"/>
              </w:rPr>
            </w:pPr>
            <w:r>
              <w:rPr>
                <w:rFonts w:ascii="Arial" w:cs="Arial" w:eastAsia="Arial" w:hAnsi="Arial"/>
                <w:sz w:val="16"/>
                <w:szCs w:val="16"/>
                <w:color w:val="auto"/>
              </w:rPr>
              <w:t>including continued evolution of our EV metric</w:t>
            </w:r>
          </w:p>
        </w:tc>
        <w:tc>
          <w:tcPr>
            <w:tcW w:w="0" w:type="dxa"/>
            <w:vAlign w:val="bottom"/>
          </w:tcPr>
          <w:p>
            <w:pPr>
              <w:spacing w:after="0"/>
              <w:rPr>
                <w:sz w:val="1"/>
                <w:szCs w:val="1"/>
                <w:color w:val="auto"/>
              </w:rPr>
            </w:pPr>
          </w:p>
        </w:tc>
      </w:tr>
      <w:tr>
        <w:trPr>
          <w:trHeight w:val="143"/>
        </w:trPr>
        <w:tc>
          <w:tcPr>
            <w:tcW w:w="2300" w:type="dxa"/>
            <w:vAlign w:val="bottom"/>
            <w:vMerge w:val="continue"/>
          </w:tcPr>
          <w:p>
            <w:pPr>
              <w:spacing w:after="0"/>
              <w:rPr>
                <w:sz w:val="12"/>
                <w:szCs w:val="12"/>
                <w:color w:val="auto"/>
              </w:rPr>
            </w:pPr>
          </w:p>
        </w:tc>
        <w:tc>
          <w:tcPr>
            <w:tcW w:w="6780" w:type="dxa"/>
            <w:vAlign w:val="bottom"/>
            <w:vMerge w:val="restart"/>
          </w:tcPr>
          <w:p>
            <w:pPr>
              <w:ind w:left="56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Appreciation for improved transparency and objectivity of our compensation</w:t>
            </w:r>
          </w:p>
        </w:tc>
        <w:tc>
          <w:tcPr>
            <w:tcW w:w="0" w:type="dxa"/>
            <w:vAlign w:val="bottom"/>
          </w:tcPr>
          <w:p>
            <w:pPr>
              <w:spacing w:after="0"/>
              <w:rPr>
                <w:sz w:val="1"/>
                <w:szCs w:val="1"/>
                <w:color w:val="auto"/>
              </w:rPr>
            </w:pPr>
          </w:p>
        </w:tc>
      </w:tr>
      <w:tr>
        <w:trPr>
          <w:trHeight w:val="127"/>
        </w:trPr>
        <w:tc>
          <w:tcPr>
            <w:tcW w:w="2300" w:type="dxa"/>
            <w:vAlign w:val="bottom"/>
          </w:tcPr>
          <w:p>
            <w:pPr>
              <w:spacing w:after="0"/>
              <w:rPr>
                <w:sz w:val="11"/>
                <w:szCs w:val="11"/>
                <w:color w:val="auto"/>
              </w:rPr>
            </w:pPr>
          </w:p>
        </w:tc>
        <w:tc>
          <w:tcPr>
            <w:tcW w:w="6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780" w:type="dxa"/>
            <w:vAlign w:val="bottom"/>
          </w:tcPr>
          <w:p>
            <w:pPr>
              <w:ind w:left="760"/>
              <w:spacing w:after="0"/>
              <w:rPr>
                <w:sz w:val="20"/>
                <w:szCs w:val="20"/>
                <w:color w:val="auto"/>
              </w:rPr>
            </w:pPr>
            <w:r>
              <w:rPr>
                <w:rFonts w:ascii="Arial" w:cs="Arial" w:eastAsia="Arial" w:hAnsi="Arial"/>
                <w:sz w:val="16"/>
                <w:szCs w:val="16"/>
                <w:color w:val="auto"/>
              </w:rPr>
              <w:t>metrics, including with respect to the Committee’s goal-setting process</w:t>
            </w:r>
          </w:p>
        </w:tc>
        <w:tc>
          <w:tcPr>
            <w:tcW w:w="0" w:type="dxa"/>
            <w:vAlign w:val="bottom"/>
          </w:tcPr>
          <w:p>
            <w:pPr>
              <w:spacing w:after="0"/>
              <w:rPr>
                <w:sz w:val="1"/>
                <w:szCs w:val="1"/>
                <w:color w:val="auto"/>
              </w:rPr>
            </w:pPr>
          </w:p>
        </w:tc>
      </w:tr>
      <w:tr>
        <w:trPr>
          <w:trHeight w:val="56"/>
        </w:trPr>
        <w:tc>
          <w:tcPr>
            <w:tcW w:w="2300" w:type="dxa"/>
            <w:vAlign w:val="bottom"/>
            <w:tcBorders>
              <w:bottom w:val="single" w:sz="8" w:color="D9D9D6"/>
            </w:tcBorders>
          </w:tcPr>
          <w:p>
            <w:pPr>
              <w:spacing w:after="0"/>
              <w:rPr>
                <w:sz w:val="4"/>
                <w:szCs w:val="4"/>
                <w:color w:val="auto"/>
              </w:rPr>
            </w:pPr>
          </w:p>
        </w:tc>
        <w:tc>
          <w:tcPr>
            <w:tcW w:w="678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300" w:type="dxa"/>
            <w:vAlign w:val="bottom"/>
          </w:tcPr>
          <w:p>
            <w:pPr>
              <w:spacing w:after="0"/>
              <w:rPr>
                <w:sz w:val="24"/>
                <w:szCs w:val="24"/>
                <w:color w:val="auto"/>
              </w:rPr>
            </w:pPr>
          </w:p>
        </w:tc>
        <w:tc>
          <w:tcPr>
            <w:tcW w:w="6780" w:type="dxa"/>
            <w:vAlign w:val="bottom"/>
          </w:tcPr>
          <w:p>
            <w:pPr>
              <w:ind w:left="56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Recognition for appropriateness of transitioning to fully relative metrics for our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780" w:type="dxa"/>
            <w:vAlign w:val="bottom"/>
          </w:tcPr>
          <w:p>
            <w:pPr>
              <w:ind w:left="760"/>
              <w:spacing w:after="0"/>
              <w:rPr>
                <w:sz w:val="20"/>
                <w:szCs w:val="20"/>
                <w:color w:val="auto"/>
              </w:rPr>
            </w:pPr>
            <w:r>
              <w:rPr>
                <w:rFonts w:ascii="Arial" w:cs="Arial" w:eastAsia="Arial" w:hAnsi="Arial"/>
                <w:sz w:val="16"/>
                <w:szCs w:val="16"/>
                <w:color w:val="auto"/>
              </w:rPr>
              <w:t>2025-2027 PSU cycle given anticipated uncertain market environment for the</w:t>
            </w:r>
          </w:p>
        </w:tc>
        <w:tc>
          <w:tcPr>
            <w:tcW w:w="0" w:type="dxa"/>
            <w:vAlign w:val="bottom"/>
          </w:tcPr>
          <w:p>
            <w:pPr>
              <w:spacing w:after="0"/>
              <w:rPr>
                <w:sz w:val="1"/>
                <w:szCs w:val="1"/>
                <w:color w:val="auto"/>
              </w:rPr>
            </w:pPr>
          </w:p>
        </w:tc>
      </w:tr>
      <w:tr>
        <w:trPr>
          <w:trHeight w:val="251"/>
        </w:trPr>
        <w:tc>
          <w:tcPr>
            <w:tcW w:w="2300" w:type="dxa"/>
            <w:vAlign w:val="bottom"/>
          </w:tcPr>
          <w:p>
            <w:pPr>
              <w:ind w:left="60"/>
              <w:spacing w:after="0"/>
              <w:rPr>
                <w:sz w:val="20"/>
                <w:szCs w:val="20"/>
                <w:color w:val="auto"/>
              </w:rPr>
            </w:pPr>
            <w:r>
              <w:rPr>
                <w:rFonts w:ascii="Arial" w:cs="Arial" w:eastAsia="Arial" w:hAnsi="Arial"/>
                <w:sz w:val="16"/>
                <w:szCs w:val="16"/>
                <w:b w:val="1"/>
                <w:bCs w:val="1"/>
                <w:color w:val="auto"/>
              </w:rPr>
              <w:t>LTIP Program Design</w:t>
            </w:r>
          </w:p>
        </w:tc>
        <w:tc>
          <w:tcPr>
            <w:tcW w:w="6780" w:type="dxa"/>
            <w:vAlign w:val="bottom"/>
          </w:tcPr>
          <w:p>
            <w:pPr>
              <w:ind w:left="760"/>
              <w:spacing w:after="0"/>
              <w:rPr>
                <w:sz w:val="20"/>
                <w:szCs w:val="20"/>
                <w:color w:val="auto"/>
              </w:rPr>
            </w:pPr>
            <w:r>
              <w:rPr>
                <w:rFonts w:ascii="Arial" w:cs="Arial" w:eastAsia="Arial" w:hAnsi="Arial"/>
                <w:sz w:val="16"/>
                <w:szCs w:val="16"/>
                <w:color w:val="auto"/>
              </w:rPr>
              <w:t>automotive industry</w:t>
            </w:r>
          </w:p>
        </w:tc>
        <w:tc>
          <w:tcPr>
            <w:tcW w:w="0" w:type="dxa"/>
            <w:vAlign w:val="bottom"/>
          </w:tcPr>
          <w:p>
            <w:pPr>
              <w:spacing w:after="0"/>
              <w:rPr>
                <w:sz w:val="1"/>
                <w:szCs w:val="1"/>
                <w:color w:val="auto"/>
              </w:rPr>
            </w:pPr>
          </w:p>
        </w:tc>
      </w:tr>
      <w:tr>
        <w:trPr>
          <w:trHeight w:val="235"/>
        </w:trPr>
        <w:tc>
          <w:tcPr>
            <w:tcW w:w="2300" w:type="dxa"/>
            <w:vAlign w:val="bottom"/>
          </w:tcPr>
          <w:p>
            <w:pPr>
              <w:spacing w:after="0"/>
              <w:rPr>
                <w:sz w:val="20"/>
                <w:szCs w:val="20"/>
                <w:color w:val="auto"/>
              </w:rPr>
            </w:pPr>
          </w:p>
        </w:tc>
        <w:tc>
          <w:tcPr>
            <w:tcW w:w="6780" w:type="dxa"/>
            <w:vAlign w:val="bottom"/>
          </w:tcPr>
          <w:p>
            <w:pPr>
              <w:ind w:left="56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Support for requiring above-median relative TSR performance to achieve target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780" w:type="dxa"/>
            <w:vAlign w:val="bottom"/>
          </w:tcPr>
          <w:p>
            <w:pPr>
              <w:ind w:left="760"/>
              <w:spacing w:after="0"/>
              <w:rPr>
                <w:sz w:val="20"/>
                <w:szCs w:val="20"/>
                <w:color w:val="auto"/>
              </w:rPr>
            </w:pPr>
            <w:r>
              <w:rPr>
                <w:rFonts w:ascii="Arial" w:cs="Arial" w:eastAsia="Arial" w:hAnsi="Arial"/>
                <w:sz w:val="16"/>
                <w:szCs w:val="16"/>
                <w:color w:val="auto"/>
              </w:rPr>
              <w:t>payout on our PSUs</w:t>
            </w:r>
          </w:p>
        </w:tc>
        <w:tc>
          <w:tcPr>
            <w:tcW w:w="0" w:type="dxa"/>
            <w:vAlign w:val="bottom"/>
          </w:tcPr>
          <w:p>
            <w:pPr>
              <w:spacing w:after="0"/>
              <w:rPr>
                <w:sz w:val="1"/>
                <w:szCs w:val="1"/>
                <w:color w:val="auto"/>
              </w:rPr>
            </w:pPr>
          </w:p>
        </w:tc>
      </w:tr>
      <w:tr>
        <w:trPr>
          <w:trHeight w:val="56"/>
        </w:trPr>
        <w:tc>
          <w:tcPr>
            <w:tcW w:w="2300" w:type="dxa"/>
            <w:vAlign w:val="bottom"/>
            <w:tcBorders>
              <w:bottom w:val="single" w:sz="8" w:color="D9D9D6"/>
            </w:tcBorders>
          </w:tcPr>
          <w:p>
            <w:pPr>
              <w:spacing w:after="0"/>
              <w:rPr>
                <w:sz w:val="4"/>
                <w:szCs w:val="4"/>
                <w:color w:val="auto"/>
              </w:rPr>
            </w:pPr>
          </w:p>
        </w:tc>
        <w:tc>
          <w:tcPr>
            <w:tcW w:w="678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3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Target Rigor</w:t>
            </w:r>
          </w:p>
        </w:tc>
        <w:tc>
          <w:tcPr>
            <w:tcW w:w="6780" w:type="dxa"/>
            <w:vAlign w:val="bottom"/>
          </w:tcPr>
          <w:p>
            <w:pPr>
              <w:ind w:left="56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Recognition of improved transparency for our rigorous approach to incorporating</w:t>
            </w:r>
          </w:p>
        </w:tc>
        <w:tc>
          <w:tcPr>
            <w:tcW w:w="0" w:type="dxa"/>
            <w:vAlign w:val="bottom"/>
          </w:tcPr>
          <w:p>
            <w:pPr>
              <w:spacing w:after="0"/>
              <w:rPr>
                <w:sz w:val="1"/>
                <w:szCs w:val="1"/>
                <w:color w:val="auto"/>
              </w:rPr>
            </w:pPr>
          </w:p>
        </w:tc>
      </w:tr>
      <w:tr>
        <w:trPr>
          <w:trHeight w:val="116"/>
        </w:trPr>
        <w:tc>
          <w:tcPr>
            <w:tcW w:w="2300" w:type="dxa"/>
            <w:vAlign w:val="bottom"/>
            <w:vMerge w:val="continue"/>
          </w:tcPr>
          <w:p>
            <w:pPr>
              <w:spacing w:after="0"/>
              <w:rPr>
                <w:sz w:val="10"/>
                <w:szCs w:val="10"/>
                <w:color w:val="auto"/>
              </w:rPr>
            </w:pPr>
          </w:p>
        </w:tc>
        <w:tc>
          <w:tcPr>
            <w:tcW w:w="6780" w:type="dxa"/>
            <w:vAlign w:val="bottom"/>
            <w:vMerge w:val="restart"/>
          </w:tcPr>
          <w:p>
            <w:pPr>
              <w:ind w:left="760"/>
              <w:spacing w:after="0"/>
              <w:rPr>
                <w:sz w:val="20"/>
                <w:szCs w:val="20"/>
                <w:color w:val="auto"/>
              </w:rPr>
            </w:pPr>
            <w:r>
              <w:rPr>
                <w:rFonts w:ascii="Arial" w:cs="Arial" w:eastAsia="Arial" w:hAnsi="Arial"/>
                <w:sz w:val="16"/>
                <w:szCs w:val="16"/>
                <w:color w:val="auto"/>
              </w:rPr>
              <w:t>market- and regulatory-related impacts into evaluation against our targets</w:t>
            </w:r>
          </w:p>
        </w:tc>
        <w:tc>
          <w:tcPr>
            <w:tcW w:w="0" w:type="dxa"/>
            <w:vAlign w:val="bottom"/>
          </w:tcPr>
          <w:p>
            <w:pPr>
              <w:spacing w:after="0"/>
              <w:rPr>
                <w:sz w:val="1"/>
                <w:szCs w:val="1"/>
                <w:color w:val="auto"/>
              </w:rPr>
            </w:pPr>
          </w:p>
        </w:tc>
      </w:tr>
      <w:tr>
        <w:trPr>
          <w:trHeight w:val="100"/>
        </w:trPr>
        <w:tc>
          <w:tcPr>
            <w:tcW w:w="2300" w:type="dxa"/>
            <w:vAlign w:val="bottom"/>
          </w:tcPr>
          <w:p>
            <w:pPr>
              <w:spacing w:after="0"/>
              <w:rPr>
                <w:sz w:val="8"/>
                <w:szCs w:val="8"/>
                <w:color w:val="auto"/>
              </w:rPr>
            </w:pPr>
          </w:p>
        </w:tc>
        <w:tc>
          <w:tcPr>
            <w:tcW w:w="6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00" w:type="dxa"/>
            <w:vAlign w:val="bottom"/>
            <w:tcBorders>
              <w:bottom w:val="single" w:sz="8" w:color="D9D9D6"/>
            </w:tcBorders>
          </w:tcPr>
          <w:p>
            <w:pPr>
              <w:spacing w:after="0"/>
              <w:rPr>
                <w:sz w:val="4"/>
                <w:szCs w:val="4"/>
                <w:color w:val="auto"/>
              </w:rPr>
            </w:pPr>
          </w:p>
        </w:tc>
        <w:tc>
          <w:tcPr>
            <w:tcW w:w="6780" w:type="dxa"/>
            <w:vAlign w:val="bottom"/>
            <w:tcBorders>
              <w:bottom w:val="single" w:sz="8" w:color="D9D9D6"/>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2300" w:type="dxa"/>
            <w:vAlign w:val="bottom"/>
          </w:tcPr>
          <w:p>
            <w:pPr>
              <w:spacing w:after="0"/>
              <w:rPr>
                <w:sz w:val="24"/>
                <w:szCs w:val="24"/>
                <w:color w:val="auto"/>
              </w:rPr>
            </w:pPr>
          </w:p>
        </w:tc>
        <w:tc>
          <w:tcPr>
            <w:tcW w:w="6780" w:type="dxa"/>
            <w:vAlign w:val="bottom"/>
          </w:tcPr>
          <w:p>
            <w:pPr>
              <w:ind w:left="56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Encouragement to continue recruiting from new talent pools as the Company’s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780" w:type="dxa"/>
            <w:vAlign w:val="bottom"/>
          </w:tcPr>
          <w:p>
            <w:pPr>
              <w:ind w:left="760"/>
              <w:spacing w:after="0"/>
              <w:rPr>
                <w:sz w:val="20"/>
                <w:szCs w:val="20"/>
                <w:color w:val="auto"/>
              </w:rPr>
            </w:pPr>
            <w:r>
              <w:rPr>
                <w:rFonts w:ascii="Arial" w:cs="Arial" w:eastAsia="Arial" w:hAnsi="Arial"/>
                <w:sz w:val="16"/>
                <w:szCs w:val="16"/>
                <w:color w:val="auto"/>
              </w:rPr>
              <w:t>strategy evolves and focuses more on software and services, with the</w:t>
            </w:r>
          </w:p>
        </w:tc>
        <w:tc>
          <w:tcPr>
            <w:tcW w:w="0" w:type="dxa"/>
            <w:vAlign w:val="bottom"/>
          </w:tcPr>
          <w:p>
            <w:pPr>
              <w:spacing w:after="0"/>
              <w:rPr>
                <w:sz w:val="1"/>
                <w:szCs w:val="1"/>
                <w:color w:val="auto"/>
              </w:rPr>
            </w:pPr>
          </w:p>
        </w:tc>
      </w:tr>
      <w:tr>
        <w:trPr>
          <w:trHeight w:val="217"/>
        </w:trPr>
        <w:tc>
          <w:tcPr>
            <w:tcW w:w="2300" w:type="dxa"/>
            <w:vAlign w:val="bottom"/>
          </w:tcPr>
          <w:p>
            <w:pPr>
              <w:ind w:left="60"/>
              <w:spacing w:after="0"/>
              <w:rPr>
                <w:sz w:val="20"/>
                <w:szCs w:val="20"/>
                <w:color w:val="auto"/>
              </w:rPr>
            </w:pPr>
            <w:r>
              <w:rPr>
                <w:rFonts w:ascii="Arial" w:cs="Arial" w:eastAsia="Arial" w:hAnsi="Arial"/>
                <w:sz w:val="16"/>
                <w:szCs w:val="16"/>
                <w:b w:val="1"/>
                <w:bCs w:val="1"/>
                <w:color w:val="auto"/>
              </w:rPr>
              <w:t>Talent Evolution</w:t>
            </w:r>
          </w:p>
        </w:tc>
        <w:tc>
          <w:tcPr>
            <w:tcW w:w="6780" w:type="dxa"/>
            <w:vAlign w:val="bottom"/>
          </w:tcPr>
          <w:p>
            <w:pPr>
              <w:ind w:left="760"/>
              <w:spacing w:after="0"/>
              <w:rPr>
                <w:sz w:val="20"/>
                <w:szCs w:val="20"/>
                <w:color w:val="auto"/>
              </w:rPr>
            </w:pPr>
            <w:r>
              <w:rPr>
                <w:rFonts w:ascii="Arial" w:cs="Arial" w:eastAsia="Arial" w:hAnsi="Arial"/>
                <w:sz w:val="16"/>
                <w:szCs w:val="16"/>
                <w:color w:val="auto"/>
              </w:rPr>
              <w:t>understanding that this strategy may be associated with compensation</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6780" w:type="dxa"/>
            <w:vAlign w:val="bottom"/>
          </w:tcPr>
          <w:p>
            <w:pPr>
              <w:ind w:left="760"/>
              <w:spacing w:after="0"/>
              <w:rPr>
                <w:sz w:val="20"/>
                <w:szCs w:val="20"/>
                <w:color w:val="auto"/>
              </w:rPr>
            </w:pPr>
            <w:r>
              <w:rPr>
                <w:rFonts w:ascii="Arial" w:cs="Arial" w:eastAsia="Arial" w:hAnsi="Arial"/>
                <w:sz w:val="16"/>
                <w:szCs w:val="16"/>
                <w:color w:val="auto"/>
              </w:rPr>
              <w:t>arrangements that may be larger and different in structure than our standard</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6780" w:type="dxa"/>
            <w:vAlign w:val="bottom"/>
          </w:tcPr>
          <w:p>
            <w:pPr>
              <w:ind w:left="760"/>
              <w:spacing w:after="0"/>
              <w:rPr>
                <w:sz w:val="20"/>
                <w:szCs w:val="20"/>
                <w:color w:val="auto"/>
              </w:rPr>
            </w:pPr>
            <w:r>
              <w:rPr>
                <w:rFonts w:ascii="Arial" w:cs="Arial" w:eastAsia="Arial" w:hAnsi="Arial"/>
                <w:sz w:val="16"/>
                <w:szCs w:val="16"/>
                <w:color w:val="auto"/>
              </w:rPr>
              <w:t>compensation package</w:t>
            </w:r>
          </w:p>
        </w:tc>
        <w:tc>
          <w:tcPr>
            <w:tcW w:w="0" w:type="dxa"/>
            <w:vAlign w:val="bottom"/>
          </w:tcPr>
          <w:p>
            <w:pPr>
              <w:spacing w:after="0"/>
              <w:rPr>
                <w:sz w:val="1"/>
                <w:szCs w:val="1"/>
                <w:color w:val="auto"/>
              </w:rPr>
            </w:pPr>
          </w:p>
        </w:tc>
      </w:tr>
      <w:tr>
        <w:trPr>
          <w:trHeight w:val="56"/>
        </w:trPr>
        <w:tc>
          <w:tcPr>
            <w:tcW w:w="2300" w:type="dxa"/>
            <w:vAlign w:val="bottom"/>
            <w:tcBorders>
              <w:bottom w:val="single" w:sz="8" w:color="0956FF"/>
            </w:tcBorders>
          </w:tcPr>
          <w:p>
            <w:pPr>
              <w:spacing w:after="0"/>
              <w:rPr>
                <w:sz w:val="4"/>
                <w:szCs w:val="4"/>
                <w:color w:val="auto"/>
              </w:rPr>
            </w:pPr>
          </w:p>
        </w:tc>
        <w:tc>
          <w:tcPr>
            <w:tcW w:w="6780" w:type="dxa"/>
            <w:vAlign w:val="bottom"/>
            <w:tcBorders>
              <w:bottom w:val="single" w:sz="8" w:color="0956F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Key Updates for 2025</w:t>
      </w:r>
    </w:p>
    <w:p>
      <w:pPr>
        <w:spacing w:after="0" w:line="11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Compensation Committee continually seeks to enhance our compensation program and undergoes its normal processes for doing so on an annual basis. Conversations with stakeholders, including business leaders and Company shareholders (as described above), serve as a valuable input to the Committee’s ongoing process. Below is a summary of changes made to our compensation programs for 2025 as a result of the Committee’s internal evaluation and analysis and feedback received from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STIP:</w:t>
      </w:r>
    </w:p>
    <w:p>
      <w:pPr>
        <w:spacing w:after="0" w:line="86" w:lineRule="exact"/>
        <w:rPr>
          <w:sz w:val="20"/>
          <w:szCs w:val="20"/>
          <w:color w:val="auto"/>
        </w:rPr>
      </w:pPr>
    </w:p>
    <w:p>
      <w:pPr>
        <w:ind w:left="200" w:right="640" w:hanging="192"/>
        <w:spacing w:after="0" w:line="316" w:lineRule="auto"/>
        <w:tabs>
          <w:tab w:leader="none" w:pos="200" w:val="left"/>
        </w:tabs>
        <w:numPr>
          <w:ilvl w:val="0"/>
          <w:numId w:val="64"/>
        </w:numPr>
        <w:rPr>
          <w:rFonts w:ascii="Arial" w:cs="Arial" w:eastAsia="Arial" w:hAnsi="Arial"/>
          <w:sz w:val="16"/>
          <w:szCs w:val="16"/>
          <w:color w:val="0956FF"/>
        </w:rPr>
      </w:pPr>
      <w:r>
        <w:rPr>
          <w:rFonts w:ascii="Arial" w:cs="Arial" w:eastAsia="Arial" w:hAnsi="Arial"/>
          <w:sz w:val="16"/>
          <w:szCs w:val="16"/>
          <w:color w:val="auto"/>
        </w:rPr>
        <w:t>To drive continued focus on our EV profitability journey, we evolved our prior 2024 EV goal (based on variable profit margin) to a new goal based on EV variable cost percentage improvement.</w:t>
      </w:r>
    </w:p>
    <w:p>
      <w:pPr>
        <w:spacing w:after="0" w:line="2" w:lineRule="exact"/>
        <w:rPr>
          <w:sz w:val="20"/>
          <w:szCs w:val="20"/>
          <w:color w:val="auto"/>
        </w:rPr>
      </w:pPr>
    </w:p>
    <w:p>
      <w:pPr>
        <w:spacing w:after="0"/>
        <w:tabs>
          <w:tab w:leader="none" w:pos="180" w:val="left"/>
          <w:tab w:leader="none" w:pos="7260" w:val="left"/>
        </w:tabs>
        <w:rPr>
          <w:sz w:val="20"/>
          <w:szCs w:val="20"/>
          <w:color w:val="auto"/>
        </w:rPr>
      </w:pPr>
      <w:r>
        <w:rPr>
          <w:rFonts w:ascii="Arial" w:cs="Arial" w:eastAsia="Arial" w:hAnsi="Arial"/>
          <w:sz w:val="16"/>
          <w:szCs w:val="16"/>
          <w:color w:val="0956FF"/>
        </w:rPr>
        <w:t>•</w:t>
      </w:r>
      <w:r>
        <w:rPr>
          <w:rFonts w:ascii="Arial" w:cs="Arial" w:eastAsia="Arial" w:hAnsi="Arial"/>
          <w:sz w:val="16"/>
          <w:szCs w:val="16"/>
          <w:color w:val="auto"/>
        </w:rPr>
        <w:tab/>
        <w:t>For 2025, we removed the potential for upward adjustment as part of our individual performance</w:t>
        <w:tab/>
        <w:t>modifier.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LTIP</w:t>
      </w:r>
      <w:r>
        <w:rPr>
          <w:rFonts w:ascii="Arial" w:cs="Arial" w:eastAsia="Arial" w:hAnsi="Arial"/>
          <w:sz w:val="16"/>
          <w:szCs w:val="16"/>
          <w:color w:val="auto"/>
        </w:rPr>
        <w:t>:</w:t>
      </w:r>
    </w:p>
    <w:p>
      <w:pPr>
        <w:spacing w:after="0" w:line="73" w:lineRule="exact"/>
        <w:rPr>
          <w:sz w:val="20"/>
          <w:szCs w:val="20"/>
          <w:color w:val="auto"/>
        </w:rPr>
      </w:pPr>
    </w:p>
    <w:p>
      <w:pPr>
        <w:ind w:left="200" w:right="80" w:hanging="192"/>
        <w:spacing w:after="0" w:line="295" w:lineRule="auto"/>
        <w:tabs>
          <w:tab w:leader="none" w:pos="200" w:val="left"/>
        </w:tabs>
        <w:numPr>
          <w:ilvl w:val="0"/>
          <w:numId w:val="65"/>
        </w:numPr>
        <w:rPr>
          <w:rFonts w:ascii="Arial" w:cs="Arial" w:eastAsia="Arial" w:hAnsi="Arial"/>
          <w:sz w:val="16"/>
          <w:szCs w:val="16"/>
          <w:color w:val="0956FF"/>
        </w:rPr>
      </w:pPr>
      <w:r>
        <w:rPr>
          <w:rFonts w:ascii="Arial" w:cs="Arial" w:eastAsia="Arial" w:hAnsi="Arial"/>
          <w:sz w:val="16"/>
          <w:szCs w:val="16"/>
          <w:color w:val="auto"/>
        </w:rPr>
        <w:t>For our 2025-2027 PSU cycle, we transitioned to fully relative performance metrics, consisting of the new Relative Operating Cash Flow as a Percentage of Revenue (30% weighting) and Relative EBIT-adj. Margin (30% weighting) metrics and retaining relative TSR (40% weighting), to focus the Company on maximizing results while our industry navigates transformation, disruption, and regulatory change.</w:t>
      </w:r>
    </w:p>
    <w:p>
      <w:pPr>
        <w:spacing w:after="0" w:line="13" w:lineRule="exact"/>
        <w:rPr>
          <w:rFonts w:ascii="Arial" w:cs="Arial" w:eastAsia="Arial" w:hAnsi="Arial"/>
          <w:sz w:val="16"/>
          <w:szCs w:val="16"/>
          <w:color w:val="0956FF"/>
        </w:rPr>
      </w:pPr>
    </w:p>
    <w:p>
      <w:pPr>
        <w:ind w:left="200" w:right="280" w:hanging="192"/>
        <w:spacing w:after="0" w:line="321" w:lineRule="auto"/>
        <w:tabs>
          <w:tab w:leader="none" w:pos="200" w:val="left"/>
        </w:tabs>
        <w:numPr>
          <w:ilvl w:val="0"/>
          <w:numId w:val="65"/>
        </w:numPr>
        <w:rPr>
          <w:rFonts w:ascii="Arial" w:cs="Arial" w:eastAsia="Arial" w:hAnsi="Arial"/>
          <w:sz w:val="16"/>
          <w:szCs w:val="16"/>
          <w:color w:val="0956FF"/>
        </w:rPr>
      </w:pPr>
      <w:r>
        <w:rPr>
          <w:rFonts w:ascii="Arial" w:cs="Arial" w:eastAsia="Arial" w:hAnsi="Arial"/>
          <w:sz w:val="16"/>
          <w:szCs w:val="16"/>
          <w:color w:val="auto"/>
        </w:rPr>
        <w:t>We increased the relative TSR percentile required for target payout within our PSUs to the 55th percentile of OEM peers (instead of the 50th percentile).</w:t>
      </w:r>
    </w:p>
    <w:p>
      <w:pPr>
        <w:sectPr>
          <w:pgSz w:w="11900" w:h="16838" w:orient="portrait"/>
          <w:cols w:equalWidth="0" w:num="1">
            <w:col w:w="9080"/>
          </w:cols>
          <w:pgMar w:left="1400" w:top="657" w:right="1419" w:bottom="1440" w:gutter="0" w:footer="0" w:header="0"/>
        </w:sect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9080"/>
          </w:cols>
          <w:pgMar w:left="1400" w:top="657" w:right="141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Compensation Principles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provided to our executives is guided by pay-for-performance and the following principles: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700" w:type="dxa"/>
            <w:vAlign w:val="bottom"/>
            <w:tcBorders>
              <w:top w:val="single" w:sz="8" w:color="0956FF"/>
            </w:tcBorders>
            <w:shd w:val="clear" w:color="auto" w:fill="ECEBEB"/>
          </w:tcPr>
          <w:p>
            <w:pPr>
              <w:spacing w:after="0"/>
              <w:rPr>
                <w:sz w:val="24"/>
                <w:szCs w:val="24"/>
                <w:color w:val="auto"/>
              </w:rPr>
            </w:pPr>
          </w:p>
        </w:tc>
        <w:tc>
          <w:tcPr>
            <w:tcW w:w="1780" w:type="dxa"/>
            <w:vAlign w:val="bottom"/>
            <w:tcBorders>
              <w:top w:val="single" w:sz="8" w:color="0956FF"/>
            </w:tcBorders>
            <w:vMerge w:val="restart"/>
            <w:shd w:val="clear" w:color="auto" w:fill="ECEBEB"/>
          </w:tcPr>
          <w:p>
            <w:pPr>
              <w:ind w:left="60"/>
              <w:spacing w:after="0"/>
              <w:rPr>
                <w:sz w:val="20"/>
                <w:szCs w:val="20"/>
                <w:color w:val="auto"/>
              </w:rPr>
            </w:pPr>
            <w:r>
              <w:rPr>
                <w:rFonts w:ascii="Arial" w:cs="Arial" w:eastAsia="Arial" w:hAnsi="Arial"/>
                <w:sz w:val="16"/>
                <w:szCs w:val="16"/>
                <w:b w:val="1"/>
                <w:bCs w:val="1"/>
                <w:color w:val="auto"/>
              </w:rPr>
              <w:t>Align with</w:t>
            </w:r>
          </w:p>
        </w:tc>
        <w:tc>
          <w:tcPr>
            <w:tcW w:w="6600" w:type="dxa"/>
            <w:vAlign w:val="bottom"/>
            <w:tcBorders>
              <w:top w:val="single" w:sz="8" w:color="0956FF"/>
            </w:tcBorders>
          </w:tcPr>
          <w:p>
            <w:pPr>
              <w:ind w:left="120"/>
              <w:spacing w:after="0"/>
              <w:rPr>
                <w:sz w:val="20"/>
                <w:szCs w:val="20"/>
                <w:color w:val="auto"/>
              </w:rPr>
            </w:pPr>
            <w:r>
              <w:rPr>
                <w:rFonts w:ascii="Arial" w:cs="Arial" w:eastAsia="Arial" w:hAnsi="Arial"/>
                <w:sz w:val="16"/>
                <w:szCs w:val="16"/>
                <w:color w:val="auto"/>
              </w:rPr>
              <w:t>Compensation paid should align directly with the long-term interests of our</w:t>
            </w:r>
          </w:p>
        </w:tc>
        <w:tc>
          <w:tcPr>
            <w:tcW w:w="0" w:type="dxa"/>
            <w:vAlign w:val="bottom"/>
          </w:tcPr>
          <w:p>
            <w:pPr>
              <w:spacing w:after="0"/>
              <w:rPr>
                <w:sz w:val="1"/>
                <w:szCs w:val="1"/>
                <w:color w:val="auto"/>
              </w:rPr>
            </w:pPr>
          </w:p>
        </w:tc>
      </w:tr>
      <w:tr>
        <w:trPr>
          <w:trHeight w:val="109"/>
        </w:trPr>
        <w:tc>
          <w:tcPr>
            <w:tcW w:w="700" w:type="dxa"/>
            <w:vAlign w:val="bottom"/>
            <w:shd w:val="clear" w:color="auto" w:fill="ECEBEB"/>
          </w:tcPr>
          <w:p>
            <w:pPr>
              <w:spacing w:after="0"/>
              <w:rPr>
                <w:sz w:val="9"/>
                <w:szCs w:val="9"/>
                <w:color w:val="auto"/>
              </w:rPr>
            </w:pPr>
          </w:p>
        </w:tc>
        <w:tc>
          <w:tcPr>
            <w:tcW w:w="1780" w:type="dxa"/>
            <w:vAlign w:val="bottom"/>
            <w:vMerge w:val="continue"/>
            <w:shd w:val="clear" w:color="auto" w:fill="ECEBEB"/>
          </w:tcPr>
          <w:p>
            <w:pPr>
              <w:spacing w:after="0"/>
              <w:rPr>
                <w:sz w:val="9"/>
                <w:szCs w:val="9"/>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auto"/>
              </w:rPr>
              <w:t>shareholders, and our executives should share with them in the performance and value</w:t>
            </w:r>
          </w:p>
        </w:tc>
        <w:tc>
          <w:tcPr>
            <w:tcW w:w="0" w:type="dxa"/>
            <w:vAlign w:val="bottom"/>
          </w:tcPr>
          <w:p>
            <w:pPr>
              <w:spacing w:after="0"/>
              <w:rPr>
                <w:sz w:val="1"/>
                <w:szCs w:val="1"/>
                <w:color w:val="auto"/>
              </w:rPr>
            </w:pPr>
          </w:p>
        </w:tc>
      </w:tr>
      <w:tr>
        <w:trPr>
          <w:trHeight w:val="107"/>
        </w:trPr>
        <w:tc>
          <w:tcPr>
            <w:tcW w:w="700" w:type="dxa"/>
            <w:vAlign w:val="bottom"/>
            <w:shd w:val="clear" w:color="auto" w:fill="ECEBEB"/>
          </w:tcPr>
          <w:p>
            <w:pPr>
              <w:spacing w:after="0"/>
              <w:rPr>
                <w:sz w:val="9"/>
                <w:szCs w:val="9"/>
                <w:color w:val="auto"/>
              </w:rPr>
            </w:pPr>
          </w:p>
        </w:tc>
        <w:tc>
          <w:tcPr>
            <w:tcW w:w="1780" w:type="dxa"/>
            <w:vAlign w:val="bottom"/>
            <w:vMerge w:val="restart"/>
            <w:shd w:val="clear" w:color="auto" w:fill="ECEBEB"/>
          </w:tcPr>
          <w:p>
            <w:pPr>
              <w:ind w:left="60"/>
              <w:spacing w:after="0"/>
              <w:rPr>
                <w:sz w:val="20"/>
                <w:szCs w:val="20"/>
                <w:color w:val="auto"/>
              </w:rPr>
            </w:pPr>
            <w:r>
              <w:rPr>
                <w:rFonts w:ascii="Arial" w:cs="Arial" w:eastAsia="Arial" w:hAnsi="Arial"/>
                <w:sz w:val="16"/>
                <w:szCs w:val="16"/>
                <w:b w:val="1"/>
                <w:bCs w:val="1"/>
                <w:color w:val="auto"/>
              </w:rPr>
              <w:t>Shareholders</w:t>
            </w:r>
          </w:p>
        </w:tc>
        <w:tc>
          <w:tcPr>
            <w:tcW w:w="6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shd w:val="clear" w:color="auto" w:fill="ECEBEB"/>
          </w:tcPr>
          <w:p>
            <w:pPr>
              <w:spacing w:after="0"/>
              <w:rPr>
                <w:sz w:val="10"/>
                <w:szCs w:val="10"/>
                <w:color w:val="auto"/>
              </w:rPr>
            </w:pPr>
          </w:p>
        </w:tc>
        <w:tc>
          <w:tcPr>
            <w:tcW w:w="1780" w:type="dxa"/>
            <w:vAlign w:val="bottom"/>
            <w:vMerge w:val="continue"/>
            <w:shd w:val="clear" w:color="auto" w:fill="ECEBEB"/>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auto"/>
              </w:rPr>
              <w:t>of our common stock.</w:t>
            </w:r>
          </w:p>
        </w:tc>
        <w:tc>
          <w:tcPr>
            <w:tcW w:w="0" w:type="dxa"/>
            <w:vAlign w:val="bottom"/>
          </w:tcPr>
          <w:p>
            <w:pPr>
              <w:spacing w:after="0"/>
              <w:rPr>
                <w:sz w:val="1"/>
                <w:szCs w:val="1"/>
                <w:color w:val="auto"/>
              </w:rPr>
            </w:pPr>
          </w:p>
        </w:tc>
      </w:tr>
      <w:tr>
        <w:trPr>
          <w:trHeight w:val="156"/>
        </w:trPr>
        <w:tc>
          <w:tcPr>
            <w:tcW w:w="700" w:type="dxa"/>
            <w:vAlign w:val="bottom"/>
            <w:tcBorders>
              <w:bottom w:val="single" w:sz="8" w:color="ECEBEB"/>
            </w:tcBorders>
            <w:shd w:val="clear" w:color="auto" w:fill="ECEBEB"/>
          </w:tcPr>
          <w:p>
            <w:pPr>
              <w:spacing w:after="0"/>
              <w:rPr>
                <w:sz w:val="13"/>
                <w:szCs w:val="13"/>
                <w:color w:val="auto"/>
              </w:rPr>
            </w:pPr>
          </w:p>
        </w:tc>
        <w:tc>
          <w:tcPr>
            <w:tcW w:w="1780" w:type="dxa"/>
            <w:vAlign w:val="bottom"/>
            <w:tcBorders>
              <w:bottom w:val="single" w:sz="8" w:color="ECEBEB"/>
            </w:tcBorders>
            <w:shd w:val="clear" w:color="auto" w:fill="ECEBEB"/>
          </w:tcPr>
          <w:p>
            <w:pPr>
              <w:spacing w:after="0"/>
              <w:rPr>
                <w:sz w:val="13"/>
                <w:szCs w:val="13"/>
                <w:color w:val="auto"/>
              </w:rPr>
            </w:pPr>
          </w:p>
        </w:tc>
        <w:tc>
          <w:tcPr>
            <w:tcW w:w="6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700" w:type="dxa"/>
            <w:vAlign w:val="bottom"/>
            <w:tcBorders>
              <w:top w:val="single" w:sz="8" w:color="ECEBEB"/>
            </w:tcBorders>
            <w:shd w:val="clear" w:color="auto" w:fill="ECEBEB"/>
          </w:tcPr>
          <w:p>
            <w:pPr>
              <w:spacing w:after="0"/>
              <w:rPr>
                <w:sz w:val="24"/>
                <w:szCs w:val="24"/>
                <w:color w:val="auto"/>
              </w:rPr>
            </w:pPr>
          </w:p>
        </w:tc>
        <w:tc>
          <w:tcPr>
            <w:tcW w:w="1780" w:type="dxa"/>
            <w:vAlign w:val="bottom"/>
            <w:tcBorders>
              <w:top w:val="single" w:sz="8" w:color="D9D9D6"/>
            </w:tcBorders>
            <w:vMerge w:val="restart"/>
            <w:shd w:val="clear" w:color="auto" w:fill="ECEBEB"/>
          </w:tcPr>
          <w:p>
            <w:pPr>
              <w:ind w:left="60"/>
              <w:spacing w:after="0"/>
              <w:rPr>
                <w:sz w:val="20"/>
                <w:szCs w:val="20"/>
                <w:color w:val="auto"/>
              </w:rPr>
            </w:pPr>
            <w:r>
              <w:rPr>
                <w:rFonts w:ascii="Arial" w:cs="Arial" w:eastAsia="Arial" w:hAnsi="Arial"/>
                <w:sz w:val="16"/>
                <w:szCs w:val="16"/>
                <w:b w:val="1"/>
                <w:bCs w:val="1"/>
                <w:color w:val="auto"/>
              </w:rPr>
              <w:t>Enable Company</w:t>
            </w:r>
          </w:p>
        </w:tc>
        <w:tc>
          <w:tcPr>
            <w:tcW w:w="66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auto"/>
              </w:rPr>
              <w:t>Compensation should be based on rigorous Company performance and strategic goals,</w:t>
            </w:r>
          </w:p>
        </w:tc>
        <w:tc>
          <w:tcPr>
            <w:tcW w:w="0" w:type="dxa"/>
            <w:vAlign w:val="bottom"/>
          </w:tcPr>
          <w:p>
            <w:pPr>
              <w:spacing w:after="0"/>
              <w:rPr>
                <w:sz w:val="1"/>
                <w:szCs w:val="1"/>
                <w:color w:val="auto"/>
              </w:rPr>
            </w:pPr>
          </w:p>
        </w:tc>
      </w:tr>
      <w:tr>
        <w:trPr>
          <w:trHeight w:val="109"/>
        </w:trPr>
        <w:tc>
          <w:tcPr>
            <w:tcW w:w="700" w:type="dxa"/>
            <w:vAlign w:val="bottom"/>
            <w:shd w:val="clear" w:color="auto" w:fill="ECEBEB"/>
          </w:tcPr>
          <w:p>
            <w:pPr>
              <w:spacing w:after="0"/>
              <w:rPr>
                <w:sz w:val="9"/>
                <w:szCs w:val="9"/>
                <w:color w:val="auto"/>
              </w:rPr>
            </w:pPr>
          </w:p>
        </w:tc>
        <w:tc>
          <w:tcPr>
            <w:tcW w:w="1780" w:type="dxa"/>
            <w:vAlign w:val="bottom"/>
            <w:vMerge w:val="continue"/>
            <w:shd w:val="clear" w:color="auto" w:fill="ECEBEB"/>
          </w:tcPr>
          <w:p>
            <w:pPr>
              <w:spacing w:after="0"/>
              <w:rPr>
                <w:sz w:val="9"/>
                <w:szCs w:val="9"/>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auto"/>
              </w:rPr>
              <w:t>which are within our executives’ control, and reward performance aligned with GM’s</w:t>
            </w:r>
          </w:p>
        </w:tc>
        <w:tc>
          <w:tcPr>
            <w:tcW w:w="0" w:type="dxa"/>
            <w:vAlign w:val="bottom"/>
          </w:tcPr>
          <w:p>
            <w:pPr>
              <w:spacing w:after="0"/>
              <w:rPr>
                <w:sz w:val="1"/>
                <w:szCs w:val="1"/>
                <w:color w:val="auto"/>
              </w:rPr>
            </w:pPr>
          </w:p>
        </w:tc>
      </w:tr>
      <w:tr>
        <w:trPr>
          <w:trHeight w:val="107"/>
        </w:trPr>
        <w:tc>
          <w:tcPr>
            <w:tcW w:w="700" w:type="dxa"/>
            <w:vAlign w:val="bottom"/>
            <w:shd w:val="clear" w:color="auto" w:fill="ECEBEB"/>
          </w:tcPr>
          <w:p>
            <w:pPr>
              <w:spacing w:after="0"/>
              <w:rPr>
                <w:sz w:val="9"/>
                <w:szCs w:val="9"/>
                <w:color w:val="auto"/>
              </w:rPr>
            </w:pPr>
          </w:p>
        </w:tc>
        <w:tc>
          <w:tcPr>
            <w:tcW w:w="1780" w:type="dxa"/>
            <w:vAlign w:val="bottom"/>
            <w:vMerge w:val="restart"/>
            <w:shd w:val="clear" w:color="auto" w:fill="ECEBEB"/>
          </w:tcPr>
          <w:p>
            <w:pPr>
              <w:ind w:left="60"/>
              <w:spacing w:after="0"/>
              <w:rPr>
                <w:sz w:val="20"/>
                <w:szCs w:val="20"/>
                <w:color w:val="auto"/>
              </w:rPr>
            </w:pPr>
            <w:r>
              <w:rPr>
                <w:rFonts w:ascii="Arial" w:cs="Arial" w:eastAsia="Arial" w:hAnsi="Arial"/>
                <w:sz w:val="16"/>
                <w:szCs w:val="16"/>
                <w:b w:val="1"/>
                <w:bCs w:val="1"/>
                <w:color w:val="auto"/>
              </w:rPr>
              <w:t>Strategy</w:t>
            </w:r>
          </w:p>
        </w:tc>
        <w:tc>
          <w:tcPr>
            <w:tcW w:w="6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shd w:val="clear" w:color="auto" w:fill="ECEBEB"/>
          </w:tcPr>
          <w:p>
            <w:pPr>
              <w:spacing w:after="0"/>
              <w:rPr>
                <w:sz w:val="10"/>
                <w:szCs w:val="10"/>
                <w:color w:val="auto"/>
              </w:rPr>
            </w:pPr>
          </w:p>
        </w:tc>
        <w:tc>
          <w:tcPr>
            <w:tcW w:w="1780" w:type="dxa"/>
            <w:vAlign w:val="bottom"/>
            <w:vMerge w:val="continue"/>
            <w:shd w:val="clear" w:color="auto" w:fill="ECEBEB"/>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auto"/>
              </w:rPr>
              <w:t>strategy, values, and expected behaviors.</w:t>
            </w:r>
          </w:p>
        </w:tc>
        <w:tc>
          <w:tcPr>
            <w:tcW w:w="0" w:type="dxa"/>
            <w:vAlign w:val="bottom"/>
          </w:tcPr>
          <w:p>
            <w:pPr>
              <w:spacing w:after="0"/>
              <w:rPr>
                <w:sz w:val="1"/>
                <w:szCs w:val="1"/>
                <w:color w:val="auto"/>
              </w:rPr>
            </w:pPr>
          </w:p>
        </w:tc>
      </w:tr>
      <w:tr>
        <w:trPr>
          <w:trHeight w:val="100"/>
        </w:trPr>
        <w:tc>
          <w:tcPr>
            <w:tcW w:w="700" w:type="dxa"/>
            <w:vAlign w:val="bottom"/>
            <w:shd w:val="clear" w:color="auto" w:fill="ECEBEB"/>
          </w:tcPr>
          <w:p>
            <w:pPr>
              <w:spacing w:after="0"/>
              <w:rPr>
                <w:sz w:val="8"/>
                <w:szCs w:val="8"/>
                <w:color w:val="auto"/>
              </w:rPr>
            </w:pPr>
          </w:p>
        </w:tc>
        <w:tc>
          <w:tcPr>
            <w:tcW w:w="1780" w:type="dxa"/>
            <w:vAlign w:val="bottom"/>
            <w:shd w:val="clear" w:color="auto" w:fill="ECEBEB"/>
          </w:tcPr>
          <w:p>
            <w:pPr>
              <w:spacing w:after="0"/>
              <w:rPr>
                <w:sz w:val="8"/>
                <w:szCs w:val="8"/>
                <w:color w:val="auto"/>
              </w:rPr>
            </w:pPr>
          </w:p>
        </w:tc>
        <w:tc>
          <w:tcPr>
            <w:tcW w:w="6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700" w:type="dxa"/>
            <w:vAlign w:val="bottom"/>
            <w:tcBorders>
              <w:bottom w:val="single" w:sz="8" w:color="ECEBEB"/>
            </w:tcBorders>
            <w:shd w:val="clear" w:color="auto" w:fill="ECEBEB"/>
          </w:tcPr>
          <w:p>
            <w:pPr>
              <w:spacing w:after="0"/>
              <w:rPr>
                <w:sz w:val="6"/>
                <w:szCs w:val="6"/>
                <w:color w:val="auto"/>
              </w:rPr>
            </w:pPr>
          </w:p>
        </w:tc>
        <w:tc>
          <w:tcPr>
            <w:tcW w:w="1780" w:type="dxa"/>
            <w:vAlign w:val="bottom"/>
            <w:tcBorders>
              <w:bottom w:val="single" w:sz="8" w:color="D9D9D6"/>
            </w:tcBorders>
            <w:shd w:val="clear" w:color="auto" w:fill="ECEBEB"/>
          </w:tcPr>
          <w:p>
            <w:pPr>
              <w:spacing w:after="0"/>
              <w:rPr>
                <w:sz w:val="6"/>
                <w:szCs w:val="6"/>
                <w:color w:val="auto"/>
              </w:rPr>
            </w:pPr>
          </w:p>
        </w:tc>
        <w:tc>
          <w:tcPr>
            <w:tcW w:w="6600" w:type="dxa"/>
            <w:vAlign w:val="bottom"/>
            <w:tcBorders>
              <w:bottom w:val="single" w:sz="8" w:color="D9D9D6"/>
            </w:tcBorders>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700" w:type="dxa"/>
            <w:vAlign w:val="bottom"/>
            <w:shd w:val="clear" w:color="auto" w:fill="ECEBEB"/>
          </w:tcPr>
          <w:p>
            <w:pPr>
              <w:spacing w:after="0"/>
              <w:rPr>
                <w:sz w:val="24"/>
                <w:szCs w:val="24"/>
                <w:color w:val="auto"/>
              </w:rPr>
            </w:pPr>
          </w:p>
        </w:tc>
        <w:tc>
          <w:tcPr>
            <w:tcW w:w="1780" w:type="dxa"/>
            <w:vAlign w:val="bottom"/>
            <w:shd w:val="clear" w:color="auto" w:fill="ECEBEB"/>
          </w:tcPr>
          <w:p>
            <w:pPr>
              <w:spacing w:after="0"/>
              <w:rPr>
                <w:sz w:val="24"/>
                <w:szCs w:val="24"/>
                <w:color w:val="auto"/>
              </w:rPr>
            </w:pPr>
          </w:p>
        </w:tc>
        <w:tc>
          <w:tcPr>
            <w:tcW w:w="6600" w:type="dxa"/>
            <w:vAlign w:val="bottom"/>
          </w:tcPr>
          <w:p>
            <w:pPr>
              <w:ind w:left="120"/>
              <w:spacing w:after="0"/>
              <w:rPr>
                <w:sz w:val="20"/>
                <w:szCs w:val="20"/>
                <w:color w:val="auto"/>
              </w:rPr>
            </w:pPr>
            <w:r>
              <w:rPr>
                <w:rFonts w:ascii="Arial" w:cs="Arial" w:eastAsia="Arial" w:hAnsi="Arial"/>
                <w:sz w:val="16"/>
                <w:szCs w:val="16"/>
                <w:color w:val="auto"/>
              </w:rPr>
              <w:t>Target compensation should have an appropriate mix of short-term and long-term pay</w:t>
            </w:r>
          </w:p>
        </w:tc>
        <w:tc>
          <w:tcPr>
            <w:tcW w:w="0" w:type="dxa"/>
            <w:vAlign w:val="bottom"/>
          </w:tcPr>
          <w:p>
            <w:pPr>
              <w:spacing w:after="0"/>
              <w:rPr>
                <w:sz w:val="1"/>
                <w:szCs w:val="1"/>
                <w:color w:val="auto"/>
              </w:rPr>
            </w:pPr>
          </w:p>
        </w:tc>
      </w:tr>
      <w:tr>
        <w:trPr>
          <w:trHeight w:val="216"/>
        </w:trPr>
        <w:tc>
          <w:tcPr>
            <w:tcW w:w="700" w:type="dxa"/>
            <w:vAlign w:val="bottom"/>
            <w:shd w:val="clear" w:color="auto" w:fill="ECEBEB"/>
          </w:tcPr>
          <w:p>
            <w:pPr>
              <w:spacing w:after="0"/>
              <w:rPr>
                <w:sz w:val="18"/>
                <w:szCs w:val="18"/>
                <w:color w:val="auto"/>
              </w:rPr>
            </w:pPr>
          </w:p>
        </w:tc>
        <w:tc>
          <w:tcPr>
            <w:tcW w:w="1780" w:type="dxa"/>
            <w:vAlign w:val="bottom"/>
            <w:vMerge w:val="restart"/>
            <w:shd w:val="clear" w:color="auto" w:fill="ECEBEB"/>
          </w:tcPr>
          <w:p>
            <w:pPr>
              <w:ind w:left="60"/>
              <w:spacing w:after="0"/>
              <w:rPr>
                <w:sz w:val="20"/>
                <w:szCs w:val="20"/>
                <w:color w:val="auto"/>
              </w:rPr>
            </w:pPr>
            <w:r>
              <w:rPr>
                <w:rFonts w:ascii="Arial" w:cs="Arial" w:eastAsia="Arial" w:hAnsi="Arial"/>
                <w:sz w:val="16"/>
                <w:szCs w:val="16"/>
                <w:b w:val="1"/>
                <w:bCs w:val="1"/>
                <w:color w:val="auto"/>
              </w:rPr>
              <w:t>Market-Competitive</w:t>
            </w:r>
          </w:p>
        </w:tc>
        <w:tc>
          <w:tcPr>
            <w:tcW w:w="6600" w:type="dxa"/>
            <w:vAlign w:val="bottom"/>
          </w:tcPr>
          <w:p>
            <w:pPr>
              <w:ind w:left="120"/>
              <w:spacing w:after="0"/>
              <w:rPr>
                <w:sz w:val="20"/>
                <w:szCs w:val="20"/>
                <w:color w:val="auto"/>
              </w:rPr>
            </w:pPr>
            <w:r>
              <w:rPr>
                <w:rFonts w:ascii="Arial" w:cs="Arial" w:eastAsia="Arial" w:hAnsi="Arial"/>
                <w:sz w:val="16"/>
                <w:szCs w:val="16"/>
                <w:color w:val="auto"/>
              </w:rPr>
              <w:t>elements and should be competitive with target compensation levels for comparable</w:t>
            </w:r>
          </w:p>
        </w:tc>
        <w:tc>
          <w:tcPr>
            <w:tcW w:w="0" w:type="dxa"/>
            <w:vAlign w:val="bottom"/>
          </w:tcPr>
          <w:p>
            <w:pPr>
              <w:spacing w:after="0"/>
              <w:rPr>
                <w:sz w:val="1"/>
                <w:szCs w:val="1"/>
                <w:color w:val="auto"/>
              </w:rPr>
            </w:pPr>
          </w:p>
        </w:tc>
      </w:tr>
      <w:tr>
        <w:trPr>
          <w:trHeight w:val="116"/>
        </w:trPr>
        <w:tc>
          <w:tcPr>
            <w:tcW w:w="700" w:type="dxa"/>
            <w:vAlign w:val="bottom"/>
            <w:shd w:val="clear" w:color="auto" w:fill="ECEBEB"/>
          </w:tcPr>
          <w:p>
            <w:pPr>
              <w:spacing w:after="0"/>
              <w:rPr>
                <w:sz w:val="10"/>
                <w:szCs w:val="10"/>
                <w:color w:val="auto"/>
              </w:rPr>
            </w:pPr>
          </w:p>
        </w:tc>
        <w:tc>
          <w:tcPr>
            <w:tcW w:w="1780" w:type="dxa"/>
            <w:vAlign w:val="bottom"/>
            <w:vMerge w:val="continue"/>
            <w:shd w:val="clear" w:color="auto" w:fill="ECEBEB"/>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auto"/>
              </w:rPr>
              <w:t>individuals at peer group companies so that we can successfully attract, motivate, and</w:t>
            </w:r>
          </w:p>
        </w:tc>
        <w:tc>
          <w:tcPr>
            <w:tcW w:w="0" w:type="dxa"/>
            <w:vAlign w:val="bottom"/>
          </w:tcPr>
          <w:p>
            <w:pPr>
              <w:spacing w:after="0"/>
              <w:rPr>
                <w:sz w:val="1"/>
                <w:szCs w:val="1"/>
                <w:color w:val="auto"/>
              </w:rPr>
            </w:pPr>
          </w:p>
        </w:tc>
      </w:tr>
      <w:tr>
        <w:trPr>
          <w:trHeight w:val="100"/>
        </w:trPr>
        <w:tc>
          <w:tcPr>
            <w:tcW w:w="700" w:type="dxa"/>
            <w:vAlign w:val="bottom"/>
            <w:shd w:val="clear" w:color="auto" w:fill="ECEBEB"/>
          </w:tcPr>
          <w:p>
            <w:pPr>
              <w:spacing w:after="0"/>
              <w:rPr>
                <w:sz w:val="8"/>
                <w:szCs w:val="8"/>
                <w:color w:val="auto"/>
              </w:rPr>
            </w:pPr>
          </w:p>
        </w:tc>
        <w:tc>
          <w:tcPr>
            <w:tcW w:w="1780" w:type="dxa"/>
            <w:vAlign w:val="bottom"/>
            <w:shd w:val="clear" w:color="auto" w:fill="ECEBEB"/>
          </w:tcPr>
          <w:p>
            <w:pPr>
              <w:spacing w:after="0"/>
              <w:rPr>
                <w:sz w:val="8"/>
                <w:szCs w:val="8"/>
                <w:color w:val="auto"/>
              </w:rPr>
            </w:pPr>
          </w:p>
        </w:tc>
        <w:tc>
          <w:tcPr>
            <w:tcW w:w="6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700" w:type="dxa"/>
            <w:vAlign w:val="bottom"/>
            <w:tcBorders>
              <w:bottom w:val="single" w:sz="8" w:color="ECEBEB"/>
            </w:tcBorders>
            <w:shd w:val="clear" w:color="auto" w:fill="ECEBEB"/>
          </w:tcPr>
          <w:p>
            <w:pPr>
              <w:spacing w:after="0"/>
              <w:rPr>
                <w:sz w:val="23"/>
                <w:szCs w:val="23"/>
                <w:color w:val="auto"/>
              </w:rPr>
            </w:pPr>
          </w:p>
        </w:tc>
        <w:tc>
          <w:tcPr>
            <w:tcW w:w="1780" w:type="dxa"/>
            <w:vAlign w:val="bottom"/>
            <w:tcBorders>
              <w:bottom w:val="single" w:sz="8" w:color="ECEBEB"/>
            </w:tcBorders>
            <w:shd w:val="clear" w:color="auto" w:fill="ECEBEB"/>
          </w:tcPr>
          <w:p>
            <w:pPr>
              <w:spacing w:after="0"/>
              <w:rPr>
                <w:sz w:val="23"/>
                <w:szCs w:val="23"/>
                <w:color w:val="auto"/>
              </w:rPr>
            </w:pPr>
          </w:p>
        </w:tc>
        <w:tc>
          <w:tcPr>
            <w:tcW w:w="6600" w:type="dxa"/>
            <w:vAlign w:val="bottom"/>
          </w:tcPr>
          <w:p>
            <w:pPr>
              <w:ind w:left="120"/>
              <w:spacing w:after="0"/>
              <w:rPr>
                <w:sz w:val="20"/>
                <w:szCs w:val="20"/>
                <w:color w:val="auto"/>
              </w:rPr>
            </w:pPr>
            <w:r>
              <w:rPr>
                <w:rFonts w:ascii="Arial" w:cs="Arial" w:eastAsia="Arial" w:hAnsi="Arial"/>
                <w:sz w:val="16"/>
                <w:szCs w:val="16"/>
                <w:color w:val="auto"/>
              </w:rPr>
              <w:t>retain top-tier talent.</w:t>
            </w:r>
          </w:p>
        </w:tc>
        <w:tc>
          <w:tcPr>
            <w:tcW w:w="0" w:type="dxa"/>
            <w:vAlign w:val="bottom"/>
          </w:tcPr>
          <w:p>
            <w:pPr>
              <w:spacing w:after="0"/>
              <w:rPr>
                <w:sz w:val="1"/>
                <w:szCs w:val="1"/>
                <w:color w:val="auto"/>
              </w:rPr>
            </w:pPr>
          </w:p>
        </w:tc>
      </w:tr>
      <w:tr>
        <w:trPr>
          <w:trHeight w:val="303"/>
        </w:trPr>
        <w:tc>
          <w:tcPr>
            <w:tcW w:w="700" w:type="dxa"/>
            <w:vAlign w:val="bottom"/>
            <w:tcBorders>
              <w:top w:val="single" w:sz="8" w:color="ECEBEB"/>
            </w:tcBorders>
            <w:shd w:val="clear" w:color="auto" w:fill="ECEBEB"/>
          </w:tcPr>
          <w:p>
            <w:pPr>
              <w:spacing w:after="0"/>
              <w:rPr>
                <w:sz w:val="24"/>
                <w:szCs w:val="24"/>
                <w:color w:val="auto"/>
              </w:rPr>
            </w:pPr>
          </w:p>
        </w:tc>
        <w:tc>
          <w:tcPr>
            <w:tcW w:w="1780" w:type="dxa"/>
            <w:vAlign w:val="bottom"/>
            <w:tcBorders>
              <w:top w:val="single" w:sz="8" w:color="D9D9D6"/>
            </w:tcBorders>
            <w:shd w:val="clear" w:color="auto" w:fill="ECEBEB"/>
          </w:tcPr>
          <w:p>
            <w:pPr>
              <w:ind w:left="60"/>
              <w:spacing w:after="0"/>
              <w:rPr>
                <w:sz w:val="20"/>
                <w:szCs w:val="20"/>
                <w:color w:val="auto"/>
              </w:rPr>
            </w:pPr>
            <w:r>
              <w:rPr>
                <w:rFonts w:ascii="Arial" w:cs="Arial" w:eastAsia="Arial" w:hAnsi="Arial"/>
                <w:sz w:val="16"/>
                <w:szCs w:val="16"/>
                <w:b w:val="1"/>
                <w:bCs w:val="1"/>
                <w:color w:val="auto"/>
              </w:rPr>
              <w:t>Avoid Excessive</w:t>
            </w:r>
          </w:p>
        </w:tc>
        <w:tc>
          <w:tcPr>
            <w:tcW w:w="66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auto"/>
              </w:rPr>
              <w:t>Compensation structure should avoid incentivizing unnecessary and excessive</w:t>
            </w:r>
          </w:p>
        </w:tc>
        <w:tc>
          <w:tcPr>
            <w:tcW w:w="0" w:type="dxa"/>
            <w:vAlign w:val="bottom"/>
          </w:tcPr>
          <w:p>
            <w:pPr>
              <w:spacing w:after="0"/>
              <w:rPr>
                <w:sz w:val="1"/>
                <w:szCs w:val="1"/>
                <w:color w:val="auto"/>
              </w:rPr>
            </w:pPr>
          </w:p>
        </w:tc>
      </w:tr>
      <w:tr>
        <w:trPr>
          <w:trHeight w:val="271"/>
        </w:trPr>
        <w:tc>
          <w:tcPr>
            <w:tcW w:w="700" w:type="dxa"/>
            <w:vAlign w:val="bottom"/>
            <w:tcBorders>
              <w:bottom w:val="single" w:sz="8" w:color="ECEBEB"/>
            </w:tcBorders>
            <w:shd w:val="clear" w:color="auto" w:fill="ECEBEB"/>
          </w:tcPr>
          <w:p>
            <w:pPr>
              <w:spacing w:after="0"/>
              <w:rPr>
                <w:sz w:val="23"/>
                <w:szCs w:val="23"/>
                <w:color w:val="auto"/>
              </w:rPr>
            </w:pPr>
          </w:p>
        </w:tc>
        <w:tc>
          <w:tcPr>
            <w:tcW w:w="1780" w:type="dxa"/>
            <w:vAlign w:val="bottom"/>
            <w:tcBorders>
              <w:bottom w:val="single" w:sz="8" w:color="ECEBEB"/>
            </w:tcBorders>
            <w:shd w:val="clear" w:color="auto" w:fill="ECEBEB"/>
          </w:tcPr>
          <w:p>
            <w:pPr>
              <w:ind w:left="60"/>
              <w:spacing w:after="0"/>
              <w:rPr>
                <w:sz w:val="20"/>
                <w:szCs w:val="20"/>
                <w:color w:val="auto"/>
              </w:rPr>
            </w:pPr>
            <w:r>
              <w:rPr>
                <w:rFonts w:ascii="Arial" w:cs="Arial" w:eastAsia="Arial" w:hAnsi="Arial"/>
                <w:sz w:val="16"/>
                <w:szCs w:val="16"/>
                <w:b w:val="1"/>
                <w:bCs w:val="1"/>
                <w:color w:val="auto"/>
              </w:rPr>
              <w:t>Risk-Taking</w:t>
            </w:r>
          </w:p>
        </w:tc>
        <w:tc>
          <w:tcPr>
            <w:tcW w:w="6600" w:type="dxa"/>
            <w:vAlign w:val="bottom"/>
          </w:tcPr>
          <w:p>
            <w:pPr>
              <w:ind w:left="120"/>
              <w:spacing w:after="0"/>
              <w:rPr>
                <w:sz w:val="20"/>
                <w:szCs w:val="20"/>
                <w:color w:val="auto"/>
              </w:rPr>
            </w:pPr>
            <w:r>
              <w:rPr>
                <w:rFonts w:ascii="Arial" w:cs="Arial" w:eastAsia="Arial" w:hAnsi="Arial"/>
                <w:sz w:val="16"/>
                <w:szCs w:val="16"/>
                <w:color w:val="auto"/>
              </w:rPr>
              <w:t>risk-taking.</w:t>
            </w:r>
          </w:p>
        </w:tc>
        <w:tc>
          <w:tcPr>
            <w:tcW w:w="0" w:type="dxa"/>
            <w:vAlign w:val="bottom"/>
          </w:tcPr>
          <w:p>
            <w:pPr>
              <w:spacing w:after="0"/>
              <w:rPr>
                <w:sz w:val="1"/>
                <w:szCs w:val="1"/>
                <w:color w:val="auto"/>
              </w:rPr>
            </w:pPr>
          </w:p>
        </w:tc>
      </w:tr>
      <w:tr>
        <w:trPr>
          <w:trHeight w:val="302"/>
        </w:trPr>
        <w:tc>
          <w:tcPr>
            <w:tcW w:w="700" w:type="dxa"/>
            <w:vAlign w:val="bottom"/>
            <w:tcBorders>
              <w:top w:val="single" w:sz="8" w:color="ECEBEB"/>
            </w:tcBorders>
            <w:shd w:val="clear" w:color="auto" w:fill="ECEBEB"/>
          </w:tcPr>
          <w:p>
            <w:pPr>
              <w:spacing w:after="0"/>
              <w:rPr>
                <w:sz w:val="24"/>
                <w:szCs w:val="24"/>
                <w:color w:val="auto"/>
              </w:rPr>
            </w:pPr>
          </w:p>
        </w:tc>
        <w:tc>
          <w:tcPr>
            <w:tcW w:w="1780" w:type="dxa"/>
            <w:vAlign w:val="bottom"/>
            <w:tcBorders>
              <w:top w:val="single" w:sz="8" w:color="D9D9D6"/>
            </w:tcBorders>
            <w:vMerge w:val="restart"/>
            <w:shd w:val="clear" w:color="auto" w:fill="ECEBEB"/>
          </w:tcPr>
          <w:p>
            <w:pPr>
              <w:ind w:left="60"/>
              <w:spacing w:after="0"/>
              <w:rPr>
                <w:sz w:val="20"/>
                <w:szCs w:val="20"/>
                <w:color w:val="auto"/>
              </w:rPr>
            </w:pPr>
            <w:r>
              <w:rPr>
                <w:rFonts w:ascii="Arial" w:cs="Arial" w:eastAsia="Arial" w:hAnsi="Arial"/>
                <w:sz w:val="16"/>
                <w:szCs w:val="16"/>
                <w:b w:val="1"/>
                <w:bCs w:val="1"/>
                <w:color w:val="auto"/>
              </w:rPr>
              <w:t>Simple Design</w:t>
            </w:r>
          </w:p>
        </w:tc>
        <w:tc>
          <w:tcPr>
            <w:tcW w:w="6600" w:type="dxa"/>
            <w:vAlign w:val="bottom"/>
            <w:tcBorders>
              <w:top w:val="single" w:sz="8" w:color="D9D9D6"/>
            </w:tcBorders>
          </w:tcPr>
          <w:p>
            <w:pPr>
              <w:ind w:left="120"/>
              <w:spacing w:after="0"/>
              <w:rPr>
                <w:sz w:val="20"/>
                <w:szCs w:val="20"/>
                <w:color w:val="auto"/>
              </w:rPr>
            </w:pPr>
            <w:r>
              <w:rPr>
                <w:rFonts w:ascii="Arial" w:cs="Arial" w:eastAsia="Arial" w:hAnsi="Arial"/>
                <w:sz w:val="16"/>
                <w:szCs w:val="16"/>
                <w:color w:val="auto"/>
              </w:rPr>
              <w:t>Compensation plans should be easy to understand and communicate and should</w:t>
            </w:r>
          </w:p>
        </w:tc>
        <w:tc>
          <w:tcPr>
            <w:tcW w:w="0" w:type="dxa"/>
            <w:vAlign w:val="bottom"/>
          </w:tcPr>
          <w:p>
            <w:pPr>
              <w:spacing w:after="0"/>
              <w:rPr>
                <w:sz w:val="1"/>
                <w:szCs w:val="1"/>
                <w:color w:val="auto"/>
              </w:rPr>
            </w:pPr>
          </w:p>
        </w:tc>
      </w:tr>
      <w:tr>
        <w:trPr>
          <w:trHeight w:val="116"/>
        </w:trPr>
        <w:tc>
          <w:tcPr>
            <w:tcW w:w="700" w:type="dxa"/>
            <w:vAlign w:val="bottom"/>
            <w:shd w:val="clear" w:color="auto" w:fill="ECEBEB"/>
          </w:tcPr>
          <w:p>
            <w:pPr>
              <w:spacing w:after="0"/>
              <w:rPr>
                <w:sz w:val="10"/>
                <w:szCs w:val="10"/>
                <w:color w:val="auto"/>
              </w:rPr>
            </w:pPr>
          </w:p>
        </w:tc>
        <w:tc>
          <w:tcPr>
            <w:tcW w:w="1780" w:type="dxa"/>
            <w:vAlign w:val="bottom"/>
            <w:vMerge w:val="continue"/>
            <w:shd w:val="clear" w:color="auto" w:fill="ECEBEB"/>
          </w:tcPr>
          <w:p>
            <w:pPr>
              <w:spacing w:after="0"/>
              <w:rPr>
                <w:sz w:val="10"/>
                <w:szCs w:val="10"/>
                <w:color w:val="auto"/>
              </w:rPr>
            </w:pPr>
          </w:p>
        </w:tc>
        <w:tc>
          <w:tcPr>
            <w:tcW w:w="6600" w:type="dxa"/>
            <w:vAlign w:val="bottom"/>
            <w:vMerge w:val="restart"/>
          </w:tcPr>
          <w:p>
            <w:pPr>
              <w:ind w:left="120"/>
              <w:spacing w:after="0"/>
              <w:rPr>
                <w:sz w:val="20"/>
                <w:szCs w:val="20"/>
                <w:color w:val="auto"/>
              </w:rPr>
            </w:pPr>
            <w:r>
              <w:rPr>
                <w:rFonts w:ascii="Arial" w:cs="Arial" w:eastAsia="Arial" w:hAnsi="Arial"/>
                <w:sz w:val="16"/>
                <w:szCs w:val="16"/>
                <w:color w:val="auto"/>
              </w:rPr>
              <w:t>minimize unintended consequences.</w:t>
            </w:r>
          </w:p>
        </w:tc>
        <w:tc>
          <w:tcPr>
            <w:tcW w:w="0" w:type="dxa"/>
            <w:vAlign w:val="bottom"/>
          </w:tcPr>
          <w:p>
            <w:pPr>
              <w:spacing w:after="0"/>
              <w:rPr>
                <w:sz w:val="1"/>
                <w:szCs w:val="1"/>
                <w:color w:val="auto"/>
              </w:rPr>
            </w:pPr>
          </w:p>
        </w:tc>
      </w:tr>
      <w:tr>
        <w:trPr>
          <w:trHeight w:val="136"/>
        </w:trPr>
        <w:tc>
          <w:tcPr>
            <w:tcW w:w="700" w:type="dxa"/>
            <w:vAlign w:val="bottom"/>
            <w:tcBorders>
              <w:bottom w:val="single" w:sz="8" w:color="ECEBEB"/>
            </w:tcBorders>
            <w:shd w:val="clear" w:color="auto" w:fill="ECEBEB"/>
          </w:tcPr>
          <w:p>
            <w:pPr>
              <w:spacing w:after="0"/>
              <w:rPr>
                <w:sz w:val="11"/>
                <w:szCs w:val="11"/>
                <w:color w:val="auto"/>
              </w:rPr>
            </w:pPr>
          </w:p>
        </w:tc>
        <w:tc>
          <w:tcPr>
            <w:tcW w:w="1780" w:type="dxa"/>
            <w:vAlign w:val="bottom"/>
            <w:tcBorders>
              <w:bottom w:val="single" w:sz="8" w:color="ECEBEB"/>
            </w:tcBorders>
            <w:shd w:val="clear" w:color="auto" w:fill="ECEBEB"/>
          </w:tcPr>
          <w:p>
            <w:pPr>
              <w:spacing w:after="0"/>
              <w:rPr>
                <w:sz w:val="11"/>
                <w:szCs w:val="11"/>
                <w:color w:val="auto"/>
              </w:rPr>
            </w:pPr>
          </w:p>
        </w:tc>
        <w:tc>
          <w:tcPr>
            <w:tcW w:w="6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956FF"/>
          </w:tcPr>
          <w:p>
            <w:pPr>
              <w:spacing w:after="0" w:line="20" w:lineRule="exact"/>
              <w:rPr>
                <w:sz w:val="1"/>
                <w:szCs w:val="1"/>
                <w:color w:val="auto"/>
              </w:rPr>
            </w:pPr>
          </w:p>
        </w:tc>
        <w:tc>
          <w:tcPr>
            <w:tcW w:w="1780" w:type="dxa"/>
            <w:vAlign w:val="bottom"/>
            <w:shd w:val="clear" w:color="auto" w:fill="0956FF"/>
          </w:tcPr>
          <w:p>
            <w:pPr>
              <w:spacing w:after="0" w:line="20" w:lineRule="exact"/>
              <w:rPr>
                <w:sz w:val="1"/>
                <w:szCs w:val="1"/>
                <w:color w:val="auto"/>
              </w:rPr>
            </w:pPr>
          </w:p>
        </w:tc>
        <w:tc>
          <w:tcPr>
            <w:tcW w:w="6600" w:type="dxa"/>
            <w:vAlign w:val="bottom"/>
            <w:shd w:val="clear" w:color="auto" w:fill="0956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2025 Compensation Highlights</w:t>
      </w:r>
    </w:p>
    <w:p>
      <w:pPr>
        <w:spacing w:after="0" w:line="114"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Our incentive plans are designed to optimize long-term financial returns for our shareholders and reward our NEOs for delivering on the Company’s four key strategic pillars. The 2025 performance-based compensation structure incorporated short-term and long-term incentives tied to financial and operational measures to drive Company performance for fiscal year 2025 and beyond. The Compensation Committee believes a majority of the compensation opportunity should be in the form of equity to align the interests of executives with those of shareholders and that equity awards should be heavily weighted in favor of performance-based equity awards.</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45</w:t>
      </w:r>
    </w:p>
    <w:p>
      <w:pPr>
        <w:sectPr>
          <w:pgSz w:w="11900" w:h="16838" w:orient="portrait"/>
          <w:cols w:equalWidth="0" w:num="1">
            <w:col w:w="9220"/>
          </w:cols>
          <w:pgMar w:left="1400" w:top="657" w:right="127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Elements of Compensation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60" w:type="dxa"/>
            <w:vAlign w:val="bottom"/>
          </w:tcPr>
          <w:p>
            <w:pPr>
              <w:ind w:left="680"/>
              <w:spacing w:after="0"/>
              <w:rPr>
                <w:sz w:val="20"/>
                <w:szCs w:val="20"/>
                <w:color w:val="auto"/>
              </w:rPr>
            </w:pPr>
            <w:r>
              <w:rPr>
                <w:rFonts w:ascii="Arial" w:cs="Arial" w:eastAsia="Arial" w:hAnsi="Arial"/>
                <w:sz w:val="14"/>
                <w:szCs w:val="14"/>
                <w:b w:val="1"/>
                <w:bCs w:val="1"/>
                <w:color w:val="auto"/>
              </w:rPr>
              <w:t>Potential</w:t>
            </w:r>
          </w:p>
        </w:tc>
      </w:tr>
      <w:tr>
        <w:trPr>
          <w:trHeight w:val="176"/>
        </w:trPr>
        <w:tc>
          <w:tcPr>
            <w:tcW w:w="9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20" w:type="dxa"/>
            <w:vAlign w:val="bottom"/>
          </w:tcPr>
          <w:p>
            <w:pPr>
              <w:ind w:left="1220"/>
              <w:spacing w:after="0"/>
              <w:rPr>
                <w:sz w:val="20"/>
                <w:szCs w:val="20"/>
                <w:color w:val="auto"/>
              </w:rPr>
            </w:pPr>
            <w:r>
              <w:rPr>
                <w:rFonts w:ascii="Arial" w:cs="Arial" w:eastAsia="Arial" w:hAnsi="Arial"/>
                <w:sz w:val="14"/>
                <w:szCs w:val="14"/>
                <w:b w:val="1"/>
                <w:bCs w:val="1"/>
                <w:color w:val="auto"/>
              </w:rPr>
              <w:t>Performance</w:t>
            </w:r>
          </w:p>
        </w:tc>
        <w:tc>
          <w:tcPr>
            <w:tcW w:w="1900" w:type="dxa"/>
            <w:vAlign w:val="bottom"/>
          </w:tcPr>
          <w:p>
            <w:pPr>
              <w:ind w:left="320"/>
              <w:spacing w:after="0"/>
              <w:rPr>
                <w:sz w:val="20"/>
                <w:szCs w:val="20"/>
                <w:color w:val="auto"/>
              </w:rPr>
            </w:pPr>
            <w:r>
              <w:rPr>
                <w:rFonts w:ascii="Arial" w:cs="Arial" w:eastAsia="Arial" w:hAnsi="Arial"/>
                <w:sz w:val="14"/>
                <w:szCs w:val="14"/>
                <w:b w:val="1"/>
                <w:bCs w:val="1"/>
                <w:color w:val="auto"/>
              </w:rPr>
              <w:t>Performance</w:t>
            </w:r>
          </w:p>
        </w:tc>
        <w:tc>
          <w:tcPr>
            <w:tcW w:w="1660" w:type="dxa"/>
            <w:vAlign w:val="bottom"/>
          </w:tcPr>
          <w:p>
            <w:pPr>
              <w:ind w:left="680"/>
              <w:spacing w:after="0"/>
              <w:rPr>
                <w:sz w:val="20"/>
                <w:szCs w:val="20"/>
                <w:color w:val="auto"/>
              </w:rPr>
            </w:pPr>
            <w:r>
              <w:rPr>
                <w:rFonts w:ascii="Arial" w:cs="Arial" w:eastAsia="Arial" w:hAnsi="Arial"/>
                <w:sz w:val="14"/>
                <w:szCs w:val="14"/>
                <w:b w:val="1"/>
                <w:bCs w:val="1"/>
                <w:color w:val="auto"/>
              </w:rPr>
              <w:t>Payout</w:t>
            </w:r>
          </w:p>
        </w:tc>
      </w:tr>
      <w:tr>
        <w:trPr>
          <w:trHeight w:val="185"/>
        </w:trPr>
        <w:tc>
          <w:tcPr>
            <w:tcW w:w="960" w:type="dxa"/>
            <w:vAlign w:val="bottom"/>
            <w:tcBorders>
              <w:bottom w:val="single" w:sz="8" w:color="0956FF"/>
            </w:tcBorders>
          </w:tcPr>
          <w:p>
            <w:pPr>
              <w:ind w:left="60"/>
              <w:spacing w:after="0"/>
              <w:rPr>
                <w:sz w:val="20"/>
                <w:szCs w:val="20"/>
                <w:color w:val="auto"/>
              </w:rPr>
            </w:pPr>
            <w:r>
              <w:rPr>
                <w:rFonts w:ascii="Arial" w:cs="Arial" w:eastAsia="Arial" w:hAnsi="Arial"/>
                <w:sz w:val="14"/>
                <w:szCs w:val="14"/>
                <w:b w:val="1"/>
                <w:bCs w:val="1"/>
                <w:color w:val="auto"/>
              </w:rPr>
              <w:t>Element</w:t>
            </w:r>
          </w:p>
        </w:tc>
        <w:tc>
          <w:tcPr>
            <w:tcW w:w="2140" w:type="dxa"/>
            <w:vAlign w:val="bottom"/>
            <w:tcBorders>
              <w:bottom w:val="single" w:sz="8" w:color="0956FF"/>
            </w:tcBorders>
          </w:tcPr>
          <w:p>
            <w:pPr>
              <w:ind w:left="320"/>
              <w:spacing w:after="0"/>
              <w:rPr>
                <w:sz w:val="20"/>
                <w:szCs w:val="20"/>
                <w:color w:val="auto"/>
              </w:rPr>
            </w:pPr>
            <w:r>
              <w:rPr>
                <w:rFonts w:ascii="Arial" w:cs="Arial" w:eastAsia="Arial" w:hAnsi="Arial"/>
                <w:sz w:val="14"/>
                <w:szCs w:val="14"/>
                <w:b w:val="1"/>
                <w:bCs w:val="1"/>
                <w:color w:val="auto"/>
              </w:rPr>
              <w:t>Purpose</w:t>
            </w:r>
          </w:p>
        </w:tc>
        <w:tc>
          <w:tcPr>
            <w:tcW w:w="2420" w:type="dxa"/>
            <w:vAlign w:val="bottom"/>
            <w:tcBorders>
              <w:bottom w:val="single" w:sz="8" w:color="0956FF"/>
            </w:tcBorders>
          </w:tcPr>
          <w:p>
            <w:pPr>
              <w:ind w:left="1220"/>
              <w:spacing w:after="0"/>
              <w:rPr>
                <w:sz w:val="20"/>
                <w:szCs w:val="20"/>
                <w:color w:val="auto"/>
              </w:rPr>
            </w:pPr>
            <w:r>
              <w:rPr>
                <w:rFonts w:ascii="Arial" w:cs="Arial" w:eastAsia="Arial" w:hAnsi="Arial"/>
                <w:sz w:val="14"/>
                <w:szCs w:val="14"/>
                <w:b w:val="1"/>
                <w:bCs w:val="1"/>
                <w:color w:val="auto"/>
              </w:rPr>
              <w:t>Period</w:t>
            </w:r>
          </w:p>
        </w:tc>
        <w:tc>
          <w:tcPr>
            <w:tcW w:w="1900" w:type="dxa"/>
            <w:vAlign w:val="bottom"/>
            <w:tcBorders>
              <w:bottom w:val="single" w:sz="8" w:color="0956FF"/>
            </w:tcBorders>
          </w:tcPr>
          <w:p>
            <w:pPr>
              <w:ind w:left="320"/>
              <w:spacing w:after="0"/>
              <w:rPr>
                <w:sz w:val="20"/>
                <w:szCs w:val="20"/>
                <w:color w:val="auto"/>
              </w:rPr>
            </w:pPr>
            <w:r>
              <w:rPr>
                <w:rFonts w:ascii="Arial" w:cs="Arial" w:eastAsia="Arial" w:hAnsi="Arial"/>
                <w:sz w:val="14"/>
                <w:szCs w:val="14"/>
                <w:b w:val="1"/>
                <w:bCs w:val="1"/>
                <w:color w:val="auto"/>
              </w:rPr>
              <w:t>Measures</w:t>
            </w:r>
          </w:p>
        </w:tc>
        <w:tc>
          <w:tcPr>
            <w:tcW w:w="1660" w:type="dxa"/>
            <w:vAlign w:val="bottom"/>
            <w:tcBorders>
              <w:bottom w:val="single" w:sz="8" w:color="0956FF"/>
            </w:tcBorders>
          </w:tcPr>
          <w:p>
            <w:pPr>
              <w:ind w:left="680"/>
              <w:spacing w:after="0"/>
              <w:rPr>
                <w:sz w:val="20"/>
                <w:szCs w:val="20"/>
                <w:color w:val="auto"/>
              </w:rPr>
            </w:pPr>
            <w:r>
              <w:rPr>
                <w:rFonts w:ascii="Arial" w:cs="Arial" w:eastAsia="Arial" w:hAnsi="Arial"/>
                <w:sz w:val="14"/>
                <w:szCs w:val="14"/>
                <w:b w:val="1"/>
                <w:bCs w:val="1"/>
                <w:color w:val="auto"/>
              </w:rPr>
              <w:t>Range</w:t>
            </w:r>
          </w:p>
        </w:tc>
      </w:tr>
    </w:tbl>
    <w:p>
      <w:pPr>
        <w:spacing w:after="0" w:line="80" w:lineRule="exact"/>
        <w:rPr>
          <w:sz w:val="20"/>
          <w:szCs w:val="20"/>
          <w:color w:val="auto"/>
        </w:rPr>
      </w:pPr>
    </w:p>
    <w:p>
      <w:pPr>
        <w:sectPr>
          <w:pgSz w:w="11900" w:h="16838" w:orient="portrait"/>
          <w:cols w:equalWidth="0" w:num="1">
            <w:col w:w="9080"/>
          </w:cols>
          <w:pgMar w:left="1400" w:top="657" w:right="1419" w:bottom="1440" w:gutter="0" w:footer="0" w:header="0"/>
        </w:sect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Salary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FFFFF"/>
        </w:rPr>
        <w:t>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RSUs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100" w:type="dxa"/>
            <w:vAlign w:val="bottom"/>
          </w:tcPr>
          <w:p>
            <w:pPr>
              <w:ind w:left="120"/>
              <w:spacing w:after="0"/>
              <w:rPr>
                <w:sz w:val="20"/>
                <w:szCs w:val="20"/>
                <w:color w:val="auto"/>
              </w:rPr>
            </w:pPr>
            <w:r>
              <w:rPr>
                <w:rFonts w:ascii="Arial" w:cs="Arial" w:eastAsia="Arial" w:hAnsi="Arial"/>
                <w:sz w:val="16"/>
                <w:szCs w:val="16"/>
                <w:color w:val="auto"/>
              </w:rPr>
              <w:t>Market-competitive salary reflects</w:t>
            </w:r>
          </w:p>
        </w:tc>
        <w:tc>
          <w:tcPr>
            <w:tcW w:w="1400" w:type="dxa"/>
            <w:vAlign w:val="bottom"/>
          </w:tcPr>
          <w:p>
            <w:pPr>
              <w:ind w:left="60"/>
              <w:spacing w:after="0"/>
              <w:rPr>
                <w:sz w:val="20"/>
                <w:szCs w:val="20"/>
                <w:color w:val="auto"/>
              </w:rPr>
            </w:pPr>
            <w:r>
              <w:rPr>
                <w:rFonts w:ascii="Arial" w:cs="Arial" w:eastAsia="Arial" w:hAnsi="Arial"/>
                <w:sz w:val="16"/>
                <w:szCs w:val="16"/>
                <w:color w:val="auto"/>
              </w:rPr>
              <w:t>—</w:t>
            </w:r>
          </w:p>
        </w:tc>
        <w:tc>
          <w:tcPr>
            <w:tcW w:w="2260" w:type="dxa"/>
            <w:vAlign w:val="bottom"/>
          </w:tcPr>
          <w:p>
            <w:pPr>
              <w:ind w:left="180"/>
              <w:spacing w:after="0"/>
              <w:rPr>
                <w:sz w:val="20"/>
                <w:szCs w:val="20"/>
                <w:color w:val="auto"/>
              </w:rPr>
            </w:pPr>
            <w:r>
              <w:rPr>
                <w:rFonts w:ascii="Arial" w:cs="Arial" w:eastAsia="Arial" w:hAnsi="Arial"/>
                <w:sz w:val="16"/>
                <w:szCs w:val="16"/>
                <w:color w:val="auto"/>
              </w:rPr>
              <w:t>—</w:t>
            </w:r>
          </w:p>
        </w:tc>
        <w:tc>
          <w:tcPr>
            <w:tcW w:w="116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16"/>
        </w:trPr>
        <w:tc>
          <w:tcPr>
            <w:tcW w:w="3100" w:type="dxa"/>
            <w:vAlign w:val="bottom"/>
          </w:tcPr>
          <w:p>
            <w:pPr>
              <w:ind w:left="120"/>
              <w:spacing w:after="0"/>
              <w:rPr>
                <w:sz w:val="20"/>
                <w:szCs w:val="20"/>
                <w:color w:val="auto"/>
              </w:rPr>
            </w:pPr>
            <w:r>
              <w:rPr>
                <w:rFonts w:ascii="Arial" w:cs="Arial" w:eastAsia="Arial" w:hAnsi="Arial"/>
                <w:sz w:val="16"/>
                <w:szCs w:val="16"/>
                <w:color w:val="auto"/>
              </w:rPr>
              <w:t>contribution, experience, knowledge,</w:t>
            </w:r>
          </w:p>
        </w:tc>
        <w:tc>
          <w:tcPr>
            <w:tcW w:w="1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6"/>
                <w:szCs w:val="16"/>
                <w:color w:val="auto"/>
              </w:rPr>
              <w:t>skills, and performance</w:t>
            </w:r>
          </w:p>
        </w:tc>
        <w:tc>
          <w:tcPr>
            <w:tcW w:w="1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70"/>
        </w:trPr>
        <w:tc>
          <w:tcPr>
            <w:tcW w:w="3100" w:type="dxa"/>
            <w:vAlign w:val="bottom"/>
            <w:tcBorders>
              <w:bottom w:val="single" w:sz="8" w:color="D8D7D7"/>
            </w:tcBorders>
          </w:tcPr>
          <w:p>
            <w:pPr>
              <w:spacing w:after="0"/>
              <w:rPr>
                <w:sz w:val="6"/>
                <w:szCs w:val="6"/>
                <w:color w:val="auto"/>
              </w:rPr>
            </w:pPr>
          </w:p>
        </w:tc>
        <w:tc>
          <w:tcPr>
            <w:tcW w:w="1400" w:type="dxa"/>
            <w:vAlign w:val="bottom"/>
            <w:tcBorders>
              <w:bottom w:val="single" w:sz="8" w:color="D8D7D7"/>
            </w:tcBorders>
          </w:tcPr>
          <w:p>
            <w:pPr>
              <w:spacing w:after="0"/>
              <w:rPr>
                <w:sz w:val="6"/>
                <w:szCs w:val="6"/>
                <w:color w:val="auto"/>
              </w:rPr>
            </w:pPr>
          </w:p>
        </w:tc>
        <w:tc>
          <w:tcPr>
            <w:tcW w:w="2260" w:type="dxa"/>
            <w:vAlign w:val="bottom"/>
            <w:tcBorders>
              <w:bottom w:val="single" w:sz="8" w:color="D8D7D7"/>
            </w:tcBorders>
          </w:tcPr>
          <w:p>
            <w:pPr>
              <w:spacing w:after="0"/>
              <w:rPr>
                <w:sz w:val="6"/>
                <w:szCs w:val="6"/>
                <w:color w:val="auto"/>
              </w:rPr>
            </w:pPr>
          </w:p>
        </w:tc>
        <w:tc>
          <w:tcPr>
            <w:tcW w:w="1160" w:type="dxa"/>
            <w:vAlign w:val="bottom"/>
            <w:tcBorders>
              <w:bottom w:val="single" w:sz="8" w:color="D8D7D7"/>
            </w:tcBorders>
          </w:tcPr>
          <w:p>
            <w:pPr>
              <w:spacing w:after="0"/>
              <w:rPr>
                <w:sz w:val="6"/>
                <w:szCs w:val="6"/>
                <w:color w:val="auto"/>
              </w:rPr>
            </w:pPr>
          </w:p>
        </w:tc>
      </w:tr>
      <w:tr>
        <w:trPr>
          <w:trHeight w:val="302"/>
        </w:trPr>
        <w:tc>
          <w:tcPr>
            <w:tcW w:w="3100" w:type="dxa"/>
            <w:vAlign w:val="bottom"/>
          </w:tcPr>
          <w:p>
            <w:pPr>
              <w:ind w:left="120"/>
              <w:spacing w:after="0"/>
              <w:rPr>
                <w:sz w:val="20"/>
                <w:szCs w:val="20"/>
                <w:color w:val="auto"/>
              </w:rPr>
            </w:pPr>
            <w:r>
              <w:rPr>
                <w:rFonts w:ascii="Arial" w:cs="Arial" w:eastAsia="Arial" w:hAnsi="Arial"/>
                <w:sz w:val="16"/>
                <w:szCs w:val="16"/>
                <w:color w:val="auto"/>
              </w:rPr>
              <w:t>Annual cash incentive based on</w:t>
            </w:r>
          </w:p>
        </w:tc>
        <w:tc>
          <w:tcPr>
            <w:tcW w:w="1400" w:type="dxa"/>
            <w:vAlign w:val="bottom"/>
          </w:tcPr>
          <w:p>
            <w:pPr>
              <w:ind w:left="60"/>
              <w:spacing w:after="0"/>
              <w:rPr>
                <w:sz w:val="20"/>
                <w:szCs w:val="20"/>
                <w:color w:val="auto"/>
              </w:rPr>
            </w:pPr>
            <w:r>
              <w:rPr>
                <w:rFonts w:ascii="Arial" w:cs="Arial" w:eastAsia="Arial" w:hAnsi="Arial"/>
                <w:sz w:val="16"/>
                <w:szCs w:val="16"/>
                <w:color w:val="auto"/>
              </w:rPr>
              <w:t>One Year</w:t>
            </w:r>
          </w:p>
        </w:tc>
        <w:tc>
          <w:tcPr>
            <w:tcW w:w="2260" w:type="dxa"/>
            <w:vAlign w:val="bottom"/>
          </w:tcPr>
          <w:p>
            <w:pPr>
              <w:ind w:left="180"/>
              <w:spacing w:after="0"/>
              <w:rPr>
                <w:sz w:val="20"/>
                <w:szCs w:val="20"/>
                <w:color w:val="auto"/>
              </w:rPr>
            </w:pPr>
            <w:r>
              <w:rPr>
                <w:rFonts w:ascii="Arial" w:cs="Arial" w:eastAsia="Arial" w:hAnsi="Arial"/>
                <w:sz w:val="16"/>
                <w:szCs w:val="16"/>
                <w:color w:val="auto"/>
              </w:rPr>
              <w:t>EBIT-adjusted (35%)</w:t>
            </w:r>
          </w:p>
        </w:tc>
        <w:tc>
          <w:tcPr>
            <w:tcW w:w="1160" w:type="dxa"/>
            <w:vAlign w:val="bottom"/>
          </w:tcPr>
          <w:p>
            <w:pPr>
              <w:ind w:left="180"/>
              <w:spacing w:after="0"/>
              <w:rPr>
                <w:sz w:val="20"/>
                <w:szCs w:val="20"/>
                <w:color w:val="auto"/>
              </w:rPr>
            </w:pPr>
            <w:r>
              <w:rPr>
                <w:rFonts w:ascii="Arial" w:cs="Arial" w:eastAsia="Arial" w:hAnsi="Arial"/>
                <w:sz w:val="16"/>
                <w:szCs w:val="16"/>
                <w:color w:val="auto"/>
              </w:rPr>
              <w:t>0%-200%</w:t>
            </w:r>
          </w:p>
        </w:tc>
      </w:tr>
      <w:tr>
        <w:trPr>
          <w:trHeight w:val="216"/>
        </w:trPr>
        <w:tc>
          <w:tcPr>
            <w:tcW w:w="3100" w:type="dxa"/>
            <w:vAlign w:val="bottom"/>
          </w:tcPr>
          <w:p>
            <w:pPr>
              <w:ind w:left="120"/>
              <w:spacing w:after="0"/>
              <w:rPr>
                <w:sz w:val="20"/>
                <w:szCs w:val="20"/>
                <w:color w:val="auto"/>
              </w:rPr>
            </w:pPr>
            <w:r>
              <w:rPr>
                <w:rFonts w:ascii="Arial" w:cs="Arial" w:eastAsia="Arial" w:hAnsi="Arial"/>
                <w:sz w:val="16"/>
                <w:szCs w:val="16"/>
                <w:color w:val="auto"/>
              </w:rPr>
              <w:t>achievement of Company financial</w:t>
            </w:r>
          </w:p>
        </w:tc>
        <w:tc>
          <w:tcPr>
            <w:tcW w:w="1400" w:type="dxa"/>
            <w:vAlign w:val="bottom"/>
          </w:tcPr>
          <w:p>
            <w:pPr>
              <w:ind w:left="60"/>
              <w:spacing w:after="0"/>
              <w:rPr>
                <w:sz w:val="20"/>
                <w:szCs w:val="20"/>
                <w:color w:val="auto"/>
              </w:rPr>
            </w:pPr>
            <w:r>
              <w:rPr>
                <w:rFonts w:ascii="Arial" w:cs="Arial" w:eastAsia="Arial" w:hAnsi="Arial"/>
                <w:sz w:val="16"/>
                <w:szCs w:val="16"/>
                <w:color w:val="auto"/>
              </w:rPr>
              <w:t>1/1/2025-</w:t>
            </w:r>
          </w:p>
        </w:tc>
        <w:tc>
          <w:tcPr>
            <w:tcW w:w="2260" w:type="dxa"/>
            <w:vAlign w:val="bottom"/>
          </w:tcPr>
          <w:p>
            <w:pPr>
              <w:ind w:left="180"/>
              <w:spacing w:after="0"/>
              <w:rPr>
                <w:sz w:val="20"/>
                <w:szCs w:val="20"/>
                <w:color w:val="auto"/>
              </w:rPr>
            </w:pPr>
            <w:r>
              <w:rPr>
                <w:rFonts w:ascii="Arial" w:cs="Arial" w:eastAsia="Arial" w:hAnsi="Arial"/>
                <w:sz w:val="16"/>
                <w:szCs w:val="16"/>
                <w:color w:val="auto"/>
              </w:rPr>
              <w:t>AAFCF (25%)</w:t>
            </w:r>
          </w:p>
        </w:tc>
        <w:tc>
          <w:tcPr>
            <w:tcW w:w="1160" w:type="dxa"/>
            <w:vAlign w:val="bottom"/>
          </w:tcPr>
          <w:p>
            <w:pPr>
              <w:spacing w:after="0"/>
              <w:rPr>
                <w:sz w:val="18"/>
                <w:szCs w:val="18"/>
                <w:color w:val="auto"/>
              </w:rPr>
            </w:pPr>
          </w:p>
        </w:tc>
      </w:tr>
      <w:tr>
        <w:trPr>
          <w:trHeight w:val="204"/>
        </w:trPr>
        <w:tc>
          <w:tcPr>
            <w:tcW w:w="3100" w:type="dxa"/>
            <w:vAlign w:val="bottom"/>
          </w:tcPr>
          <w:p>
            <w:pPr>
              <w:ind w:left="120"/>
              <w:spacing w:after="0"/>
              <w:rPr>
                <w:sz w:val="20"/>
                <w:szCs w:val="20"/>
                <w:color w:val="auto"/>
              </w:rPr>
            </w:pPr>
            <w:r>
              <w:rPr>
                <w:rFonts w:ascii="Arial" w:cs="Arial" w:eastAsia="Arial" w:hAnsi="Arial"/>
                <w:sz w:val="16"/>
                <w:szCs w:val="16"/>
                <w:color w:val="auto"/>
              </w:rPr>
              <w:t>goals and goals linked to our</w:t>
            </w:r>
          </w:p>
        </w:tc>
        <w:tc>
          <w:tcPr>
            <w:tcW w:w="1400" w:type="dxa"/>
            <w:vAlign w:val="bottom"/>
          </w:tcPr>
          <w:p>
            <w:pPr>
              <w:ind w:left="60"/>
              <w:spacing w:after="0"/>
              <w:rPr>
                <w:sz w:val="20"/>
                <w:szCs w:val="20"/>
                <w:color w:val="auto"/>
              </w:rPr>
            </w:pPr>
            <w:r>
              <w:rPr>
                <w:rFonts w:ascii="Arial" w:cs="Arial" w:eastAsia="Arial" w:hAnsi="Arial"/>
                <w:sz w:val="16"/>
                <w:szCs w:val="16"/>
                <w:color w:val="auto"/>
              </w:rPr>
              <w:t>12/31/2025</w:t>
            </w:r>
          </w:p>
        </w:tc>
        <w:tc>
          <w:tcPr>
            <w:tcW w:w="2260" w:type="dxa"/>
            <w:vAlign w:val="bottom"/>
          </w:tcPr>
          <w:p>
            <w:pPr>
              <w:ind w:left="180"/>
              <w:spacing w:after="0"/>
              <w:rPr>
                <w:sz w:val="20"/>
                <w:szCs w:val="20"/>
                <w:color w:val="auto"/>
              </w:rPr>
            </w:pPr>
            <w:r>
              <w:rPr>
                <w:rFonts w:ascii="Arial" w:cs="Arial" w:eastAsia="Arial" w:hAnsi="Arial"/>
                <w:sz w:val="16"/>
                <w:szCs w:val="16"/>
                <w:color w:val="auto"/>
              </w:rPr>
              <w:t>Strategic Pillars (EV, S&amp;S,</w:t>
            </w:r>
          </w:p>
        </w:tc>
        <w:tc>
          <w:tcPr>
            <w:tcW w:w="1160" w:type="dxa"/>
            <w:vAlign w:val="bottom"/>
          </w:tcPr>
          <w:p>
            <w:pPr>
              <w:spacing w:after="0"/>
              <w:rPr>
                <w:sz w:val="17"/>
                <w:szCs w:val="17"/>
                <w:color w:val="auto"/>
              </w:rPr>
            </w:pPr>
          </w:p>
        </w:tc>
      </w:tr>
      <w:tr>
        <w:trPr>
          <w:trHeight w:val="215"/>
        </w:trPr>
        <w:tc>
          <w:tcPr>
            <w:tcW w:w="3100" w:type="dxa"/>
            <w:vAlign w:val="bottom"/>
          </w:tcPr>
          <w:p>
            <w:pPr>
              <w:ind w:left="120"/>
              <w:spacing w:after="0"/>
              <w:rPr>
                <w:sz w:val="20"/>
                <w:szCs w:val="20"/>
                <w:color w:val="auto"/>
              </w:rPr>
            </w:pPr>
            <w:r>
              <w:rPr>
                <w:rFonts w:ascii="Arial" w:cs="Arial" w:eastAsia="Arial" w:hAnsi="Arial"/>
                <w:sz w:val="16"/>
                <w:szCs w:val="16"/>
                <w:color w:val="auto"/>
              </w:rPr>
              <w:t>strategic pillars</w:t>
            </w:r>
          </w:p>
        </w:tc>
        <w:tc>
          <w:tcPr>
            <w:tcW w:w="140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Arial" w:cs="Arial" w:eastAsia="Arial" w:hAnsi="Arial"/>
                <w:sz w:val="16"/>
                <w:szCs w:val="16"/>
                <w:color w:val="auto"/>
              </w:rPr>
              <w:t>AV) (40% collectively)</w:t>
            </w:r>
          </w:p>
        </w:tc>
        <w:tc>
          <w:tcPr>
            <w:tcW w:w="1160" w:type="dxa"/>
            <w:vAlign w:val="bottom"/>
          </w:tcPr>
          <w:p>
            <w:pPr>
              <w:spacing w:after="0"/>
              <w:rPr>
                <w:sz w:val="18"/>
                <w:szCs w:val="18"/>
                <w:color w:val="auto"/>
              </w:rPr>
            </w:pPr>
          </w:p>
        </w:tc>
      </w:tr>
      <w:tr>
        <w:trPr>
          <w:trHeight w:val="83"/>
        </w:trPr>
        <w:tc>
          <w:tcPr>
            <w:tcW w:w="3100" w:type="dxa"/>
            <w:vAlign w:val="bottom"/>
            <w:tcBorders>
              <w:bottom w:val="single" w:sz="8" w:color="D8D7D7"/>
            </w:tcBorders>
          </w:tcPr>
          <w:p>
            <w:pPr>
              <w:spacing w:after="0"/>
              <w:rPr>
                <w:sz w:val="7"/>
                <w:szCs w:val="7"/>
                <w:color w:val="auto"/>
              </w:rPr>
            </w:pPr>
          </w:p>
        </w:tc>
        <w:tc>
          <w:tcPr>
            <w:tcW w:w="1400" w:type="dxa"/>
            <w:vAlign w:val="bottom"/>
            <w:tcBorders>
              <w:bottom w:val="single" w:sz="8" w:color="D8D7D7"/>
            </w:tcBorders>
          </w:tcPr>
          <w:p>
            <w:pPr>
              <w:spacing w:after="0"/>
              <w:rPr>
                <w:sz w:val="7"/>
                <w:szCs w:val="7"/>
                <w:color w:val="auto"/>
              </w:rPr>
            </w:pPr>
          </w:p>
        </w:tc>
        <w:tc>
          <w:tcPr>
            <w:tcW w:w="2260" w:type="dxa"/>
            <w:vAlign w:val="bottom"/>
            <w:tcBorders>
              <w:bottom w:val="single" w:sz="8" w:color="D8D7D7"/>
            </w:tcBorders>
          </w:tcPr>
          <w:p>
            <w:pPr>
              <w:spacing w:after="0"/>
              <w:rPr>
                <w:sz w:val="7"/>
                <w:szCs w:val="7"/>
                <w:color w:val="auto"/>
              </w:rPr>
            </w:pPr>
          </w:p>
        </w:tc>
        <w:tc>
          <w:tcPr>
            <w:tcW w:w="1160" w:type="dxa"/>
            <w:vAlign w:val="bottom"/>
            <w:tcBorders>
              <w:bottom w:val="single" w:sz="8" w:color="D8D7D7"/>
            </w:tcBorders>
          </w:tcPr>
          <w:p>
            <w:pPr>
              <w:spacing w:after="0"/>
              <w:rPr>
                <w:sz w:val="7"/>
                <w:szCs w:val="7"/>
                <w:color w:val="auto"/>
              </w:rPr>
            </w:pPr>
          </w:p>
        </w:tc>
      </w:tr>
      <w:tr>
        <w:trPr>
          <w:trHeight w:val="266"/>
        </w:trPr>
        <w:tc>
          <w:tcPr>
            <w:tcW w:w="3100" w:type="dxa"/>
            <w:vAlign w:val="bottom"/>
          </w:tcPr>
          <w:p>
            <w:pPr>
              <w:ind w:left="120"/>
              <w:spacing w:after="0"/>
              <w:rPr>
                <w:sz w:val="20"/>
                <w:szCs w:val="20"/>
                <w:color w:val="auto"/>
              </w:rPr>
            </w:pPr>
            <w:r>
              <w:rPr>
                <w:rFonts w:ascii="Arial" w:cs="Arial" w:eastAsia="Arial" w:hAnsi="Arial"/>
                <w:sz w:val="16"/>
                <w:szCs w:val="16"/>
                <w:color w:val="auto"/>
              </w:rPr>
              <w:t>Aligns leadership with long-term</w:t>
            </w:r>
          </w:p>
        </w:tc>
        <w:tc>
          <w:tcPr>
            <w:tcW w:w="1400" w:type="dxa"/>
            <w:vAlign w:val="bottom"/>
          </w:tcPr>
          <w:p>
            <w:pPr>
              <w:ind w:left="60"/>
              <w:spacing w:after="0"/>
              <w:rPr>
                <w:sz w:val="20"/>
                <w:szCs w:val="20"/>
                <w:color w:val="auto"/>
              </w:rPr>
            </w:pPr>
            <w:r>
              <w:rPr>
                <w:rFonts w:ascii="Arial" w:cs="Arial" w:eastAsia="Arial" w:hAnsi="Arial"/>
                <w:sz w:val="16"/>
                <w:szCs w:val="16"/>
                <w:color w:val="auto"/>
              </w:rPr>
              <w:t>Three-Year</w:t>
            </w:r>
          </w:p>
        </w:tc>
        <w:tc>
          <w:tcPr>
            <w:tcW w:w="2260" w:type="dxa"/>
            <w:vAlign w:val="bottom"/>
          </w:tcPr>
          <w:p>
            <w:pPr>
              <w:ind w:left="180"/>
              <w:spacing w:after="0"/>
              <w:rPr>
                <w:sz w:val="20"/>
                <w:szCs w:val="20"/>
                <w:color w:val="auto"/>
              </w:rPr>
            </w:pPr>
            <w:r>
              <w:rPr>
                <w:rFonts w:ascii="Arial" w:cs="Arial" w:eastAsia="Arial" w:hAnsi="Arial"/>
                <w:sz w:val="16"/>
                <w:szCs w:val="16"/>
                <w:color w:val="auto"/>
              </w:rPr>
              <w:t>Relative TSR (40%)</w:t>
            </w:r>
          </w:p>
        </w:tc>
        <w:tc>
          <w:tcPr>
            <w:tcW w:w="1160" w:type="dxa"/>
            <w:vAlign w:val="bottom"/>
          </w:tcPr>
          <w:p>
            <w:pPr>
              <w:ind w:left="180"/>
              <w:spacing w:after="0"/>
              <w:rPr>
                <w:sz w:val="20"/>
                <w:szCs w:val="20"/>
                <w:color w:val="auto"/>
              </w:rPr>
            </w:pPr>
            <w:r>
              <w:rPr>
                <w:rFonts w:ascii="Arial" w:cs="Arial" w:eastAsia="Arial" w:hAnsi="Arial"/>
                <w:sz w:val="16"/>
                <w:szCs w:val="16"/>
                <w:color w:val="auto"/>
              </w:rPr>
              <w:t>0%-200%</w:t>
            </w:r>
          </w:p>
        </w:tc>
      </w:tr>
      <w:tr>
        <w:trPr>
          <w:trHeight w:val="253"/>
        </w:trPr>
        <w:tc>
          <w:tcPr>
            <w:tcW w:w="3100" w:type="dxa"/>
            <w:vAlign w:val="bottom"/>
          </w:tcPr>
          <w:p>
            <w:pPr>
              <w:ind w:left="120"/>
              <w:spacing w:after="0"/>
              <w:rPr>
                <w:sz w:val="20"/>
                <w:szCs w:val="20"/>
                <w:color w:val="auto"/>
              </w:rPr>
            </w:pPr>
            <w:r>
              <w:rPr>
                <w:rFonts w:ascii="Arial" w:cs="Arial" w:eastAsia="Arial" w:hAnsi="Arial"/>
                <w:sz w:val="16"/>
                <w:szCs w:val="16"/>
                <w:color w:val="auto"/>
              </w:rPr>
              <w:t>Company goals and shareholder</w:t>
            </w:r>
          </w:p>
        </w:tc>
        <w:tc>
          <w:tcPr>
            <w:tcW w:w="1400" w:type="dxa"/>
            <w:vAlign w:val="bottom"/>
          </w:tcPr>
          <w:p>
            <w:pPr>
              <w:ind w:left="60"/>
              <w:spacing w:after="0"/>
              <w:rPr>
                <w:sz w:val="20"/>
                <w:szCs w:val="20"/>
                <w:color w:val="auto"/>
              </w:rPr>
            </w:pPr>
            <w:r>
              <w:rPr>
                <w:rFonts w:ascii="Arial" w:cs="Arial" w:eastAsia="Arial" w:hAnsi="Arial"/>
                <w:sz w:val="16"/>
                <w:szCs w:val="16"/>
                <w:color w:val="auto"/>
              </w:rPr>
              <w:t>1/1/2025-</w:t>
            </w:r>
          </w:p>
        </w:tc>
        <w:tc>
          <w:tcPr>
            <w:tcW w:w="2260" w:type="dxa"/>
            <w:vAlign w:val="bottom"/>
          </w:tcPr>
          <w:p>
            <w:pPr>
              <w:ind w:left="180"/>
              <w:spacing w:after="0"/>
              <w:rPr>
                <w:sz w:val="20"/>
                <w:szCs w:val="20"/>
                <w:color w:val="auto"/>
              </w:rPr>
            </w:pPr>
            <w:r>
              <w:rPr>
                <w:rFonts w:ascii="Arial" w:cs="Arial" w:eastAsia="Arial" w:hAnsi="Arial"/>
                <w:sz w:val="16"/>
                <w:szCs w:val="16"/>
                <w:color w:val="auto"/>
              </w:rPr>
              <w:t>Relative Operating Cash</w:t>
            </w:r>
          </w:p>
        </w:tc>
        <w:tc>
          <w:tcPr>
            <w:tcW w:w="1160" w:type="dxa"/>
            <w:vAlign w:val="bottom"/>
          </w:tcPr>
          <w:p>
            <w:pPr>
              <w:ind w:left="180"/>
              <w:spacing w:after="0"/>
              <w:rPr>
                <w:sz w:val="20"/>
                <w:szCs w:val="20"/>
                <w:color w:val="auto"/>
              </w:rPr>
            </w:pPr>
            <w:r>
              <w:rPr>
                <w:rFonts w:ascii="Arial" w:cs="Arial" w:eastAsia="Arial" w:hAnsi="Arial"/>
                <w:sz w:val="16"/>
                <w:szCs w:val="16"/>
                <w:color w:val="auto"/>
              </w:rPr>
              <w:t>with cap</w:t>
            </w:r>
            <w:r>
              <w:rPr>
                <w:rFonts w:ascii="Arial" w:cs="Arial" w:eastAsia="Arial" w:hAnsi="Arial"/>
                <w:sz w:val="21"/>
                <w:szCs w:val="21"/>
                <w:color w:val="auto"/>
                <w:vertAlign w:val="superscript"/>
              </w:rPr>
              <w:t>(1)</w:t>
            </w:r>
          </w:p>
        </w:tc>
      </w:tr>
      <w:tr>
        <w:trPr>
          <w:trHeight w:val="203"/>
        </w:trPr>
        <w:tc>
          <w:tcPr>
            <w:tcW w:w="3100" w:type="dxa"/>
            <w:vAlign w:val="bottom"/>
          </w:tcPr>
          <w:p>
            <w:pPr>
              <w:ind w:left="120"/>
              <w:spacing w:after="0"/>
              <w:rPr>
                <w:sz w:val="20"/>
                <w:szCs w:val="20"/>
                <w:color w:val="auto"/>
              </w:rPr>
            </w:pPr>
            <w:r>
              <w:rPr>
                <w:rFonts w:ascii="Arial" w:cs="Arial" w:eastAsia="Arial" w:hAnsi="Arial"/>
                <w:sz w:val="16"/>
                <w:szCs w:val="16"/>
                <w:color w:val="auto"/>
              </w:rPr>
              <w:t>interests, with a focus on Company cash</w:t>
            </w:r>
          </w:p>
        </w:tc>
        <w:tc>
          <w:tcPr>
            <w:tcW w:w="1400" w:type="dxa"/>
            <w:vAlign w:val="bottom"/>
          </w:tcPr>
          <w:p>
            <w:pPr>
              <w:ind w:left="60"/>
              <w:spacing w:after="0"/>
              <w:rPr>
                <w:sz w:val="20"/>
                <w:szCs w:val="20"/>
                <w:color w:val="auto"/>
              </w:rPr>
            </w:pPr>
            <w:r>
              <w:rPr>
                <w:rFonts w:ascii="Arial" w:cs="Arial" w:eastAsia="Arial" w:hAnsi="Arial"/>
                <w:sz w:val="16"/>
                <w:szCs w:val="16"/>
                <w:color w:val="auto"/>
              </w:rPr>
              <w:t>12/31/2027</w:t>
            </w:r>
          </w:p>
        </w:tc>
        <w:tc>
          <w:tcPr>
            <w:tcW w:w="2260" w:type="dxa"/>
            <w:vAlign w:val="bottom"/>
          </w:tcPr>
          <w:p>
            <w:pPr>
              <w:ind w:left="180"/>
              <w:spacing w:after="0"/>
              <w:rPr>
                <w:sz w:val="20"/>
                <w:szCs w:val="20"/>
                <w:color w:val="auto"/>
              </w:rPr>
            </w:pPr>
            <w:r>
              <w:rPr>
                <w:rFonts w:ascii="Arial" w:cs="Arial" w:eastAsia="Arial" w:hAnsi="Arial"/>
                <w:sz w:val="16"/>
                <w:szCs w:val="16"/>
                <w:color w:val="auto"/>
              </w:rPr>
              <w:t>Flow as a Percentage of</w:t>
            </w:r>
          </w:p>
        </w:tc>
        <w:tc>
          <w:tcPr>
            <w:tcW w:w="1160" w:type="dxa"/>
            <w:vAlign w:val="bottom"/>
          </w:tcPr>
          <w:p>
            <w:pPr>
              <w:spacing w:after="0"/>
              <w:rPr>
                <w:sz w:val="17"/>
                <w:szCs w:val="17"/>
                <w:color w:val="auto"/>
              </w:rPr>
            </w:pPr>
          </w:p>
        </w:tc>
      </w:tr>
      <w:tr>
        <w:trPr>
          <w:trHeight w:val="215"/>
        </w:trPr>
        <w:tc>
          <w:tcPr>
            <w:tcW w:w="3100" w:type="dxa"/>
            <w:vAlign w:val="bottom"/>
          </w:tcPr>
          <w:p>
            <w:pPr>
              <w:ind w:left="120"/>
              <w:spacing w:after="0"/>
              <w:rPr>
                <w:sz w:val="20"/>
                <w:szCs w:val="20"/>
                <w:color w:val="auto"/>
              </w:rPr>
            </w:pPr>
            <w:r>
              <w:rPr>
                <w:rFonts w:ascii="Arial" w:cs="Arial" w:eastAsia="Arial" w:hAnsi="Arial"/>
                <w:sz w:val="16"/>
                <w:szCs w:val="16"/>
                <w:color w:val="auto"/>
              </w:rPr>
              <w:t>generation</w:t>
            </w:r>
          </w:p>
        </w:tc>
        <w:tc>
          <w:tcPr>
            <w:tcW w:w="140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Arial" w:cs="Arial" w:eastAsia="Arial" w:hAnsi="Arial"/>
                <w:sz w:val="16"/>
                <w:szCs w:val="16"/>
                <w:color w:val="auto"/>
              </w:rPr>
              <w:t>Revenue (30%)</w:t>
            </w:r>
          </w:p>
        </w:tc>
        <w:tc>
          <w:tcPr>
            <w:tcW w:w="11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Arial" w:cs="Arial" w:eastAsia="Arial" w:hAnsi="Arial"/>
                <w:sz w:val="16"/>
                <w:szCs w:val="16"/>
                <w:color w:val="auto"/>
              </w:rPr>
              <w:t>Relative EBIT-adj</w:t>
            </w:r>
          </w:p>
        </w:tc>
        <w:tc>
          <w:tcPr>
            <w:tcW w:w="11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Arial" w:cs="Arial" w:eastAsia="Arial" w:hAnsi="Arial"/>
                <w:sz w:val="16"/>
                <w:szCs w:val="16"/>
                <w:color w:val="auto"/>
              </w:rPr>
              <w:t>Margin (30%)</w:t>
            </w:r>
          </w:p>
        </w:tc>
        <w:tc>
          <w:tcPr>
            <w:tcW w:w="1160" w:type="dxa"/>
            <w:vAlign w:val="bottom"/>
          </w:tcPr>
          <w:p>
            <w:pPr>
              <w:spacing w:after="0"/>
              <w:rPr>
                <w:sz w:val="18"/>
                <w:szCs w:val="18"/>
                <w:color w:val="auto"/>
              </w:rPr>
            </w:pPr>
          </w:p>
        </w:tc>
      </w:tr>
      <w:tr>
        <w:trPr>
          <w:trHeight w:val="83"/>
        </w:trPr>
        <w:tc>
          <w:tcPr>
            <w:tcW w:w="3100" w:type="dxa"/>
            <w:vAlign w:val="bottom"/>
            <w:tcBorders>
              <w:bottom w:val="single" w:sz="8" w:color="D8D7D7"/>
            </w:tcBorders>
          </w:tcPr>
          <w:p>
            <w:pPr>
              <w:spacing w:after="0"/>
              <w:rPr>
                <w:sz w:val="7"/>
                <w:szCs w:val="7"/>
                <w:color w:val="auto"/>
              </w:rPr>
            </w:pPr>
          </w:p>
        </w:tc>
        <w:tc>
          <w:tcPr>
            <w:tcW w:w="1400" w:type="dxa"/>
            <w:vAlign w:val="bottom"/>
            <w:tcBorders>
              <w:bottom w:val="single" w:sz="8" w:color="D8D7D7"/>
            </w:tcBorders>
          </w:tcPr>
          <w:p>
            <w:pPr>
              <w:spacing w:after="0"/>
              <w:rPr>
                <w:sz w:val="7"/>
                <w:szCs w:val="7"/>
                <w:color w:val="auto"/>
              </w:rPr>
            </w:pPr>
          </w:p>
        </w:tc>
        <w:tc>
          <w:tcPr>
            <w:tcW w:w="2260" w:type="dxa"/>
            <w:vAlign w:val="bottom"/>
            <w:tcBorders>
              <w:bottom w:val="single" w:sz="8" w:color="D8D7D7"/>
            </w:tcBorders>
          </w:tcPr>
          <w:p>
            <w:pPr>
              <w:spacing w:after="0"/>
              <w:rPr>
                <w:sz w:val="7"/>
                <w:szCs w:val="7"/>
                <w:color w:val="auto"/>
              </w:rPr>
            </w:pPr>
          </w:p>
        </w:tc>
        <w:tc>
          <w:tcPr>
            <w:tcW w:w="1160" w:type="dxa"/>
            <w:vAlign w:val="bottom"/>
            <w:tcBorders>
              <w:bottom w:val="single" w:sz="8" w:color="D8D7D7"/>
            </w:tcBorders>
          </w:tcPr>
          <w:p>
            <w:pPr>
              <w:spacing w:after="0"/>
              <w:rPr>
                <w:sz w:val="7"/>
                <w:szCs w:val="7"/>
                <w:color w:val="auto"/>
              </w:rPr>
            </w:pPr>
          </w:p>
        </w:tc>
      </w:tr>
      <w:tr>
        <w:trPr>
          <w:trHeight w:val="302"/>
        </w:trPr>
        <w:tc>
          <w:tcPr>
            <w:tcW w:w="3100" w:type="dxa"/>
            <w:vAlign w:val="bottom"/>
          </w:tcPr>
          <w:p>
            <w:pPr>
              <w:ind w:left="120"/>
              <w:spacing w:after="0"/>
              <w:rPr>
                <w:sz w:val="20"/>
                <w:szCs w:val="20"/>
                <w:color w:val="auto"/>
              </w:rPr>
            </w:pPr>
            <w:r>
              <w:rPr>
                <w:rFonts w:ascii="Arial" w:cs="Arial" w:eastAsia="Arial" w:hAnsi="Arial"/>
                <w:sz w:val="16"/>
                <w:szCs w:val="16"/>
                <w:color w:val="auto"/>
              </w:rPr>
              <w:t>Promotes executive retention, stock</w:t>
            </w:r>
          </w:p>
        </w:tc>
        <w:tc>
          <w:tcPr>
            <w:tcW w:w="1400" w:type="dxa"/>
            <w:vAlign w:val="bottom"/>
          </w:tcPr>
          <w:p>
            <w:pPr>
              <w:ind w:left="60"/>
              <w:spacing w:after="0"/>
              <w:rPr>
                <w:sz w:val="20"/>
                <w:szCs w:val="20"/>
                <w:color w:val="auto"/>
              </w:rPr>
            </w:pPr>
            <w:r>
              <w:rPr>
                <w:rFonts w:ascii="Arial" w:cs="Arial" w:eastAsia="Arial" w:hAnsi="Arial"/>
                <w:sz w:val="16"/>
                <w:szCs w:val="16"/>
                <w:color w:val="auto"/>
              </w:rPr>
              <w:t>Three-Year</w:t>
            </w:r>
          </w:p>
        </w:tc>
        <w:tc>
          <w:tcPr>
            <w:tcW w:w="2260" w:type="dxa"/>
            <w:vAlign w:val="bottom"/>
          </w:tcPr>
          <w:p>
            <w:pPr>
              <w:ind w:left="180"/>
              <w:spacing w:after="0"/>
              <w:rPr>
                <w:sz w:val="20"/>
                <w:szCs w:val="20"/>
                <w:color w:val="auto"/>
              </w:rPr>
            </w:pPr>
            <w:r>
              <w:rPr>
                <w:rFonts w:ascii="Arial" w:cs="Arial" w:eastAsia="Arial" w:hAnsi="Arial"/>
                <w:sz w:val="16"/>
                <w:szCs w:val="16"/>
                <w:color w:val="auto"/>
              </w:rPr>
              <w:t>—</w:t>
            </w:r>
          </w:p>
        </w:tc>
        <w:tc>
          <w:tcPr>
            <w:tcW w:w="116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16"/>
        </w:trPr>
        <w:tc>
          <w:tcPr>
            <w:tcW w:w="3100" w:type="dxa"/>
            <w:vAlign w:val="bottom"/>
          </w:tcPr>
          <w:p>
            <w:pPr>
              <w:ind w:left="120"/>
              <w:spacing w:after="0"/>
              <w:rPr>
                <w:sz w:val="20"/>
                <w:szCs w:val="20"/>
                <w:color w:val="auto"/>
              </w:rPr>
            </w:pPr>
            <w:r>
              <w:rPr>
                <w:rFonts w:ascii="Arial" w:cs="Arial" w:eastAsia="Arial" w:hAnsi="Arial"/>
                <w:sz w:val="16"/>
                <w:szCs w:val="16"/>
                <w:color w:val="auto"/>
              </w:rPr>
              <w:t>ownership and alignment with</w:t>
            </w:r>
          </w:p>
        </w:tc>
        <w:tc>
          <w:tcPr>
            <w:tcW w:w="1400" w:type="dxa"/>
            <w:vAlign w:val="bottom"/>
          </w:tcPr>
          <w:p>
            <w:pPr>
              <w:ind w:left="60"/>
              <w:spacing w:after="0"/>
              <w:rPr>
                <w:sz w:val="20"/>
                <w:szCs w:val="20"/>
                <w:color w:val="auto"/>
              </w:rPr>
            </w:pPr>
            <w:r>
              <w:rPr>
                <w:rFonts w:ascii="Arial" w:cs="Arial" w:eastAsia="Arial" w:hAnsi="Arial"/>
                <w:sz w:val="16"/>
                <w:szCs w:val="16"/>
                <w:color w:val="auto"/>
              </w:rPr>
              <w:t>Ratable Vesting</w:t>
            </w:r>
          </w:p>
        </w:tc>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6"/>
                <w:szCs w:val="16"/>
                <w:color w:val="auto"/>
              </w:rPr>
              <w:t>shareholder interests</w:t>
            </w:r>
          </w:p>
        </w:tc>
        <w:tc>
          <w:tcPr>
            <w:tcW w:w="14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40" w:lineRule="exact"/>
        <w:rPr>
          <w:sz w:val="20"/>
          <w:szCs w:val="20"/>
          <w:color w:val="auto"/>
        </w:rPr>
      </w:pPr>
    </w:p>
    <w:p>
      <w:pPr>
        <w:sectPr>
          <w:pgSz w:w="11900" w:h="16838" w:orient="portrait"/>
          <w:cols w:equalWidth="0" w:num="2">
            <w:col w:w="500" w:space="660"/>
            <w:col w:w="7920"/>
          </w:cols>
          <w:pgMar w:left="1400" w:top="657" w:right="1419" w:bottom="1440" w:gutter="0" w:footer="0" w:header="0"/>
          <w:type w:val="continuous"/>
        </w:sectPr>
      </w:pPr>
    </w:p>
    <w:p>
      <w:pPr>
        <w:ind w:left="200" w:hanging="192"/>
        <w:spacing w:after="0"/>
        <w:tabs>
          <w:tab w:leader="none" w:pos="20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Relative TSR component is capped at target payout if GM’s absolute TSR is negative over the performance period.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2025 Performance-Based Compensation Outcomes</w:t>
      </w:r>
    </w:p>
    <w:p>
      <w:pPr>
        <w:spacing w:after="0" w:line="99"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The outcomes of the incentive plans that concluded in 2025 — the 2025 STIP and 2023-2025 LTIP — closely align with our performance over their respective performance periods.</w:t>
      </w:r>
    </w:p>
    <w:p>
      <w:pPr>
        <w:spacing w:after="0" w:line="88" w:lineRule="exact"/>
        <w:rPr>
          <w:sz w:val="20"/>
          <w:szCs w:val="20"/>
          <w:color w:val="auto"/>
        </w:rPr>
      </w:pPr>
    </w:p>
    <w:p>
      <w:pPr>
        <w:ind w:left="200" w:right="180" w:hanging="192"/>
        <w:spacing w:after="0" w:line="286" w:lineRule="auto"/>
        <w:tabs>
          <w:tab w:leader="none" w:pos="200" w:val="left"/>
        </w:tabs>
        <w:numPr>
          <w:ilvl w:val="0"/>
          <w:numId w:val="67"/>
        </w:numPr>
        <w:rPr>
          <w:rFonts w:ascii="Arial" w:cs="Arial" w:eastAsia="Arial" w:hAnsi="Arial"/>
          <w:sz w:val="16"/>
          <w:szCs w:val="16"/>
          <w:color w:val="0956FF"/>
        </w:rPr>
      </w:pPr>
      <w:r>
        <w:rPr>
          <w:rFonts w:ascii="Arial" w:cs="Arial" w:eastAsia="Arial" w:hAnsi="Arial"/>
          <w:sz w:val="16"/>
          <w:szCs w:val="16"/>
          <w:b w:val="1"/>
          <w:bCs w:val="1"/>
          <w:color w:val="auto"/>
        </w:rPr>
        <w:t xml:space="preserve">2025 STIP </w:t>
      </w:r>
      <w:r>
        <w:rPr>
          <w:rFonts w:ascii="Arial" w:cs="Arial" w:eastAsia="Arial" w:hAnsi="Arial"/>
          <w:sz w:val="16"/>
          <w:szCs w:val="16"/>
          <w:color w:val="auto"/>
        </w:rPr>
        <w:t>: Our 2025 STIP Company performance payout of 118% of target reflected our continued strong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disciplined pricing, fixed-cost discipline and strategic realignment of our manufacturing footprint, all amid significant regulatory and market headwinds that impacted EV demand. As a result, performance included above-target EBIT-adjusted and above-target AAFCF performance, while EV Variable Cost Percentage Improvement performance was below-target due to lower EV demand that impacted our ability to scale cost-effectively. We also exceeded our Software &amp; Services (“S&amp;S”) goals and successfully executed on our Autonomous Vehicle ( “AV”) goals.</w:t>
      </w:r>
    </w:p>
    <w:p>
      <w:pPr>
        <w:spacing w:after="0" w:line="21" w:lineRule="exact"/>
        <w:rPr>
          <w:rFonts w:ascii="Arial" w:cs="Arial" w:eastAsia="Arial" w:hAnsi="Arial"/>
          <w:sz w:val="16"/>
          <w:szCs w:val="16"/>
          <w:color w:val="0956FF"/>
        </w:rPr>
      </w:pPr>
    </w:p>
    <w:p>
      <w:pPr>
        <w:ind w:left="200" w:right="340" w:hanging="192"/>
        <w:spacing w:after="0" w:line="295" w:lineRule="auto"/>
        <w:tabs>
          <w:tab w:leader="none" w:pos="200" w:val="left"/>
        </w:tabs>
        <w:numPr>
          <w:ilvl w:val="0"/>
          <w:numId w:val="67"/>
        </w:numPr>
        <w:rPr>
          <w:rFonts w:ascii="Arial" w:cs="Arial" w:eastAsia="Arial" w:hAnsi="Arial"/>
          <w:sz w:val="16"/>
          <w:szCs w:val="16"/>
          <w:color w:val="0956FF"/>
        </w:rPr>
      </w:pPr>
      <w:r>
        <w:rPr>
          <w:rFonts w:ascii="Arial" w:cs="Arial" w:eastAsia="Arial" w:hAnsi="Arial"/>
          <w:sz w:val="16"/>
          <w:szCs w:val="16"/>
          <w:b w:val="1"/>
          <w:bCs w:val="1"/>
          <w:color w:val="auto"/>
        </w:rPr>
        <w:t xml:space="preserve">2023-2025 LTIP PSUs: </w:t>
      </w:r>
      <w:r>
        <w:rPr>
          <w:rFonts w:ascii="Arial" w:cs="Arial" w:eastAsia="Arial" w:hAnsi="Arial"/>
          <w:sz w:val="16"/>
          <w:szCs w:val="16"/>
          <w:color w:val="auto"/>
        </w:rPr>
        <w:t>For the 2023-2025 PSU portion of our LTIP, we outperformed on our three-year EBIT-adjusted</w:t>
      </w:r>
      <w:r>
        <w:rPr>
          <w:rFonts w:ascii="Arial" w:cs="Arial" w:eastAsia="Arial" w:hAnsi="Arial"/>
          <w:sz w:val="16"/>
          <w:szCs w:val="16"/>
          <w:b w:val="1"/>
          <w:bCs w:val="1"/>
          <w:color w:val="auto"/>
        </w:rPr>
        <w:t xml:space="preserve"> </w:t>
      </w:r>
      <w:r>
        <w:rPr>
          <w:rFonts w:ascii="Arial" w:cs="Arial" w:eastAsia="Arial" w:hAnsi="Arial"/>
          <w:sz w:val="16"/>
          <w:szCs w:val="16"/>
          <w:color w:val="auto"/>
        </w:rPr>
        <w:t>margin and relative TSR goals, with mixed results on our three EV goals, leading to a payout of 162% of target. These results demonstrate that our strong financial and operating performance is translating into meaningful shareholder returns, even as we face headwinds related to our EV portfolio.</w:t>
      </w:r>
    </w:p>
    <w:p>
      <w:pPr>
        <w:sectPr>
          <w:pgSz w:w="11900" w:h="16838" w:orient="portrait"/>
          <w:cols w:equalWidth="0" w:num="1">
            <w:col w:w="9080"/>
          </w:cols>
          <w:pgMar w:left="1400" w:top="65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9080"/>
          </w:cols>
          <w:pgMar w:left="1400" w:top="657" w:right="141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Compensation Governance Best Practices</w:t>
      </w:r>
    </w:p>
    <w:p>
      <w:pPr>
        <w:spacing w:after="0" w:line="36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WHAT WE DO</w:t>
      </w:r>
    </w:p>
    <w:p>
      <w:pPr>
        <w:sectPr>
          <w:pgSz w:w="11900" w:h="16838" w:orient="portrait"/>
          <w:cols w:equalWidth="0" w:num="1">
            <w:col w:w="9220"/>
          </w:cols>
          <w:pgMar w:left="1400" w:top="657" w:right="1279" w:bottom="1440" w:gutter="0" w:footer="0" w:header="0"/>
        </w:sectPr>
      </w:pPr>
    </w:p>
    <w:p>
      <w:pPr>
        <w:spacing w:after="0" w:line="118" w:lineRule="exact"/>
        <w:rPr>
          <w:sz w:val="20"/>
          <w:szCs w:val="20"/>
          <w:color w:val="auto"/>
        </w:rPr>
      </w:pPr>
    </w:p>
    <w:p>
      <w:pPr>
        <w:ind w:left="320" w:right="160" w:hanging="13"/>
        <w:spacing w:after="0" w:line="321" w:lineRule="auto"/>
        <w:rPr>
          <w:sz w:val="20"/>
          <w:szCs w:val="20"/>
          <w:color w:val="auto"/>
        </w:rPr>
      </w:pPr>
      <w:r>
        <w:rPr>
          <w:rFonts w:ascii="Arial" w:cs="Arial" w:eastAsia="Arial" w:hAnsi="Arial"/>
          <w:sz w:val="16"/>
          <w:szCs w:val="16"/>
          <w:color w:val="auto"/>
        </w:rPr>
        <w:t>Provide short-term and long-term incentive plans with performance targets aligned to business goals</w:t>
      </w:r>
    </w:p>
    <w:p>
      <w:pPr>
        <w:spacing w:after="0" w:line="7" w:lineRule="exact"/>
        <w:rPr>
          <w:sz w:val="20"/>
          <w:szCs w:val="20"/>
          <w:color w:val="auto"/>
        </w:rPr>
      </w:pPr>
    </w:p>
    <w:p>
      <w:pPr>
        <w:ind w:left="320" w:right="220" w:hanging="13"/>
        <w:spacing w:after="0" w:line="292" w:lineRule="auto"/>
        <w:rPr>
          <w:sz w:val="20"/>
          <w:szCs w:val="20"/>
          <w:color w:val="auto"/>
        </w:rPr>
      </w:pPr>
      <w:r>
        <w:rPr>
          <w:rFonts w:ascii="Arial" w:cs="Arial" w:eastAsia="Arial" w:hAnsi="Arial"/>
          <w:sz w:val="16"/>
          <w:szCs w:val="16"/>
          <w:color w:val="auto"/>
        </w:rPr>
        <w:t>Maintain a Compensation Committee composed entirely of independent directors who are advised by an independent compensation consultant</w:t>
      </w:r>
    </w:p>
    <w:p>
      <w:pPr>
        <w:spacing w:after="0" w:line="30" w:lineRule="exact"/>
        <w:rPr>
          <w:sz w:val="20"/>
          <w:szCs w:val="20"/>
          <w:color w:val="auto"/>
        </w:rPr>
      </w:pPr>
    </w:p>
    <w:p>
      <w:pPr>
        <w:ind w:left="320" w:right="140" w:hanging="13"/>
        <w:spacing w:after="0" w:line="304" w:lineRule="auto"/>
        <w:rPr>
          <w:sz w:val="20"/>
          <w:szCs w:val="20"/>
          <w:color w:val="auto"/>
        </w:rPr>
      </w:pPr>
      <w:r>
        <w:rPr>
          <w:rFonts w:ascii="Arial" w:cs="Arial" w:eastAsia="Arial" w:hAnsi="Arial"/>
          <w:sz w:val="16"/>
          <w:szCs w:val="16"/>
          <w:color w:val="auto"/>
        </w:rPr>
        <w:t>Require stock ownership for all senior leaders to align with the interests of our shareholders</w:t>
      </w:r>
    </w:p>
    <w:p>
      <w:pPr>
        <w:spacing w:after="0" w:line="20" w:lineRule="exact"/>
        <w:rPr>
          <w:sz w:val="20"/>
          <w:szCs w:val="20"/>
          <w:color w:val="auto"/>
        </w:rPr>
      </w:pPr>
    </w:p>
    <w:p>
      <w:pPr>
        <w:ind w:left="320" w:right="100" w:hanging="13"/>
        <w:spacing w:after="0" w:line="289" w:lineRule="auto"/>
        <w:rPr>
          <w:sz w:val="20"/>
          <w:szCs w:val="20"/>
          <w:color w:val="auto"/>
        </w:rPr>
      </w:pPr>
      <w:r>
        <w:rPr>
          <w:rFonts w:ascii="Arial" w:cs="Arial" w:eastAsia="Arial" w:hAnsi="Arial"/>
          <w:sz w:val="16"/>
          <w:szCs w:val="16"/>
          <w:color w:val="auto"/>
        </w:rPr>
        <w:t>Engage with shareholders and other stakeholders on various topics with members of management and directors, including our Compensation Committee and our Independent Lead Director</w:t>
      </w:r>
    </w:p>
    <w:p>
      <w:pPr>
        <w:spacing w:after="0" w:line="32" w:lineRule="exact"/>
        <w:rPr>
          <w:sz w:val="20"/>
          <w:szCs w:val="20"/>
          <w:color w:val="auto"/>
        </w:rPr>
      </w:pPr>
    </w:p>
    <w:p>
      <w:pPr>
        <w:ind w:left="320" w:right="80" w:hanging="13"/>
        <w:spacing w:after="0" w:line="289" w:lineRule="auto"/>
        <w:rPr>
          <w:sz w:val="20"/>
          <w:szCs w:val="20"/>
          <w:color w:val="auto"/>
        </w:rPr>
      </w:pPr>
      <w:r>
        <w:rPr>
          <w:rFonts w:ascii="Arial" w:cs="Arial" w:eastAsia="Arial" w:hAnsi="Arial"/>
          <w:sz w:val="16"/>
          <w:szCs w:val="16"/>
          <w:color w:val="auto"/>
        </w:rPr>
        <w:t>Maintain an Insider Trading Policy requiring directors, executive officers, and all other senior leaders to trade only during pre-established periods after receiving preclearance from the GM legal staff</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both"/>
        <w:ind w:right="360" w:hanging="13"/>
        <w:spacing w:after="0" w:line="281" w:lineRule="auto"/>
        <w:rPr>
          <w:sz w:val="20"/>
          <w:szCs w:val="20"/>
          <w:color w:val="auto"/>
        </w:rPr>
      </w:pPr>
      <w:r>
        <w:rPr>
          <w:rFonts w:ascii="Arial" w:cs="Arial" w:eastAsia="Arial" w:hAnsi="Arial"/>
          <w:sz w:val="16"/>
          <w:szCs w:val="16"/>
          <w:color w:val="auto"/>
        </w:rPr>
        <w:t>Require equity awards to have double-trigger (change in control and termination of employment)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vesting provisions; no single-trigger vesting provisions</w:t>
      </w:r>
    </w:p>
    <w:p>
      <w:pPr>
        <w:spacing w:after="0" w:line="86" w:lineRule="exact"/>
        <w:rPr>
          <w:sz w:val="20"/>
          <w:szCs w:val="20"/>
          <w:color w:val="auto"/>
        </w:rPr>
      </w:pPr>
    </w:p>
    <w:p>
      <w:pPr>
        <w:ind w:right="500" w:hanging="13"/>
        <w:spacing w:after="0" w:line="321" w:lineRule="auto"/>
        <w:rPr>
          <w:sz w:val="20"/>
          <w:szCs w:val="20"/>
          <w:color w:val="auto"/>
        </w:rPr>
      </w:pPr>
      <w:r>
        <w:rPr>
          <w:rFonts w:ascii="Arial" w:cs="Arial" w:eastAsia="Arial" w:hAnsi="Arial"/>
          <w:sz w:val="16"/>
          <w:szCs w:val="16"/>
          <w:color w:val="auto"/>
        </w:rPr>
        <w:t>Complete an annual risk review evaluating incentive compensation plans</w:t>
      </w:r>
    </w:p>
    <w:p>
      <w:pPr>
        <w:spacing w:after="0" w:line="7" w:lineRule="exact"/>
        <w:rPr>
          <w:sz w:val="20"/>
          <w:szCs w:val="20"/>
          <w:color w:val="auto"/>
        </w:rPr>
      </w:pPr>
    </w:p>
    <w:p>
      <w:pPr>
        <w:jc w:val="both"/>
        <w:ind w:right="340" w:hanging="13"/>
        <w:spacing w:after="0" w:line="292" w:lineRule="auto"/>
        <w:rPr>
          <w:sz w:val="20"/>
          <w:szCs w:val="20"/>
          <w:color w:val="auto"/>
        </w:rPr>
      </w:pPr>
      <w:r>
        <w:rPr>
          <w:rFonts w:ascii="Arial" w:cs="Arial" w:eastAsia="Arial" w:hAnsi="Arial"/>
          <w:sz w:val="16"/>
          <w:szCs w:val="16"/>
          <w:color w:val="auto"/>
        </w:rPr>
        <w:t>Require short-term cash and long-term equity awards for all executive officers to be subject to clawback and cancellation provisions</w:t>
      </w:r>
    </w:p>
    <w:p>
      <w:pPr>
        <w:spacing w:after="0" w:line="30" w:lineRule="exact"/>
        <w:rPr>
          <w:sz w:val="20"/>
          <w:szCs w:val="20"/>
          <w:color w:val="auto"/>
        </w:rPr>
      </w:pPr>
    </w:p>
    <w:p>
      <w:pPr>
        <w:ind w:right="720" w:hanging="13"/>
        <w:spacing w:after="0" w:line="292" w:lineRule="auto"/>
        <w:rPr>
          <w:sz w:val="20"/>
          <w:szCs w:val="20"/>
          <w:color w:val="auto"/>
        </w:rPr>
      </w:pPr>
      <w:r>
        <w:rPr>
          <w:rFonts w:ascii="Arial" w:cs="Arial" w:eastAsia="Arial" w:hAnsi="Arial"/>
          <w:sz w:val="16"/>
          <w:szCs w:val="16"/>
          <w:color w:val="auto"/>
        </w:rPr>
        <w:t>Conduct an annual audit of senior executive expenses and perquisites that is reviewed by the Audit Committee</w:t>
      </w:r>
    </w:p>
    <w:p>
      <w:pPr>
        <w:spacing w:after="0" w:line="30" w:lineRule="exact"/>
        <w:rPr>
          <w:sz w:val="20"/>
          <w:szCs w:val="20"/>
          <w:color w:val="auto"/>
        </w:rPr>
      </w:pPr>
    </w:p>
    <w:p>
      <w:pPr>
        <w:ind w:right="640" w:hanging="13"/>
        <w:spacing w:after="0" w:line="292" w:lineRule="auto"/>
        <w:rPr>
          <w:sz w:val="20"/>
          <w:szCs w:val="20"/>
          <w:color w:val="auto"/>
        </w:rPr>
      </w:pPr>
      <w:r>
        <w:rPr>
          <w:rFonts w:ascii="Arial" w:cs="Arial" w:eastAsia="Arial" w:hAnsi="Arial"/>
          <w:sz w:val="16"/>
          <w:szCs w:val="16"/>
          <w:color w:val="auto"/>
        </w:rPr>
        <w:t>Include non-compete and non-solicitation terms in all grant agreements with senior leaders, where enforceable</w:t>
      </w:r>
    </w:p>
    <w:p>
      <w:pPr>
        <w:spacing w:after="0" w:line="414" w:lineRule="exact"/>
        <w:rPr>
          <w:sz w:val="20"/>
          <w:szCs w:val="20"/>
          <w:color w:val="auto"/>
        </w:rPr>
      </w:pPr>
    </w:p>
    <w:p>
      <w:pPr>
        <w:sectPr>
          <w:pgSz w:w="11900" w:h="16838" w:orient="portrait"/>
          <w:cols w:equalWidth="0" w:num="2">
            <w:col w:w="4300" w:space="720"/>
            <w:col w:w="4200"/>
          </w:cols>
          <w:pgMar w:left="1400" w:top="657" w:right="1279" w:bottom="1440" w:gutter="0" w:footer="0" w:header="0"/>
          <w:type w:val="continuous"/>
        </w:sect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WHAT WE DON’T DO</w:t>
      </w:r>
    </w:p>
    <w:p>
      <w:pPr>
        <w:sectPr>
          <w:pgSz w:w="11900" w:h="16838" w:orient="portrait"/>
          <w:cols w:equalWidth="0" w:num="1">
            <w:col w:w="9220"/>
          </w:cols>
          <w:pgMar w:left="1400" w:top="657" w:right="1279" w:bottom="1440" w:gutter="0" w:footer="0" w:header="0"/>
          <w:type w:val="continuous"/>
        </w:sectPr>
      </w:pPr>
    </w:p>
    <w:p>
      <w:pPr>
        <w:spacing w:after="0" w:line="131" w:lineRule="exact"/>
        <w:rPr>
          <w:sz w:val="20"/>
          <w:szCs w:val="20"/>
          <w:color w:val="auto"/>
        </w:rPr>
      </w:pPr>
    </w:p>
    <w:p>
      <w:pPr>
        <w:ind w:left="320" w:right="140" w:hanging="2"/>
        <w:spacing w:after="0" w:line="301" w:lineRule="auto"/>
        <w:rPr>
          <w:sz w:val="20"/>
          <w:szCs w:val="20"/>
          <w:color w:val="auto"/>
        </w:rPr>
      </w:pPr>
      <w:r>
        <w:rPr>
          <w:rFonts w:ascii="Arial" w:cs="Arial" w:eastAsia="Arial" w:hAnsi="Arial"/>
          <w:sz w:val="16"/>
          <w:szCs w:val="16"/>
          <w:color w:val="auto"/>
        </w:rPr>
        <w:t>Provide gross-up payments to cover personal income taxes or excise taxes pertaining to executive severance benefits</w:t>
      </w:r>
    </w:p>
    <w:p>
      <w:pPr>
        <w:spacing w:after="0" w:line="23" w:lineRule="exact"/>
        <w:rPr>
          <w:sz w:val="20"/>
          <w:szCs w:val="20"/>
          <w:color w:val="auto"/>
        </w:rPr>
      </w:pPr>
    </w:p>
    <w:p>
      <w:pPr>
        <w:ind w:left="320" w:right="160" w:hanging="2"/>
        <w:spacing w:after="0" w:line="304" w:lineRule="auto"/>
        <w:rPr>
          <w:sz w:val="20"/>
          <w:szCs w:val="20"/>
          <w:color w:val="auto"/>
        </w:rPr>
      </w:pPr>
      <w:r>
        <w:rPr>
          <w:rFonts w:ascii="Arial" w:cs="Arial" w:eastAsia="Arial" w:hAnsi="Arial"/>
          <w:sz w:val="16"/>
          <w:szCs w:val="16"/>
          <w:color w:val="auto"/>
        </w:rPr>
        <w:t>Pay above-market interest on deferred compensation in retirement plans</w:t>
      </w:r>
    </w:p>
    <w:p>
      <w:pPr>
        <w:spacing w:after="0" w:line="20" w:lineRule="exact"/>
        <w:rPr>
          <w:sz w:val="20"/>
          <w:szCs w:val="20"/>
          <w:color w:val="auto"/>
        </w:rPr>
      </w:pPr>
    </w:p>
    <w:p>
      <w:pPr>
        <w:ind w:left="320" w:right="200" w:hanging="2"/>
        <w:spacing w:after="0" w:line="321" w:lineRule="auto"/>
        <w:rPr>
          <w:sz w:val="20"/>
          <w:szCs w:val="20"/>
          <w:color w:val="auto"/>
        </w:rPr>
      </w:pPr>
      <w:r>
        <w:rPr>
          <w:rFonts w:ascii="Arial" w:cs="Arial" w:eastAsia="Arial" w:hAnsi="Arial"/>
          <w:sz w:val="16"/>
          <w:szCs w:val="16"/>
          <w:color w:val="auto"/>
        </w:rPr>
        <w:t>Allow any director or employee to engage in hedging or pledging of GM securities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980" w:hanging="2"/>
        <w:spacing w:after="0" w:line="321" w:lineRule="auto"/>
        <w:rPr>
          <w:sz w:val="20"/>
          <w:szCs w:val="20"/>
          <w:color w:val="auto"/>
        </w:rPr>
      </w:pPr>
      <w:r>
        <w:rPr>
          <w:rFonts w:ascii="Arial" w:cs="Arial" w:eastAsia="Arial" w:hAnsi="Arial"/>
          <w:sz w:val="16"/>
          <w:szCs w:val="16"/>
          <w:color w:val="auto"/>
        </w:rPr>
        <w:t>Reward executives for excessive, imprudent, inappropriate, or unnecessary risk-taking</w:t>
      </w:r>
    </w:p>
    <w:p>
      <w:pPr>
        <w:spacing w:after="0" w:line="7" w:lineRule="exact"/>
        <w:rPr>
          <w:sz w:val="20"/>
          <w:szCs w:val="20"/>
          <w:color w:val="auto"/>
        </w:rPr>
      </w:pPr>
    </w:p>
    <w:p>
      <w:pPr>
        <w:ind w:right="520" w:hanging="2"/>
        <w:spacing w:after="0" w:line="304" w:lineRule="auto"/>
        <w:rPr>
          <w:sz w:val="20"/>
          <w:szCs w:val="20"/>
          <w:color w:val="auto"/>
        </w:rPr>
      </w:pPr>
      <w:r>
        <w:rPr>
          <w:rFonts w:ascii="Arial" w:cs="Arial" w:eastAsia="Arial" w:hAnsi="Arial"/>
          <w:sz w:val="16"/>
          <w:szCs w:val="16"/>
          <w:color w:val="auto"/>
        </w:rPr>
        <w:t>Allow the repricing, spring-loading, or backdating of equity awards</w:t>
      </w:r>
    </w:p>
    <w:p>
      <w:pPr>
        <w:spacing w:after="0" w:line="928" w:lineRule="exact"/>
        <w:rPr>
          <w:sz w:val="20"/>
          <w:szCs w:val="20"/>
          <w:color w:val="auto"/>
        </w:rPr>
      </w:pPr>
    </w:p>
    <w:p>
      <w:pPr>
        <w:sectPr>
          <w:pgSz w:w="11900" w:h="16838" w:orient="portrait"/>
          <w:cols w:equalWidth="0" w:num="2">
            <w:col w:w="4300" w:space="720"/>
            <w:col w:w="4200"/>
          </w:cols>
          <w:pgMar w:left="1400" w:top="65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47</w:t>
      </w:r>
    </w:p>
    <w:p>
      <w:pPr>
        <w:sectPr>
          <w:pgSz w:w="11900" w:h="16838" w:orient="portrait"/>
          <w:cols w:equalWidth="0" w:num="1">
            <w:col w:w="9220"/>
          </w:cols>
          <w:pgMar w:left="1400" w:top="657" w:right="127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2025 NEO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Target Compensation</w:t>
      </w:r>
    </w:p>
    <w:p>
      <w:pPr>
        <w:spacing w:after="0" w:line="114"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Target compensation for each of our NEOs comprises an appropriate mix of short-term and long-term pay elements and is intended to be competitive with that paid to comparable individuals at peer group companies so that GM can attract, motivate, and retain talent. Each element, and total direct compensation as a whole, is determined starting with reference to competitive market data, and is based on an executive’s current compensation, tenure, performance, position and responsibilities. For 2025, the Compensation Committee conducted a thorough assessment of Ms. Barra’s pay opportunity and approved a modest increase to her target compensation, to be fully delivered in long-term equity (75% PSUs, 25% RSUs). This increase is commensurate with our strategy to reward and motivate performance and to offer market-</w:t>
      </w:r>
    </w:p>
    <w:p>
      <w:pPr>
        <w:spacing w:after="0" w:line="4"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competitive compensation and is the first increase to her target compensation since 2022. As part of the assessment, the Committee also determined to modestly increase the target LTIP for each of Messrs. Jacobson and Reuss .</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Our total target direct compensation for each NEO in 2025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980" w:type="dxa"/>
            <w:vAlign w:val="bottom"/>
            <w:shd w:val="clear" w:color="auto" w:fill="ECEBEB"/>
          </w:tcPr>
          <w:p>
            <w:pPr>
              <w:spacing w:after="0"/>
              <w:rPr>
                <w:sz w:val="21"/>
                <w:szCs w:val="21"/>
                <w:color w:val="auto"/>
              </w:rPr>
            </w:pPr>
          </w:p>
        </w:tc>
        <w:tc>
          <w:tcPr>
            <w:tcW w:w="1120" w:type="dxa"/>
            <w:vAlign w:val="bottom"/>
            <w:shd w:val="clear" w:color="auto" w:fill="ECEBEB"/>
          </w:tcPr>
          <w:p>
            <w:pPr>
              <w:spacing w:after="0"/>
              <w:rPr>
                <w:sz w:val="21"/>
                <w:szCs w:val="21"/>
                <w:color w:val="auto"/>
              </w:rPr>
            </w:pPr>
          </w:p>
        </w:tc>
        <w:tc>
          <w:tcPr>
            <w:tcW w:w="620" w:type="dxa"/>
            <w:vAlign w:val="bottom"/>
            <w:shd w:val="clear" w:color="auto" w:fill="ECEBEB"/>
          </w:tcPr>
          <w:p>
            <w:pPr>
              <w:spacing w:after="0"/>
              <w:rPr>
                <w:sz w:val="21"/>
                <w:szCs w:val="21"/>
                <w:color w:val="auto"/>
              </w:rPr>
            </w:pPr>
          </w:p>
        </w:tc>
        <w:tc>
          <w:tcPr>
            <w:tcW w:w="1000" w:type="dxa"/>
            <w:vAlign w:val="bottom"/>
            <w:shd w:val="clear" w:color="auto" w:fill="ECEBEB"/>
          </w:tcPr>
          <w:p>
            <w:pPr>
              <w:spacing w:after="0"/>
              <w:rPr>
                <w:sz w:val="21"/>
                <w:szCs w:val="21"/>
                <w:color w:val="auto"/>
              </w:rPr>
            </w:pPr>
          </w:p>
        </w:tc>
        <w:tc>
          <w:tcPr>
            <w:tcW w:w="1100" w:type="dxa"/>
            <w:vAlign w:val="bottom"/>
            <w:shd w:val="clear" w:color="auto" w:fill="ECEBEB"/>
          </w:tcPr>
          <w:p>
            <w:pPr>
              <w:jc w:val="center"/>
              <w:ind w:left="63"/>
              <w:spacing w:after="0"/>
              <w:rPr>
                <w:sz w:val="20"/>
                <w:szCs w:val="20"/>
                <w:color w:val="auto"/>
              </w:rPr>
            </w:pPr>
            <w:r>
              <w:rPr>
                <w:rFonts w:ascii="Arial" w:cs="Arial" w:eastAsia="Arial" w:hAnsi="Arial"/>
                <w:sz w:val="14"/>
                <w:szCs w:val="14"/>
                <w:b w:val="1"/>
                <w:bCs w:val="1"/>
                <w:color w:val="auto"/>
                <w:w w:val="99"/>
              </w:rPr>
              <w:t>Total Target</w:t>
            </w:r>
          </w:p>
        </w:tc>
        <w:tc>
          <w:tcPr>
            <w:tcW w:w="40" w:type="dxa"/>
            <w:vAlign w:val="bottom"/>
            <w:shd w:val="clear" w:color="auto" w:fill="ECEBEB"/>
          </w:tcPr>
          <w:p>
            <w:pPr>
              <w:spacing w:after="0"/>
              <w:rPr>
                <w:sz w:val="21"/>
                <w:szCs w:val="21"/>
                <w:color w:val="auto"/>
              </w:rPr>
            </w:pPr>
          </w:p>
        </w:tc>
        <w:tc>
          <w:tcPr>
            <w:tcW w:w="1200" w:type="dxa"/>
            <w:vAlign w:val="bottom"/>
            <w:vMerge w:val="restart"/>
            <w:shd w:val="clear" w:color="auto" w:fill="ECEBEB"/>
          </w:tcPr>
          <w:p>
            <w:pPr>
              <w:jc w:val="right"/>
              <w:spacing w:after="0"/>
              <w:rPr>
                <w:sz w:val="20"/>
                <w:szCs w:val="20"/>
                <w:color w:val="auto"/>
              </w:rPr>
            </w:pPr>
            <w:r>
              <w:rPr>
                <w:rFonts w:ascii="Arial" w:cs="Arial" w:eastAsia="Arial" w:hAnsi="Arial"/>
                <w:sz w:val="14"/>
                <w:szCs w:val="14"/>
                <w:b w:val="1"/>
                <w:bCs w:val="1"/>
                <w:color w:val="auto"/>
              </w:rPr>
              <w:t>LTIP</w:t>
            </w:r>
          </w:p>
        </w:tc>
        <w:tc>
          <w:tcPr>
            <w:tcW w:w="880" w:type="dxa"/>
            <w:vAlign w:val="bottom"/>
            <w:shd w:val="clear" w:color="auto" w:fill="ECEBEB"/>
          </w:tcPr>
          <w:p>
            <w:pPr>
              <w:spacing w:after="0"/>
              <w:rPr>
                <w:sz w:val="21"/>
                <w:szCs w:val="21"/>
                <w:color w:val="auto"/>
              </w:rPr>
            </w:pPr>
          </w:p>
        </w:tc>
        <w:tc>
          <w:tcPr>
            <w:tcW w:w="60" w:type="dxa"/>
            <w:vAlign w:val="bottom"/>
            <w:shd w:val="clear" w:color="auto" w:fill="ECEBEB"/>
          </w:tcPr>
          <w:p>
            <w:pPr>
              <w:spacing w:after="0"/>
              <w:rPr>
                <w:sz w:val="21"/>
                <w:szCs w:val="21"/>
                <w:color w:val="auto"/>
              </w:rPr>
            </w:pPr>
          </w:p>
        </w:tc>
        <w:tc>
          <w:tcPr>
            <w:tcW w:w="1080" w:type="dxa"/>
            <w:vAlign w:val="bottom"/>
            <w:shd w:val="clear" w:color="auto" w:fill="ECEBEB"/>
          </w:tcPr>
          <w:p>
            <w:pPr>
              <w:jc w:val="right"/>
              <w:ind w:right="3"/>
              <w:spacing w:after="0"/>
              <w:rPr>
                <w:sz w:val="20"/>
                <w:szCs w:val="20"/>
                <w:color w:val="auto"/>
              </w:rPr>
            </w:pPr>
            <w:r>
              <w:rPr>
                <w:rFonts w:ascii="Arial" w:cs="Arial" w:eastAsia="Arial" w:hAnsi="Arial"/>
                <w:sz w:val="14"/>
                <w:szCs w:val="14"/>
                <w:b w:val="1"/>
                <w:bCs w:val="1"/>
                <w:color w:val="auto"/>
              </w:rPr>
              <w:t>Total Target</w:t>
            </w:r>
          </w:p>
        </w:tc>
        <w:tc>
          <w:tcPr>
            <w:tcW w:w="0" w:type="dxa"/>
            <w:vAlign w:val="bottom"/>
          </w:tcPr>
          <w:p>
            <w:pPr>
              <w:spacing w:after="0"/>
              <w:rPr>
                <w:sz w:val="1"/>
                <w:szCs w:val="1"/>
                <w:color w:val="auto"/>
              </w:rPr>
            </w:pPr>
          </w:p>
        </w:tc>
      </w:tr>
      <w:tr>
        <w:trPr>
          <w:trHeight w:val="104"/>
        </w:trPr>
        <w:tc>
          <w:tcPr>
            <w:tcW w:w="1980" w:type="dxa"/>
            <w:vAlign w:val="bottom"/>
            <w:tcBorders>
              <w:bottom w:val="single" w:sz="8" w:color="ECEBEB"/>
            </w:tcBorders>
            <w:shd w:val="clear" w:color="auto" w:fill="ECEBEB"/>
          </w:tcPr>
          <w:p>
            <w:pPr>
              <w:spacing w:after="0"/>
              <w:rPr>
                <w:sz w:val="9"/>
                <w:szCs w:val="9"/>
                <w:color w:val="auto"/>
              </w:rPr>
            </w:pPr>
          </w:p>
        </w:tc>
        <w:tc>
          <w:tcPr>
            <w:tcW w:w="1120" w:type="dxa"/>
            <w:vAlign w:val="bottom"/>
            <w:tcBorders>
              <w:bottom w:val="single" w:sz="8" w:color="ECEBEB"/>
            </w:tcBorders>
            <w:vMerge w:val="restart"/>
            <w:shd w:val="clear" w:color="auto" w:fill="ECEBEB"/>
          </w:tcPr>
          <w:p>
            <w:pPr>
              <w:jc w:val="right"/>
              <w:ind w:right="2"/>
              <w:spacing w:after="0"/>
              <w:rPr>
                <w:sz w:val="20"/>
                <w:szCs w:val="20"/>
                <w:color w:val="auto"/>
              </w:rPr>
            </w:pPr>
            <w:r>
              <w:rPr>
                <w:rFonts w:ascii="Arial" w:cs="Arial" w:eastAsia="Arial" w:hAnsi="Arial"/>
                <w:sz w:val="14"/>
                <w:szCs w:val="14"/>
                <w:b w:val="1"/>
                <w:bCs w:val="1"/>
                <w:color w:val="auto"/>
              </w:rPr>
              <w:t>Base</w:t>
            </w:r>
          </w:p>
        </w:tc>
        <w:tc>
          <w:tcPr>
            <w:tcW w:w="620" w:type="dxa"/>
            <w:vAlign w:val="bottom"/>
            <w:tcBorders>
              <w:bottom w:val="single" w:sz="8" w:color="ECEBEB"/>
            </w:tcBorders>
            <w:shd w:val="clear" w:color="auto" w:fill="ECEBEB"/>
          </w:tcPr>
          <w:p>
            <w:pPr>
              <w:spacing w:after="0"/>
              <w:rPr>
                <w:sz w:val="9"/>
                <w:szCs w:val="9"/>
                <w:color w:val="auto"/>
              </w:rPr>
            </w:pPr>
          </w:p>
        </w:tc>
        <w:tc>
          <w:tcPr>
            <w:tcW w:w="1000" w:type="dxa"/>
            <w:vAlign w:val="bottom"/>
            <w:tcBorders>
              <w:bottom w:val="single" w:sz="8" w:color="ECEBEB"/>
            </w:tcBorders>
            <w:shd w:val="clear" w:color="auto" w:fill="ECEBEB"/>
          </w:tcPr>
          <w:p>
            <w:pPr>
              <w:spacing w:after="0"/>
              <w:rPr>
                <w:sz w:val="9"/>
                <w:szCs w:val="9"/>
                <w:color w:val="auto"/>
              </w:rPr>
            </w:pPr>
          </w:p>
        </w:tc>
        <w:tc>
          <w:tcPr>
            <w:tcW w:w="1100" w:type="dxa"/>
            <w:vAlign w:val="bottom"/>
            <w:tcBorders>
              <w:bottom w:val="single" w:sz="8" w:color="ECEBEB"/>
            </w:tcBorders>
            <w:vMerge w:val="restart"/>
            <w:shd w:val="clear" w:color="auto" w:fill="ECEBEB"/>
          </w:tcPr>
          <w:p>
            <w:pPr>
              <w:jc w:val="right"/>
              <w:spacing w:after="0"/>
              <w:rPr>
                <w:sz w:val="20"/>
                <w:szCs w:val="20"/>
                <w:color w:val="auto"/>
              </w:rPr>
            </w:pPr>
            <w:r>
              <w:rPr>
                <w:rFonts w:ascii="Arial" w:cs="Arial" w:eastAsia="Arial" w:hAnsi="Arial"/>
                <w:sz w:val="14"/>
                <w:szCs w:val="14"/>
                <w:b w:val="1"/>
                <w:bCs w:val="1"/>
                <w:color w:val="auto"/>
              </w:rPr>
              <w:t>Cash</w:t>
            </w:r>
          </w:p>
        </w:tc>
        <w:tc>
          <w:tcPr>
            <w:tcW w:w="40" w:type="dxa"/>
            <w:vAlign w:val="bottom"/>
            <w:tcBorders>
              <w:bottom w:val="single" w:sz="8" w:color="ECEBEB"/>
            </w:tcBorders>
            <w:shd w:val="clear" w:color="auto" w:fill="ECEBEB"/>
          </w:tcPr>
          <w:p>
            <w:pPr>
              <w:spacing w:after="0"/>
              <w:rPr>
                <w:sz w:val="9"/>
                <w:szCs w:val="9"/>
                <w:color w:val="auto"/>
              </w:rPr>
            </w:pPr>
          </w:p>
        </w:tc>
        <w:tc>
          <w:tcPr>
            <w:tcW w:w="1200" w:type="dxa"/>
            <w:vAlign w:val="bottom"/>
            <w:tcBorders>
              <w:bottom w:val="single" w:sz="8" w:color="0956FF"/>
            </w:tcBorders>
            <w:vMerge w:val="continue"/>
            <w:shd w:val="clear" w:color="auto" w:fill="ECEBEB"/>
          </w:tcPr>
          <w:p>
            <w:pPr>
              <w:spacing w:after="0"/>
              <w:rPr>
                <w:sz w:val="9"/>
                <w:szCs w:val="9"/>
                <w:color w:val="auto"/>
              </w:rPr>
            </w:pPr>
          </w:p>
        </w:tc>
        <w:tc>
          <w:tcPr>
            <w:tcW w:w="880" w:type="dxa"/>
            <w:vAlign w:val="bottom"/>
            <w:tcBorders>
              <w:bottom w:val="single" w:sz="8" w:color="0956FF"/>
            </w:tcBorders>
            <w:shd w:val="clear" w:color="auto" w:fill="ECEBEB"/>
          </w:tcPr>
          <w:p>
            <w:pPr>
              <w:spacing w:after="0"/>
              <w:rPr>
                <w:sz w:val="9"/>
                <w:szCs w:val="9"/>
                <w:color w:val="auto"/>
              </w:rPr>
            </w:pPr>
          </w:p>
        </w:tc>
        <w:tc>
          <w:tcPr>
            <w:tcW w:w="60" w:type="dxa"/>
            <w:vAlign w:val="bottom"/>
            <w:tcBorders>
              <w:bottom w:val="single" w:sz="8" w:color="ECEBEB"/>
            </w:tcBorders>
            <w:shd w:val="clear" w:color="auto" w:fill="ECEBEB"/>
          </w:tcPr>
          <w:p>
            <w:pPr>
              <w:spacing w:after="0"/>
              <w:rPr>
                <w:sz w:val="9"/>
                <w:szCs w:val="9"/>
                <w:color w:val="auto"/>
              </w:rPr>
            </w:pPr>
          </w:p>
        </w:tc>
        <w:tc>
          <w:tcPr>
            <w:tcW w:w="1080" w:type="dxa"/>
            <w:vAlign w:val="bottom"/>
            <w:tcBorders>
              <w:bottom w:val="single" w:sz="8" w:color="ECEBEB"/>
            </w:tcBorders>
            <w:vMerge w:val="restart"/>
            <w:shd w:val="clear" w:color="auto" w:fill="ECEBEB"/>
          </w:tcPr>
          <w:p>
            <w:pPr>
              <w:jc w:val="right"/>
              <w:spacing w:after="0"/>
              <w:rPr>
                <w:sz w:val="20"/>
                <w:szCs w:val="20"/>
                <w:color w:val="auto"/>
              </w:rPr>
            </w:pPr>
            <w:r>
              <w:rPr>
                <w:rFonts w:ascii="Arial" w:cs="Arial" w:eastAsia="Arial" w:hAnsi="Arial"/>
                <w:sz w:val="14"/>
                <w:szCs w:val="14"/>
                <w:b w:val="1"/>
                <w:bCs w:val="1"/>
                <w:color w:val="auto"/>
              </w:rPr>
              <w:t>Direct</w:t>
            </w:r>
          </w:p>
        </w:tc>
        <w:tc>
          <w:tcPr>
            <w:tcW w:w="0" w:type="dxa"/>
            <w:vAlign w:val="bottom"/>
          </w:tcPr>
          <w:p>
            <w:pPr>
              <w:spacing w:after="0"/>
              <w:rPr>
                <w:sz w:val="1"/>
                <w:szCs w:val="1"/>
                <w:color w:val="auto"/>
              </w:rPr>
            </w:pPr>
          </w:p>
        </w:tc>
      </w:tr>
      <w:tr>
        <w:trPr>
          <w:trHeight w:val="52"/>
        </w:trPr>
        <w:tc>
          <w:tcPr>
            <w:tcW w:w="1980" w:type="dxa"/>
            <w:vAlign w:val="bottom"/>
            <w:shd w:val="clear" w:color="auto" w:fill="ECEBEB"/>
          </w:tcPr>
          <w:p>
            <w:pPr>
              <w:spacing w:after="0"/>
              <w:rPr>
                <w:sz w:val="4"/>
                <w:szCs w:val="4"/>
                <w:color w:val="auto"/>
              </w:rPr>
            </w:pPr>
          </w:p>
        </w:tc>
        <w:tc>
          <w:tcPr>
            <w:tcW w:w="1120" w:type="dxa"/>
            <w:vAlign w:val="bottom"/>
            <w:vMerge w:val="continue"/>
            <w:shd w:val="clear" w:color="auto" w:fill="ECEBEB"/>
          </w:tcPr>
          <w:p>
            <w:pPr>
              <w:spacing w:after="0"/>
              <w:rPr>
                <w:sz w:val="4"/>
                <w:szCs w:val="4"/>
                <w:color w:val="auto"/>
              </w:rPr>
            </w:pPr>
          </w:p>
        </w:tc>
        <w:tc>
          <w:tcPr>
            <w:tcW w:w="620" w:type="dxa"/>
            <w:vAlign w:val="bottom"/>
            <w:vMerge w:val="restart"/>
            <w:shd w:val="clear" w:color="auto" w:fill="ECEBEB"/>
          </w:tcPr>
          <w:p>
            <w:pPr>
              <w:jc w:val="right"/>
              <w:ind w:right="2"/>
              <w:spacing w:after="0"/>
              <w:rPr>
                <w:sz w:val="20"/>
                <w:szCs w:val="20"/>
                <w:color w:val="auto"/>
              </w:rPr>
            </w:pPr>
            <w:r>
              <w:rPr>
                <w:rFonts w:ascii="Arial" w:cs="Arial" w:eastAsia="Arial" w:hAnsi="Arial"/>
                <w:sz w:val="14"/>
                <w:szCs w:val="14"/>
                <w:b w:val="1"/>
                <w:bCs w:val="1"/>
                <w:color w:val="auto"/>
              </w:rPr>
              <w:t>STIP</w:t>
            </w:r>
          </w:p>
        </w:tc>
        <w:tc>
          <w:tcPr>
            <w:tcW w:w="1000" w:type="dxa"/>
            <w:vAlign w:val="bottom"/>
            <w:shd w:val="clear" w:color="auto" w:fill="ECEBEB"/>
          </w:tcPr>
          <w:p>
            <w:pPr>
              <w:spacing w:after="0"/>
              <w:rPr>
                <w:sz w:val="4"/>
                <w:szCs w:val="4"/>
                <w:color w:val="auto"/>
              </w:rPr>
            </w:pPr>
          </w:p>
        </w:tc>
        <w:tc>
          <w:tcPr>
            <w:tcW w:w="1100" w:type="dxa"/>
            <w:vAlign w:val="bottom"/>
            <w:vMerge w:val="continue"/>
            <w:shd w:val="clear" w:color="auto" w:fill="ECEBEB"/>
          </w:tcPr>
          <w:p>
            <w:pPr>
              <w:spacing w:after="0"/>
              <w:rPr>
                <w:sz w:val="4"/>
                <w:szCs w:val="4"/>
                <w:color w:val="auto"/>
              </w:rPr>
            </w:pPr>
          </w:p>
        </w:tc>
        <w:tc>
          <w:tcPr>
            <w:tcW w:w="40" w:type="dxa"/>
            <w:vAlign w:val="bottom"/>
            <w:shd w:val="clear" w:color="auto" w:fill="ECEBEB"/>
          </w:tcPr>
          <w:p>
            <w:pPr>
              <w:spacing w:after="0"/>
              <w:rPr>
                <w:sz w:val="4"/>
                <w:szCs w:val="4"/>
                <w:color w:val="auto"/>
              </w:rPr>
            </w:pPr>
          </w:p>
        </w:tc>
        <w:tc>
          <w:tcPr>
            <w:tcW w:w="1200" w:type="dxa"/>
            <w:vAlign w:val="bottom"/>
            <w:vMerge w:val="restart"/>
            <w:shd w:val="clear" w:color="auto" w:fill="ECEBEB"/>
          </w:tcPr>
          <w:p>
            <w:pPr>
              <w:jc w:val="right"/>
              <w:ind w:right="128"/>
              <w:spacing w:after="0"/>
              <w:rPr>
                <w:sz w:val="20"/>
                <w:szCs w:val="20"/>
                <w:color w:val="auto"/>
              </w:rPr>
            </w:pPr>
            <w:r>
              <w:rPr>
                <w:rFonts w:ascii="Arial" w:cs="Arial" w:eastAsia="Arial" w:hAnsi="Arial"/>
                <w:sz w:val="14"/>
                <w:szCs w:val="14"/>
                <w:b w:val="1"/>
                <w:bCs w:val="1"/>
                <w:color w:val="auto"/>
              </w:rPr>
              <w:t>PSUs</w:t>
            </w:r>
            <w:r>
              <w:rPr>
                <w:rFonts w:ascii="Arial" w:cs="Arial" w:eastAsia="Arial" w:hAnsi="Arial"/>
                <w:sz w:val="18"/>
                <w:szCs w:val="18"/>
                <w:b w:val="1"/>
                <w:bCs w:val="1"/>
                <w:color w:val="auto"/>
                <w:vertAlign w:val="superscript"/>
              </w:rPr>
              <w:t>(1)</w:t>
            </w:r>
          </w:p>
        </w:tc>
        <w:tc>
          <w:tcPr>
            <w:tcW w:w="940" w:type="dxa"/>
            <w:vAlign w:val="bottom"/>
            <w:gridSpan w:val="2"/>
            <w:vMerge w:val="restart"/>
            <w:shd w:val="clear" w:color="auto" w:fill="ECEBEB"/>
          </w:tcPr>
          <w:p>
            <w:pPr>
              <w:ind w:left="460"/>
              <w:spacing w:after="0"/>
              <w:rPr>
                <w:sz w:val="20"/>
                <w:szCs w:val="20"/>
                <w:color w:val="auto"/>
              </w:rPr>
            </w:pPr>
            <w:r>
              <w:rPr>
                <w:rFonts w:ascii="Arial" w:cs="Arial" w:eastAsia="Arial" w:hAnsi="Arial"/>
                <w:sz w:val="14"/>
                <w:szCs w:val="14"/>
                <w:b w:val="1"/>
                <w:bCs w:val="1"/>
                <w:color w:val="auto"/>
              </w:rPr>
              <w:t>RSUs</w:t>
            </w:r>
          </w:p>
        </w:tc>
        <w:tc>
          <w:tcPr>
            <w:tcW w:w="1080" w:type="dxa"/>
            <w:vAlign w:val="bottom"/>
            <w:vMerge w:val="continue"/>
            <w:shd w:val="clear" w:color="auto" w:fill="ECEBEB"/>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ECEBEB"/>
          </w:tcPr>
          <w:p>
            <w:pPr>
              <w:spacing w:after="0"/>
              <w:rPr>
                <w:sz w:val="14"/>
                <w:szCs w:val="14"/>
                <w:color w:val="auto"/>
              </w:rPr>
            </w:pPr>
          </w:p>
        </w:tc>
        <w:tc>
          <w:tcPr>
            <w:tcW w:w="1120" w:type="dxa"/>
            <w:vAlign w:val="bottom"/>
            <w:shd w:val="clear" w:color="auto" w:fill="ECEBEB"/>
          </w:tcPr>
          <w:p>
            <w:pPr>
              <w:jc w:val="right"/>
              <w:ind w:right="22"/>
              <w:spacing w:after="0"/>
              <w:rPr>
                <w:sz w:val="20"/>
                <w:szCs w:val="20"/>
                <w:color w:val="auto"/>
              </w:rPr>
            </w:pPr>
            <w:r>
              <w:rPr>
                <w:rFonts w:ascii="Arial" w:cs="Arial" w:eastAsia="Arial" w:hAnsi="Arial"/>
                <w:sz w:val="14"/>
                <w:szCs w:val="14"/>
                <w:b w:val="1"/>
                <w:bCs w:val="1"/>
                <w:color w:val="auto"/>
              </w:rPr>
              <w:t>Salary</w:t>
            </w:r>
          </w:p>
        </w:tc>
        <w:tc>
          <w:tcPr>
            <w:tcW w:w="620" w:type="dxa"/>
            <w:vAlign w:val="bottom"/>
            <w:vMerge w:val="continue"/>
            <w:shd w:val="clear" w:color="auto" w:fill="ECEBEB"/>
          </w:tcPr>
          <w:p>
            <w:pPr>
              <w:spacing w:after="0"/>
              <w:rPr>
                <w:sz w:val="14"/>
                <w:szCs w:val="14"/>
                <w:color w:val="auto"/>
              </w:rPr>
            </w:pPr>
          </w:p>
        </w:tc>
        <w:tc>
          <w:tcPr>
            <w:tcW w:w="1000" w:type="dxa"/>
            <w:vAlign w:val="bottom"/>
            <w:shd w:val="clear" w:color="auto" w:fill="ECEBEB"/>
          </w:tcPr>
          <w:p>
            <w:pPr>
              <w:jc w:val="right"/>
              <w:ind w:right="22"/>
              <w:spacing w:after="0"/>
              <w:rPr>
                <w:sz w:val="20"/>
                <w:szCs w:val="20"/>
                <w:color w:val="auto"/>
              </w:rPr>
            </w:pPr>
            <w:r>
              <w:rPr>
                <w:rFonts w:ascii="Arial" w:cs="Arial" w:eastAsia="Arial" w:hAnsi="Arial"/>
                <w:sz w:val="14"/>
                <w:szCs w:val="14"/>
                <w:b w:val="1"/>
                <w:bCs w:val="1"/>
                <w:color w:val="auto"/>
              </w:rPr>
              <w:t>STIP</w:t>
            </w:r>
          </w:p>
        </w:tc>
        <w:tc>
          <w:tcPr>
            <w:tcW w:w="110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Compensation</w:t>
            </w:r>
          </w:p>
        </w:tc>
        <w:tc>
          <w:tcPr>
            <w:tcW w:w="40" w:type="dxa"/>
            <w:vAlign w:val="bottom"/>
            <w:shd w:val="clear" w:color="auto" w:fill="ECEBEB"/>
          </w:tcPr>
          <w:p>
            <w:pPr>
              <w:spacing w:after="0"/>
              <w:rPr>
                <w:sz w:val="14"/>
                <w:szCs w:val="14"/>
                <w:color w:val="auto"/>
              </w:rPr>
            </w:pPr>
          </w:p>
        </w:tc>
        <w:tc>
          <w:tcPr>
            <w:tcW w:w="1200" w:type="dxa"/>
            <w:vAlign w:val="bottom"/>
            <w:vMerge w:val="continue"/>
            <w:shd w:val="clear" w:color="auto" w:fill="ECEBEB"/>
          </w:tcPr>
          <w:p>
            <w:pPr>
              <w:spacing w:after="0"/>
              <w:rPr>
                <w:sz w:val="14"/>
                <w:szCs w:val="14"/>
                <w:color w:val="auto"/>
              </w:rPr>
            </w:pPr>
          </w:p>
        </w:tc>
        <w:tc>
          <w:tcPr>
            <w:tcW w:w="940" w:type="dxa"/>
            <w:vAlign w:val="bottom"/>
            <w:gridSpan w:val="2"/>
            <w:vMerge w:val="continue"/>
            <w:shd w:val="clear" w:color="auto" w:fill="ECEBEB"/>
          </w:tcPr>
          <w:p>
            <w:pPr>
              <w:spacing w:after="0"/>
              <w:rPr>
                <w:sz w:val="14"/>
                <w:szCs w:val="14"/>
                <w:color w:val="auto"/>
              </w:rPr>
            </w:pPr>
          </w:p>
        </w:tc>
        <w:tc>
          <w:tcPr>
            <w:tcW w:w="108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Name</w:t>
            </w:r>
          </w:p>
        </w:tc>
        <w:tc>
          <w:tcPr>
            <w:tcW w:w="1120" w:type="dxa"/>
            <w:vAlign w:val="bottom"/>
            <w:tcBorders>
              <w:bottom w:val="single" w:sz="8" w:color="0956FF"/>
            </w:tcBorders>
            <w:shd w:val="clear" w:color="auto" w:fill="ECEBEB"/>
          </w:tcPr>
          <w:p>
            <w:pPr>
              <w:jc w:val="right"/>
              <w:ind w:right="22"/>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0956FF"/>
            </w:tcBorders>
            <w:shd w:val="clear" w:color="auto" w:fill="ECEBEB"/>
          </w:tcPr>
          <w:p>
            <w:pPr>
              <w:jc w:val="right"/>
              <w:ind w:right="2"/>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956FF"/>
            </w:tcBorders>
            <w:shd w:val="clear" w:color="auto" w:fill="ECEBEB"/>
          </w:tcPr>
          <w:p>
            <w:pPr>
              <w:jc w:val="right"/>
              <w:ind w:right="22"/>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956FF"/>
            </w:tcBorders>
            <w:shd w:val="clear" w:color="auto" w:fill="ECEBEB"/>
          </w:tcPr>
          <w:p>
            <w:pPr>
              <w:jc w:val="right"/>
              <w:ind w:right="3"/>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0956FF"/>
            </w:tcBorders>
            <w:shd w:val="clear" w:color="auto" w:fill="ECEBEB"/>
          </w:tcPr>
          <w:p>
            <w:pPr>
              <w:spacing w:after="0"/>
              <w:rPr>
                <w:sz w:val="16"/>
                <w:szCs w:val="16"/>
                <w:color w:val="auto"/>
              </w:rPr>
            </w:pPr>
          </w:p>
        </w:tc>
        <w:tc>
          <w:tcPr>
            <w:tcW w:w="1200" w:type="dxa"/>
            <w:vAlign w:val="bottom"/>
            <w:tcBorders>
              <w:bottom w:val="single" w:sz="8" w:color="0956FF"/>
            </w:tcBorders>
            <w:shd w:val="clear" w:color="auto" w:fill="ECEBEB"/>
          </w:tcPr>
          <w:p>
            <w:pPr>
              <w:jc w:val="right"/>
              <w:ind w:right="1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0956FF"/>
            </w:tcBorders>
            <w:shd w:val="clear" w:color="auto" w:fill="ECEBEB"/>
          </w:tcPr>
          <w:p>
            <w:pPr>
              <w:spacing w:after="0"/>
              <w:rPr>
                <w:sz w:val="16"/>
                <w:szCs w:val="16"/>
                <w:color w:val="auto"/>
              </w:rPr>
            </w:pPr>
          </w:p>
        </w:tc>
        <w:tc>
          <w:tcPr>
            <w:tcW w:w="108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Mary T. Barra</w:t>
            </w:r>
          </w:p>
        </w:tc>
        <w:tc>
          <w:tcPr>
            <w:tcW w:w="1120" w:type="dxa"/>
            <w:vAlign w:val="bottom"/>
            <w:tcBorders>
              <w:bottom w:val="single" w:sz="8" w:color="D8D7D7"/>
            </w:tcBorders>
          </w:tcPr>
          <w:p>
            <w:pPr>
              <w:jc w:val="right"/>
              <w:ind w:right="82"/>
              <w:spacing w:after="0"/>
              <w:rPr>
                <w:sz w:val="20"/>
                <w:szCs w:val="20"/>
                <w:color w:val="auto"/>
              </w:rPr>
            </w:pPr>
            <w:r>
              <w:rPr>
                <w:rFonts w:ascii="Arial" w:cs="Arial" w:eastAsia="Arial" w:hAnsi="Arial"/>
                <w:sz w:val="16"/>
                <w:szCs w:val="16"/>
                <w:color w:val="auto"/>
              </w:rPr>
              <w:t>2,100,000</w:t>
            </w:r>
          </w:p>
        </w:tc>
        <w:tc>
          <w:tcPr>
            <w:tcW w:w="620" w:type="dxa"/>
            <w:vAlign w:val="bottom"/>
            <w:tcBorders>
              <w:bottom w:val="single" w:sz="8" w:color="D8D7D7"/>
            </w:tcBorders>
          </w:tcPr>
          <w:p>
            <w:pPr>
              <w:jc w:val="right"/>
              <w:ind w:right="42"/>
              <w:spacing w:after="0"/>
              <w:rPr>
                <w:sz w:val="20"/>
                <w:szCs w:val="20"/>
                <w:color w:val="auto"/>
              </w:rPr>
            </w:pPr>
            <w:r>
              <w:rPr>
                <w:rFonts w:ascii="Arial" w:cs="Arial" w:eastAsia="Arial" w:hAnsi="Arial"/>
                <w:sz w:val="16"/>
                <w:szCs w:val="16"/>
                <w:color w:val="auto"/>
              </w:rPr>
              <w:t>200%</w:t>
            </w:r>
          </w:p>
        </w:tc>
        <w:tc>
          <w:tcPr>
            <w:tcW w:w="1000" w:type="dxa"/>
            <w:vAlign w:val="bottom"/>
            <w:tcBorders>
              <w:bottom w:val="single" w:sz="8" w:color="D8D7D7"/>
            </w:tcBorders>
          </w:tcPr>
          <w:p>
            <w:pPr>
              <w:jc w:val="right"/>
              <w:ind w:right="122"/>
              <w:spacing w:after="0"/>
              <w:rPr>
                <w:sz w:val="20"/>
                <w:szCs w:val="20"/>
                <w:color w:val="auto"/>
              </w:rPr>
            </w:pPr>
            <w:r>
              <w:rPr>
                <w:rFonts w:ascii="Arial" w:cs="Arial" w:eastAsia="Arial" w:hAnsi="Arial"/>
                <w:sz w:val="16"/>
                <w:szCs w:val="16"/>
                <w:color w:val="auto"/>
              </w:rPr>
              <w:t>4,200,000</w:t>
            </w:r>
          </w:p>
        </w:tc>
        <w:tc>
          <w:tcPr>
            <w:tcW w:w="1100" w:type="dxa"/>
            <w:vAlign w:val="bottom"/>
            <w:tcBorders>
              <w:bottom w:val="single" w:sz="8" w:color="D8D7D7"/>
            </w:tcBorders>
          </w:tcPr>
          <w:p>
            <w:pPr>
              <w:jc w:val="center"/>
              <w:ind w:left="23"/>
              <w:spacing w:after="0"/>
              <w:rPr>
                <w:sz w:val="20"/>
                <w:szCs w:val="20"/>
                <w:color w:val="auto"/>
              </w:rPr>
            </w:pPr>
            <w:r>
              <w:rPr>
                <w:rFonts w:ascii="Arial" w:cs="Arial" w:eastAsia="Arial" w:hAnsi="Arial"/>
                <w:sz w:val="16"/>
                <w:szCs w:val="16"/>
                <w:color w:val="auto"/>
              </w:rPr>
              <w:t>6,300,000</w:t>
            </w:r>
          </w:p>
        </w:tc>
        <w:tc>
          <w:tcPr>
            <w:tcW w:w="1240" w:type="dxa"/>
            <w:vAlign w:val="bottom"/>
            <w:tcBorders>
              <w:bottom w:val="single" w:sz="8" w:color="D8D7D7"/>
            </w:tcBorders>
            <w:gridSpan w:val="2"/>
          </w:tcPr>
          <w:p>
            <w:pPr>
              <w:jc w:val="right"/>
              <w:ind w:right="188"/>
              <w:spacing w:after="0"/>
              <w:rPr>
                <w:sz w:val="20"/>
                <w:szCs w:val="20"/>
                <w:color w:val="auto"/>
              </w:rPr>
            </w:pPr>
            <w:r>
              <w:rPr>
                <w:rFonts w:ascii="Arial" w:cs="Arial" w:eastAsia="Arial" w:hAnsi="Arial"/>
                <w:sz w:val="16"/>
                <w:szCs w:val="16"/>
                <w:color w:val="auto"/>
              </w:rPr>
              <w:t>15,750,000</w:t>
            </w:r>
          </w:p>
        </w:tc>
        <w:tc>
          <w:tcPr>
            <w:tcW w:w="880" w:type="dxa"/>
            <w:vAlign w:val="bottom"/>
            <w:tcBorders>
              <w:bottom w:val="single" w:sz="8" w:color="D8D7D7"/>
            </w:tcBorders>
          </w:tcPr>
          <w:p>
            <w:pPr>
              <w:jc w:val="right"/>
              <w:ind w:right="62"/>
              <w:spacing w:after="0"/>
              <w:rPr>
                <w:sz w:val="20"/>
                <w:szCs w:val="20"/>
                <w:color w:val="auto"/>
              </w:rPr>
            </w:pPr>
            <w:r>
              <w:rPr>
                <w:rFonts w:ascii="Arial" w:cs="Arial" w:eastAsia="Arial" w:hAnsi="Arial"/>
                <w:sz w:val="16"/>
                <w:szCs w:val="16"/>
                <w:color w:val="auto"/>
              </w:rPr>
              <w:t>5,250,000</w:t>
            </w:r>
          </w:p>
        </w:tc>
        <w:tc>
          <w:tcPr>
            <w:tcW w:w="60" w:type="dxa"/>
            <w:vAlign w:val="bottom"/>
            <w:tcBorders>
              <w:bottom w:val="single" w:sz="8" w:color="D8D7D7"/>
            </w:tcBorders>
          </w:tcPr>
          <w:p>
            <w:pPr>
              <w:spacing w:after="0"/>
              <w:rPr>
                <w:sz w:val="21"/>
                <w:szCs w:val="21"/>
                <w:color w:val="auto"/>
              </w:rPr>
            </w:pPr>
          </w:p>
        </w:tc>
        <w:tc>
          <w:tcPr>
            <w:tcW w:w="1080" w:type="dxa"/>
            <w:vAlign w:val="bottom"/>
            <w:tcBorders>
              <w:bottom w:val="single" w:sz="8" w:color="D8D7D7"/>
            </w:tcBorders>
          </w:tcPr>
          <w:p>
            <w:pPr>
              <w:jc w:val="right"/>
              <w:ind w:right="63"/>
              <w:spacing w:after="0"/>
              <w:rPr>
                <w:sz w:val="20"/>
                <w:szCs w:val="20"/>
                <w:color w:val="auto"/>
              </w:rPr>
            </w:pPr>
            <w:r>
              <w:rPr>
                <w:rFonts w:ascii="Arial" w:cs="Arial" w:eastAsia="Arial" w:hAnsi="Arial"/>
                <w:sz w:val="16"/>
                <w:szCs w:val="16"/>
                <w:color w:val="auto"/>
              </w:rPr>
              <w:t>27,300,000</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Paul A. Jacobson</w:t>
            </w:r>
          </w:p>
        </w:tc>
        <w:tc>
          <w:tcPr>
            <w:tcW w:w="1120" w:type="dxa"/>
            <w:vAlign w:val="bottom"/>
            <w:tcBorders>
              <w:bottom w:val="single" w:sz="8" w:color="D8D7D7"/>
            </w:tcBorders>
          </w:tcPr>
          <w:p>
            <w:pPr>
              <w:jc w:val="right"/>
              <w:ind w:right="82"/>
              <w:spacing w:after="0"/>
              <w:rPr>
                <w:sz w:val="20"/>
                <w:szCs w:val="20"/>
                <w:color w:val="auto"/>
              </w:rPr>
            </w:pPr>
            <w:r>
              <w:rPr>
                <w:rFonts w:ascii="Arial" w:cs="Arial" w:eastAsia="Arial" w:hAnsi="Arial"/>
                <w:sz w:val="16"/>
                <w:szCs w:val="16"/>
                <w:color w:val="auto"/>
              </w:rPr>
              <w:t>1,200,000</w:t>
            </w:r>
          </w:p>
        </w:tc>
        <w:tc>
          <w:tcPr>
            <w:tcW w:w="620" w:type="dxa"/>
            <w:vAlign w:val="bottom"/>
            <w:tcBorders>
              <w:bottom w:val="single" w:sz="8" w:color="D8D7D7"/>
            </w:tcBorders>
          </w:tcPr>
          <w:p>
            <w:pPr>
              <w:jc w:val="right"/>
              <w:ind w:right="2"/>
              <w:spacing w:after="0"/>
              <w:rPr>
                <w:sz w:val="20"/>
                <w:szCs w:val="20"/>
                <w:color w:val="auto"/>
              </w:rPr>
            </w:pPr>
            <w:r>
              <w:rPr>
                <w:rFonts w:ascii="Arial" w:cs="Arial" w:eastAsia="Arial" w:hAnsi="Arial"/>
                <w:sz w:val="16"/>
                <w:szCs w:val="16"/>
                <w:color w:val="auto"/>
              </w:rPr>
              <w:t>125%</w:t>
            </w:r>
          </w:p>
        </w:tc>
        <w:tc>
          <w:tcPr>
            <w:tcW w:w="1000" w:type="dxa"/>
            <w:vAlign w:val="bottom"/>
            <w:tcBorders>
              <w:bottom w:val="single" w:sz="8" w:color="D8D7D7"/>
            </w:tcBorders>
          </w:tcPr>
          <w:p>
            <w:pPr>
              <w:jc w:val="right"/>
              <w:ind w:right="82"/>
              <w:spacing w:after="0"/>
              <w:rPr>
                <w:sz w:val="20"/>
                <w:szCs w:val="20"/>
                <w:color w:val="auto"/>
              </w:rPr>
            </w:pPr>
            <w:r>
              <w:rPr>
                <w:rFonts w:ascii="Arial" w:cs="Arial" w:eastAsia="Arial" w:hAnsi="Arial"/>
                <w:sz w:val="16"/>
                <w:szCs w:val="16"/>
                <w:color w:val="auto"/>
              </w:rPr>
              <w:t>1,500,000</w:t>
            </w:r>
          </w:p>
        </w:tc>
        <w:tc>
          <w:tcPr>
            <w:tcW w:w="1100" w:type="dxa"/>
            <w:vAlign w:val="bottom"/>
            <w:tcBorders>
              <w:bottom w:val="single" w:sz="8" w:color="D8D7D7"/>
            </w:tcBorders>
          </w:tcPr>
          <w:p>
            <w:pPr>
              <w:jc w:val="center"/>
              <w:ind w:left="23"/>
              <w:spacing w:after="0"/>
              <w:rPr>
                <w:sz w:val="20"/>
                <w:szCs w:val="20"/>
                <w:color w:val="auto"/>
              </w:rPr>
            </w:pPr>
            <w:r>
              <w:rPr>
                <w:rFonts w:ascii="Arial" w:cs="Arial" w:eastAsia="Arial" w:hAnsi="Arial"/>
                <w:sz w:val="16"/>
                <w:szCs w:val="16"/>
                <w:color w:val="auto"/>
              </w:rPr>
              <w:t>2,700,000</w:t>
            </w:r>
          </w:p>
        </w:tc>
        <w:tc>
          <w:tcPr>
            <w:tcW w:w="1240" w:type="dxa"/>
            <w:vAlign w:val="bottom"/>
            <w:tcBorders>
              <w:bottom w:val="single" w:sz="8" w:color="D8D7D7"/>
            </w:tcBorders>
            <w:gridSpan w:val="2"/>
          </w:tcPr>
          <w:p>
            <w:pPr>
              <w:jc w:val="right"/>
              <w:ind w:right="188"/>
              <w:spacing w:after="0"/>
              <w:rPr>
                <w:sz w:val="20"/>
                <w:szCs w:val="20"/>
                <w:color w:val="auto"/>
              </w:rPr>
            </w:pPr>
            <w:r>
              <w:rPr>
                <w:rFonts w:ascii="Arial" w:cs="Arial" w:eastAsia="Arial" w:hAnsi="Arial"/>
                <w:sz w:val="16"/>
                <w:szCs w:val="16"/>
                <w:color w:val="auto"/>
              </w:rPr>
              <w:t>7,725,000</w:t>
            </w:r>
          </w:p>
        </w:tc>
        <w:tc>
          <w:tcPr>
            <w:tcW w:w="880" w:type="dxa"/>
            <w:vAlign w:val="bottom"/>
            <w:tcBorders>
              <w:bottom w:val="single" w:sz="8" w:color="D8D7D7"/>
            </w:tcBorders>
          </w:tcPr>
          <w:p>
            <w:pPr>
              <w:jc w:val="right"/>
              <w:ind w:right="42"/>
              <w:spacing w:after="0"/>
              <w:rPr>
                <w:sz w:val="20"/>
                <w:szCs w:val="20"/>
                <w:color w:val="auto"/>
              </w:rPr>
            </w:pPr>
            <w:r>
              <w:rPr>
                <w:rFonts w:ascii="Arial" w:cs="Arial" w:eastAsia="Arial" w:hAnsi="Arial"/>
                <w:sz w:val="16"/>
                <w:szCs w:val="16"/>
                <w:color w:val="auto"/>
              </w:rPr>
              <w:t>2,575,000</w:t>
            </w:r>
          </w:p>
        </w:tc>
        <w:tc>
          <w:tcPr>
            <w:tcW w:w="60" w:type="dxa"/>
            <w:vAlign w:val="bottom"/>
            <w:tcBorders>
              <w:bottom w:val="single" w:sz="8" w:color="D8D7D7"/>
            </w:tcBorders>
          </w:tcPr>
          <w:p>
            <w:pPr>
              <w:spacing w:after="0"/>
              <w:rPr>
                <w:sz w:val="21"/>
                <w:szCs w:val="21"/>
                <w:color w:val="auto"/>
              </w:rPr>
            </w:pPr>
          </w:p>
        </w:tc>
        <w:tc>
          <w:tcPr>
            <w:tcW w:w="1080" w:type="dxa"/>
            <w:vAlign w:val="bottom"/>
            <w:tcBorders>
              <w:bottom w:val="single" w:sz="8" w:color="D8D7D7"/>
            </w:tcBorders>
          </w:tcPr>
          <w:p>
            <w:pPr>
              <w:jc w:val="right"/>
              <w:ind w:right="43"/>
              <w:spacing w:after="0"/>
              <w:rPr>
                <w:sz w:val="20"/>
                <w:szCs w:val="20"/>
                <w:color w:val="auto"/>
              </w:rPr>
            </w:pPr>
            <w:r>
              <w:rPr>
                <w:rFonts w:ascii="Arial" w:cs="Arial" w:eastAsia="Arial" w:hAnsi="Arial"/>
                <w:sz w:val="16"/>
                <w:szCs w:val="16"/>
                <w:color w:val="auto"/>
              </w:rPr>
              <w:t>13,000,000</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Mark L. Reuss</w:t>
            </w:r>
          </w:p>
        </w:tc>
        <w:tc>
          <w:tcPr>
            <w:tcW w:w="1120" w:type="dxa"/>
            <w:vAlign w:val="bottom"/>
            <w:tcBorders>
              <w:bottom w:val="single" w:sz="8" w:color="D8D7D7"/>
            </w:tcBorders>
          </w:tcPr>
          <w:p>
            <w:pPr>
              <w:jc w:val="right"/>
              <w:ind w:right="62"/>
              <w:spacing w:after="0"/>
              <w:rPr>
                <w:sz w:val="20"/>
                <w:szCs w:val="20"/>
                <w:color w:val="auto"/>
              </w:rPr>
            </w:pPr>
            <w:r>
              <w:rPr>
                <w:rFonts w:ascii="Arial" w:cs="Arial" w:eastAsia="Arial" w:hAnsi="Arial"/>
                <w:sz w:val="16"/>
                <w:szCs w:val="16"/>
                <w:color w:val="auto"/>
              </w:rPr>
              <w:t>1,350,000</w:t>
            </w:r>
          </w:p>
        </w:tc>
        <w:tc>
          <w:tcPr>
            <w:tcW w:w="620" w:type="dxa"/>
            <w:vAlign w:val="bottom"/>
            <w:tcBorders>
              <w:bottom w:val="single" w:sz="8" w:color="D8D7D7"/>
            </w:tcBorders>
          </w:tcPr>
          <w:p>
            <w:pPr>
              <w:jc w:val="right"/>
              <w:ind w:right="2"/>
              <w:spacing w:after="0"/>
              <w:rPr>
                <w:sz w:val="20"/>
                <w:szCs w:val="20"/>
                <w:color w:val="auto"/>
              </w:rPr>
            </w:pPr>
            <w:r>
              <w:rPr>
                <w:rFonts w:ascii="Arial" w:cs="Arial" w:eastAsia="Arial" w:hAnsi="Arial"/>
                <w:sz w:val="16"/>
                <w:szCs w:val="16"/>
                <w:color w:val="auto"/>
              </w:rPr>
              <w:t>125%</w:t>
            </w:r>
          </w:p>
        </w:tc>
        <w:tc>
          <w:tcPr>
            <w:tcW w:w="1000" w:type="dxa"/>
            <w:vAlign w:val="bottom"/>
            <w:tcBorders>
              <w:bottom w:val="single" w:sz="8" w:color="D8D7D7"/>
            </w:tcBorders>
          </w:tcPr>
          <w:p>
            <w:pPr>
              <w:jc w:val="right"/>
              <w:ind w:right="42"/>
              <w:spacing w:after="0"/>
              <w:rPr>
                <w:sz w:val="20"/>
                <w:szCs w:val="20"/>
                <w:color w:val="auto"/>
              </w:rPr>
            </w:pPr>
            <w:r>
              <w:rPr>
                <w:rFonts w:ascii="Arial" w:cs="Arial" w:eastAsia="Arial" w:hAnsi="Arial"/>
                <w:sz w:val="16"/>
                <w:szCs w:val="16"/>
                <w:color w:val="auto"/>
              </w:rPr>
              <w:t>1,687,500</w:t>
            </w:r>
          </w:p>
        </w:tc>
        <w:tc>
          <w:tcPr>
            <w:tcW w:w="1100" w:type="dxa"/>
            <w:vAlign w:val="bottom"/>
            <w:tcBorders>
              <w:bottom w:val="single" w:sz="8" w:color="D8D7D7"/>
            </w:tcBorders>
          </w:tcPr>
          <w:p>
            <w:pPr>
              <w:jc w:val="center"/>
              <w:ind w:left="63"/>
              <w:spacing w:after="0"/>
              <w:rPr>
                <w:sz w:val="20"/>
                <w:szCs w:val="20"/>
                <w:color w:val="auto"/>
              </w:rPr>
            </w:pPr>
            <w:r>
              <w:rPr>
                <w:rFonts w:ascii="Arial" w:cs="Arial" w:eastAsia="Arial" w:hAnsi="Arial"/>
                <w:sz w:val="16"/>
                <w:szCs w:val="16"/>
                <w:color w:val="auto"/>
              </w:rPr>
              <w:t>3,037,500</w:t>
            </w:r>
          </w:p>
        </w:tc>
        <w:tc>
          <w:tcPr>
            <w:tcW w:w="1240" w:type="dxa"/>
            <w:vAlign w:val="bottom"/>
            <w:tcBorders>
              <w:bottom w:val="single" w:sz="8" w:color="D8D7D7"/>
            </w:tcBorders>
            <w:gridSpan w:val="2"/>
          </w:tcPr>
          <w:p>
            <w:pPr>
              <w:jc w:val="right"/>
              <w:ind w:right="168"/>
              <w:spacing w:after="0"/>
              <w:rPr>
                <w:sz w:val="20"/>
                <w:szCs w:val="20"/>
                <w:color w:val="auto"/>
              </w:rPr>
            </w:pPr>
            <w:r>
              <w:rPr>
                <w:rFonts w:ascii="Arial" w:cs="Arial" w:eastAsia="Arial" w:hAnsi="Arial"/>
                <w:sz w:val="16"/>
                <w:szCs w:val="16"/>
                <w:color w:val="auto"/>
              </w:rPr>
              <w:t>10,846,875</w:t>
            </w:r>
          </w:p>
        </w:tc>
        <w:tc>
          <w:tcPr>
            <w:tcW w:w="88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3,615,625</w:t>
            </w:r>
          </w:p>
        </w:tc>
        <w:tc>
          <w:tcPr>
            <w:tcW w:w="60" w:type="dxa"/>
            <w:vAlign w:val="bottom"/>
            <w:tcBorders>
              <w:bottom w:val="single" w:sz="8" w:color="D8D7D7"/>
            </w:tcBorders>
          </w:tcPr>
          <w:p>
            <w:pPr>
              <w:spacing w:after="0"/>
              <w:rPr>
                <w:sz w:val="21"/>
                <w:szCs w:val="21"/>
                <w:color w:val="auto"/>
              </w:rPr>
            </w:pPr>
          </w:p>
        </w:tc>
        <w:tc>
          <w:tcPr>
            <w:tcW w:w="1080" w:type="dxa"/>
            <w:vAlign w:val="bottom"/>
            <w:tcBorders>
              <w:bottom w:val="single" w:sz="8" w:color="D8D7D7"/>
            </w:tcBorders>
          </w:tcPr>
          <w:p>
            <w:pPr>
              <w:jc w:val="right"/>
              <w:ind w:right="23"/>
              <w:spacing w:after="0"/>
              <w:rPr>
                <w:sz w:val="20"/>
                <w:szCs w:val="20"/>
                <w:color w:val="auto"/>
              </w:rPr>
            </w:pPr>
            <w:r>
              <w:rPr>
                <w:rFonts w:ascii="Arial" w:cs="Arial" w:eastAsia="Arial" w:hAnsi="Arial"/>
                <w:sz w:val="16"/>
                <w:szCs w:val="16"/>
                <w:color w:val="auto"/>
              </w:rPr>
              <w:t>17,500,000</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Sterling J. Anderson</w:t>
            </w:r>
            <w:r>
              <w:rPr>
                <w:rFonts w:ascii="Arial" w:cs="Arial" w:eastAsia="Arial" w:hAnsi="Arial"/>
                <w:sz w:val="21"/>
                <w:szCs w:val="21"/>
                <w:b w:val="1"/>
                <w:bCs w:val="1"/>
                <w:color w:val="0956FF"/>
                <w:vertAlign w:val="superscript"/>
              </w:rPr>
              <w:t>(2)</w:t>
            </w:r>
          </w:p>
        </w:tc>
        <w:tc>
          <w:tcPr>
            <w:tcW w:w="1120" w:type="dxa"/>
            <w:vAlign w:val="bottom"/>
            <w:tcBorders>
              <w:bottom w:val="single" w:sz="8" w:color="D8D7D7"/>
            </w:tcBorders>
          </w:tcPr>
          <w:p>
            <w:pPr>
              <w:jc w:val="right"/>
              <w:ind w:right="82"/>
              <w:spacing w:after="0"/>
              <w:rPr>
                <w:sz w:val="20"/>
                <w:szCs w:val="20"/>
                <w:color w:val="auto"/>
              </w:rPr>
            </w:pPr>
            <w:r>
              <w:rPr>
                <w:rFonts w:ascii="Arial" w:cs="Arial" w:eastAsia="Arial" w:hAnsi="Arial"/>
                <w:sz w:val="16"/>
                <w:szCs w:val="16"/>
                <w:color w:val="auto"/>
              </w:rPr>
              <w:t>1,000,000</w:t>
            </w:r>
          </w:p>
        </w:tc>
        <w:tc>
          <w:tcPr>
            <w:tcW w:w="620" w:type="dxa"/>
            <w:vAlign w:val="bottom"/>
            <w:tcBorders>
              <w:bottom w:val="single" w:sz="8" w:color="D8D7D7"/>
            </w:tcBorders>
          </w:tcPr>
          <w:p>
            <w:pPr>
              <w:jc w:val="right"/>
              <w:ind w:right="2"/>
              <w:spacing w:after="0"/>
              <w:rPr>
                <w:sz w:val="20"/>
                <w:szCs w:val="20"/>
                <w:color w:val="auto"/>
              </w:rPr>
            </w:pPr>
            <w:r>
              <w:rPr>
                <w:rFonts w:ascii="Arial" w:cs="Arial" w:eastAsia="Arial" w:hAnsi="Arial"/>
                <w:sz w:val="16"/>
                <w:szCs w:val="16"/>
                <w:color w:val="auto"/>
              </w:rPr>
              <w:t>125%</w:t>
            </w:r>
          </w:p>
        </w:tc>
        <w:tc>
          <w:tcPr>
            <w:tcW w:w="1000" w:type="dxa"/>
            <w:vAlign w:val="bottom"/>
            <w:tcBorders>
              <w:bottom w:val="single" w:sz="8" w:color="D8D7D7"/>
            </w:tcBorders>
          </w:tcPr>
          <w:p>
            <w:pPr>
              <w:jc w:val="right"/>
              <w:ind w:right="62"/>
              <w:spacing w:after="0"/>
              <w:rPr>
                <w:sz w:val="20"/>
                <w:szCs w:val="20"/>
                <w:color w:val="auto"/>
              </w:rPr>
            </w:pPr>
            <w:r>
              <w:rPr>
                <w:rFonts w:ascii="Arial" w:cs="Arial" w:eastAsia="Arial" w:hAnsi="Arial"/>
                <w:sz w:val="16"/>
                <w:szCs w:val="16"/>
                <w:color w:val="auto"/>
              </w:rPr>
              <w:t>1,250,000</w:t>
            </w:r>
          </w:p>
        </w:tc>
        <w:tc>
          <w:tcPr>
            <w:tcW w:w="1100" w:type="dxa"/>
            <w:vAlign w:val="bottom"/>
            <w:tcBorders>
              <w:bottom w:val="single" w:sz="8" w:color="D8D7D7"/>
            </w:tcBorders>
          </w:tcPr>
          <w:p>
            <w:pPr>
              <w:jc w:val="center"/>
              <w:ind w:left="23"/>
              <w:spacing w:after="0"/>
              <w:rPr>
                <w:sz w:val="20"/>
                <w:szCs w:val="20"/>
                <w:color w:val="auto"/>
              </w:rPr>
            </w:pPr>
            <w:r>
              <w:rPr>
                <w:rFonts w:ascii="Arial" w:cs="Arial" w:eastAsia="Arial" w:hAnsi="Arial"/>
                <w:sz w:val="16"/>
                <w:szCs w:val="16"/>
                <w:color w:val="auto"/>
              </w:rPr>
              <w:t>2,250,000</w:t>
            </w:r>
          </w:p>
        </w:tc>
        <w:tc>
          <w:tcPr>
            <w:tcW w:w="1240" w:type="dxa"/>
            <w:vAlign w:val="bottom"/>
            <w:tcBorders>
              <w:bottom w:val="single" w:sz="8" w:color="D8D7D7"/>
            </w:tcBorders>
            <w:gridSpan w:val="2"/>
          </w:tcPr>
          <w:p>
            <w:pPr>
              <w:jc w:val="right"/>
              <w:ind w:right="148"/>
              <w:spacing w:after="0"/>
              <w:rPr>
                <w:sz w:val="20"/>
                <w:szCs w:val="20"/>
                <w:color w:val="auto"/>
              </w:rPr>
            </w:pPr>
            <w:r>
              <w:rPr>
                <w:rFonts w:ascii="Arial" w:cs="Arial" w:eastAsia="Arial" w:hAnsi="Arial"/>
                <w:sz w:val="16"/>
                <w:szCs w:val="16"/>
                <w:color w:val="auto"/>
              </w:rPr>
              <w:t>10,312,500</w:t>
            </w:r>
          </w:p>
        </w:tc>
        <w:tc>
          <w:tcPr>
            <w:tcW w:w="880" w:type="dxa"/>
            <w:vAlign w:val="bottom"/>
            <w:tcBorders>
              <w:bottom w:val="single" w:sz="8" w:color="D8D7D7"/>
            </w:tcBorders>
          </w:tcPr>
          <w:p>
            <w:pPr>
              <w:jc w:val="right"/>
              <w:ind w:right="42"/>
              <w:spacing w:after="0"/>
              <w:rPr>
                <w:sz w:val="20"/>
                <w:szCs w:val="20"/>
                <w:color w:val="auto"/>
              </w:rPr>
            </w:pPr>
            <w:r>
              <w:rPr>
                <w:rFonts w:ascii="Arial" w:cs="Arial" w:eastAsia="Arial" w:hAnsi="Arial"/>
                <w:sz w:val="16"/>
                <w:szCs w:val="16"/>
                <w:color w:val="auto"/>
              </w:rPr>
              <w:t>3,437,500</w:t>
            </w:r>
          </w:p>
        </w:tc>
        <w:tc>
          <w:tcPr>
            <w:tcW w:w="60" w:type="dxa"/>
            <w:vAlign w:val="bottom"/>
            <w:tcBorders>
              <w:bottom w:val="single" w:sz="8" w:color="D8D7D7"/>
            </w:tcBorders>
          </w:tcPr>
          <w:p>
            <w:pPr>
              <w:spacing w:after="0"/>
              <w:rPr>
                <w:sz w:val="21"/>
                <w:szCs w:val="21"/>
                <w:color w:val="auto"/>
              </w:rPr>
            </w:pPr>
          </w:p>
        </w:tc>
        <w:tc>
          <w:tcPr>
            <w:tcW w:w="1080" w:type="dxa"/>
            <w:vAlign w:val="bottom"/>
            <w:tcBorders>
              <w:bottom w:val="single" w:sz="8" w:color="D8D7D7"/>
            </w:tcBorders>
          </w:tcPr>
          <w:p>
            <w:pPr>
              <w:jc w:val="right"/>
              <w:ind w:right="43"/>
              <w:spacing w:after="0"/>
              <w:rPr>
                <w:sz w:val="20"/>
                <w:szCs w:val="20"/>
                <w:color w:val="auto"/>
              </w:rPr>
            </w:pPr>
            <w:r>
              <w:rPr>
                <w:rFonts w:ascii="Arial" w:cs="Arial" w:eastAsia="Arial" w:hAnsi="Arial"/>
                <w:sz w:val="16"/>
                <w:szCs w:val="16"/>
                <w:color w:val="auto"/>
              </w:rPr>
              <w:t>16,000,000</w:t>
            </w:r>
          </w:p>
        </w:tc>
        <w:tc>
          <w:tcPr>
            <w:tcW w:w="0" w:type="dxa"/>
            <w:vAlign w:val="bottom"/>
          </w:tcPr>
          <w:p>
            <w:pPr>
              <w:spacing w:after="0"/>
              <w:rPr>
                <w:sz w:val="1"/>
                <w:szCs w:val="1"/>
                <w:color w:val="auto"/>
              </w:rPr>
            </w:pPr>
          </w:p>
        </w:tc>
      </w:tr>
      <w:tr>
        <w:trPr>
          <w:trHeight w:val="250"/>
        </w:trPr>
        <w:tc>
          <w:tcPr>
            <w:tcW w:w="198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0956FF"/>
              </w:rPr>
              <w:t>Rory V. Harvey</w:t>
            </w:r>
          </w:p>
        </w:tc>
        <w:tc>
          <w:tcPr>
            <w:tcW w:w="1120" w:type="dxa"/>
            <w:vAlign w:val="bottom"/>
            <w:tcBorders>
              <w:bottom w:val="single" w:sz="8" w:color="0956FF"/>
            </w:tcBorders>
          </w:tcPr>
          <w:p>
            <w:pPr>
              <w:jc w:val="right"/>
              <w:ind w:right="102"/>
              <w:spacing w:after="0"/>
              <w:rPr>
                <w:sz w:val="20"/>
                <w:szCs w:val="20"/>
                <w:color w:val="auto"/>
              </w:rPr>
            </w:pPr>
            <w:r>
              <w:rPr>
                <w:rFonts w:ascii="Arial" w:cs="Arial" w:eastAsia="Arial" w:hAnsi="Arial"/>
                <w:sz w:val="16"/>
                <w:szCs w:val="16"/>
                <w:color w:val="auto"/>
              </w:rPr>
              <w:t>850,000</w:t>
            </w:r>
          </w:p>
        </w:tc>
        <w:tc>
          <w:tcPr>
            <w:tcW w:w="620" w:type="dxa"/>
            <w:vAlign w:val="bottom"/>
            <w:tcBorders>
              <w:bottom w:val="single" w:sz="8" w:color="0956FF"/>
            </w:tcBorders>
          </w:tcPr>
          <w:p>
            <w:pPr>
              <w:jc w:val="right"/>
              <w:ind w:right="2"/>
              <w:spacing w:after="0"/>
              <w:rPr>
                <w:sz w:val="20"/>
                <w:szCs w:val="20"/>
                <w:color w:val="auto"/>
              </w:rPr>
            </w:pPr>
            <w:r>
              <w:rPr>
                <w:rFonts w:ascii="Arial" w:cs="Arial" w:eastAsia="Arial" w:hAnsi="Arial"/>
                <w:sz w:val="16"/>
                <w:szCs w:val="16"/>
                <w:color w:val="auto"/>
              </w:rPr>
              <w:t>125%</w:t>
            </w:r>
          </w:p>
        </w:tc>
        <w:tc>
          <w:tcPr>
            <w:tcW w:w="1000" w:type="dxa"/>
            <w:vAlign w:val="bottom"/>
            <w:tcBorders>
              <w:bottom w:val="single" w:sz="8" w:color="0956FF"/>
            </w:tcBorders>
          </w:tcPr>
          <w:p>
            <w:pPr>
              <w:jc w:val="right"/>
              <w:ind w:right="62"/>
              <w:spacing w:after="0"/>
              <w:rPr>
                <w:sz w:val="20"/>
                <w:szCs w:val="20"/>
                <w:color w:val="auto"/>
              </w:rPr>
            </w:pPr>
            <w:r>
              <w:rPr>
                <w:rFonts w:ascii="Arial" w:cs="Arial" w:eastAsia="Arial" w:hAnsi="Arial"/>
                <w:sz w:val="16"/>
                <w:szCs w:val="16"/>
                <w:color w:val="auto"/>
              </w:rPr>
              <w:t>1,062,500</w:t>
            </w:r>
          </w:p>
        </w:tc>
        <w:tc>
          <w:tcPr>
            <w:tcW w:w="1100" w:type="dxa"/>
            <w:vAlign w:val="bottom"/>
            <w:tcBorders>
              <w:bottom w:val="single" w:sz="8" w:color="0956FF"/>
            </w:tcBorders>
          </w:tcPr>
          <w:p>
            <w:pPr>
              <w:jc w:val="right"/>
              <w:spacing w:after="0"/>
              <w:rPr>
                <w:sz w:val="20"/>
                <w:szCs w:val="20"/>
                <w:color w:val="auto"/>
              </w:rPr>
            </w:pPr>
            <w:r>
              <w:rPr>
                <w:rFonts w:ascii="Arial" w:cs="Arial" w:eastAsia="Arial" w:hAnsi="Arial"/>
                <w:sz w:val="16"/>
                <w:szCs w:val="16"/>
                <w:color w:val="auto"/>
              </w:rPr>
              <w:t>1,912,500</w:t>
            </w:r>
          </w:p>
        </w:tc>
        <w:tc>
          <w:tcPr>
            <w:tcW w:w="1240" w:type="dxa"/>
            <w:vAlign w:val="bottom"/>
            <w:tcBorders>
              <w:bottom w:val="single" w:sz="8" w:color="0956FF"/>
            </w:tcBorders>
            <w:gridSpan w:val="2"/>
          </w:tcPr>
          <w:p>
            <w:pPr>
              <w:jc w:val="right"/>
              <w:ind w:right="148"/>
              <w:spacing w:after="0"/>
              <w:rPr>
                <w:sz w:val="20"/>
                <w:szCs w:val="20"/>
                <w:color w:val="auto"/>
              </w:rPr>
            </w:pPr>
            <w:r>
              <w:rPr>
                <w:rFonts w:ascii="Arial" w:cs="Arial" w:eastAsia="Arial" w:hAnsi="Arial"/>
                <w:sz w:val="16"/>
                <w:szCs w:val="16"/>
                <w:color w:val="auto"/>
              </w:rPr>
              <w:t>5,315,625</w:t>
            </w:r>
          </w:p>
        </w:tc>
        <w:tc>
          <w:tcPr>
            <w:tcW w:w="880" w:type="dxa"/>
            <w:vAlign w:val="bottom"/>
            <w:tcBorders>
              <w:bottom w:val="single" w:sz="8" w:color="0956FF"/>
            </w:tcBorders>
          </w:tcPr>
          <w:p>
            <w:pPr>
              <w:jc w:val="right"/>
              <w:spacing w:after="0"/>
              <w:rPr>
                <w:sz w:val="20"/>
                <w:szCs w:val="20"/>
                <w:color w:val="auto"/>
              </w:rPr>
            </w:pPr>
            <w:r>
              <w:rPr>
                <w:rFonts w:ascii="Arial" w:cs="Arial" w:eastAsia="Arial" w:hAnsi="Arial"/>
                <w:sz w:val="16"/>
                <w:szCs w:val="16"/>
                <w:color w:val="auto"/>
              </w:rPr>
              <w:t>1,771,875</w:t>
            </w:r>
          </w:p>
        </w:tc>
        <w:tc>
          <w:tcPr>
            <w:tcW w:w="60" w:type="dxa"/>
            <w:vAlign w:val="bottom"/>
            <w:tcBorders>
              <w:bottom w:val="single" w:sz="8" w:color="0956FF"/>
            </w:tcBorders>
          </w:tcPr>
          <w:p>
            <w:pPr>
              <w:spacing w:after="0"/>
              <w:rPr>
                <w:sz w:val="21"/>
                <w:szCs w:val="21"/>
                <w:color w:val="auto"/>
              </w:rPr>
            </w:pPr>
          </w:p>
        </w:tc>
        <w:tc>
          <w:tcPr>
            <w:tcW w:w="1080" w:type="dxa"/>
            <w:vAlign w:val="bottom"/>
            <w:tcBorders>
              <w:bottom w:val="single" w:sz="8" w:color="0956FF"/>
            </w:tcBorders>
          </w:tcPr>
          <w:p>
            <w:pPr>
              <w:jc w:val="right"/>
              <w:ind w:right="63"/>
              <w:spacing w:after="0"/>
              <w:rPr>
                <w:sz w:val="20"/>
                <w:szCs w:val="20"/>
                <w:color w:val="auto"/>
              </w:rPr>
            </w:pPr>
            <w:r>
              <w:rPr>
                <w:rFonts w:ascii="Arial" w:cs="Arial" w:eastAsia="Arial" w:hAnsi="Arial"/>
                <w:sz w:val="16"/>
                <w:szCs w:val="16"/>
                <w:color w:val="auto"/>
              </w:rPr>
              <w:t>9,000,000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The number of PSUs awarded is determined by using the target PSU value divided by the closing stock price on the date of grant.</w:t>
      </w:r>
    </w:p>
    <w:p>
      <w:pPr>
        <w:spacing w:after="0" w:line="52" w:lineRule="exact"/>
        <w:rPr>
          <w:rFonts w:ascii="Arial" w:cs="Arial" w:eastAsia="Arial" w:hAnsi="Arial"/>
          <w:sz w:val="19"/>
          <w:szCs w:val="19"/>
          <w:color w:val="auto"/>
          <w:vertAlign w:val="superscript"/>
        </w:rPr>
      </w:pPr>
    </w:p>
    <w:p>
      <w:pPr>
        <w:ind w:left="200" w:right="140" w:hanging="192"/>
        <w:spacing w:after="0" w:line="239" w:lineRule="auto"/>
        <w:tabs>
          <w:tab w:leader="none" w:pos="20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The above represents 2025 target compensation as approved by the Compensation Committee. As discussed below, Mr. Anderson’s new hire package also included one-time awards totaling $24,000,000.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Additional Background on New NEO Hire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In May 2025, we announced the appointment of Sterling Anderson as Executive VP, Global Product, and</w:t>
      </w:r>
    </w:p>
    <w:p>
      <w:pPr>
        <w:spacing w:after="0" w:line="3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Chief Product Officer, a new role at GM. Mr. Anderson joined GM from autonomous trucking company Aurora, which he co-founded and served as Chief Product Officer of since its formation in 2017, and as a director of since 2018. In his role at GM, Mr. Anderson’s responsibilities are significant and include overseeing the end-to-end product lifecycle for both gas- and electric-powered vehicles, including hardware, software, services, and user experience, across the entire organization. The Compensation Committee structured a compensation package for Mr. Anderson that it believed was necessary and appropriate to recruit him to GM from his prior company where he had an influential leadership role and a significant equity interest. The Committee also sought to ensure that this package offered a competitive and attractive opportunity relative to other possible opportunities he had in the technology industry.</w:t>
      </w:r>
    </w:p>
    <w:p>
      <w:pPr>
        <w:spacing w:after="0" w:line="103"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Upon his hiring, the Committee approved the 2025 target compensation of $16,000,000 detailed in the table above. To create the opportunity to achieve this target compensation on an annualized basis, the Committee designed new-hire awards which are primarily multi-year awards and include a mix of award types with both time- and performance-based components whose value could be realized across a range of near- and longer-term time horizons. The Committee’s intent with the design was to create an attractive and balanced new-hire package that has a strong incentive value while also aligning with our pay-for-performance philosophy to put a meaningful portion of pay at risk. These new-hire awards totaling $24,000,000 include:</w:t>
      </w:r>
    </w:p>
    <w:p>
      <w:pPr>
        <w:spacing w:after="0" w:line="115" w:lineRule="exact"/>
        <w:rPr>
          <w:sz w:val="20"/>
          <w:szCs w:val="20"/>
          <w:color w:val="auto"/>
        </w:rPr>
      </w:pPr>
    </w:p>
    <w:p>
      <w:pPr>
        <w:ind w:left="200" w:right="60" w:hanging="192"/>
        <w:spacing w:after="0" w:line="292" w:lineRule="auto"/>
        <w:tabs>
          <w:tab w:leader="none" w:pos="200" w:val="left"/>
        </w:tabs>
        <w:numPr>
          <w:ilvl w:val="0"/>
          <w:numId w:val="69"/>
        </w:numPr>
        <w:rPr>
          <w:rFonts w:ascii="Arial" w:cs="Arial" w:eastAsia="Arial" w:hAnsi="Arial"/>
          <w:sz w:val="16"/>
          <w:szCs w:val="16"/>
          <w:color w:val="0956FF"/>
        </w:rPr>
      </w:pPr>
      <w:r>
        <w:rPr>
          <w:rFonts w:ascii="Arial" w:cs="Arial" w:eastAsia="Arial" w:hAnsi="Arial"/>
          <w:sz w:val="16"/>
          <w:szCs w:val="16"/>
          <w:color w:val="auto"/>
        </w:rPr>
        <w:t>$3,000,000 in a performance cash award intended to motivate and recognize near-term success in a role that is new at GM with substantial responsibilities. This award vested on December 15, 2025, based on key performance indicators used to assess Mr. Anderson’s performance in his first six months with GM;</w:t>
      </w:r>
    </w:p>
    <w:p>
      <w:pPr>
        <w:spacing w:after="0" w:line="16" w:lineRule="exact"/>
        <w:rPr>
          <w:rFonts w:ascii="Arial" w:cs="Arial" w:eastAsia="Arial" w:hAnsi="Arial"/>
          <w:sz w:val="16"/>
          <w:szCs w:val="16"/>
          <w:color w:val="0956FF"/>
        </w:rPr>
      </w:pPr>
    </w:p>
    <w:p>
      <w:pPr>
        <w:ind w:left="200" w:right="1300" w:hanging="192"/>
        <w:spacing w:after="0" w:line="321" w:lineRule="auto"/>
        <w:tabs>
          <w:tab w:leader="none" w:pos="200" w:val="left"/>
        </w:tabs>
        <w:numPr>
          <w:ilvl w:val="0"/>
          <w:numId w:val="69"/>
        </w:numPr>
        <w:rPr>
          <w:rFonts w:ascii="Arial" w:cs="Arial" w:eastAsia="Arial" w:hAnsi="Arial"/>
          <w:sz w:val="16"/>
          <w:szCs w:val="16"/>
          <w:color w:val="0956FF"/>
        </w:rPr>
      </w:pPr>
      <w:r>
        <w:rPr>
          <w:rFonts w:ascii="Arial" w:cs="Arial" w:eastAsia="Arial" w:hAnsi="Arial"/>
          <w:sz w:val="16"/>
          <w:szCs w:val="16"/>
          <w:color w:val="auto"/>
        </w:rPr>
        <w:t>$10,000,000 in RSUs that vest 50% on July, 29, 2026, and 50% on July 29, 2027, subject to his continued employment; and</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9080"/>
          </w:cols>
          <w:pgMar w:left="1400" w:top="657" w:right="141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jc w:val="both"/>
        <w:ind w:left="200" w:right="660" w:hanging="192"/>
        <w:spacing w:after="0" w:line="301" w:lineRule="auto"/>
        <w:tabs>
          <w:tab w:leader="none" w:pos="200" w:val="left"/>
        </w:tabs>
        <w:numPr>
          <w:ilvl w:val="0"/>
          <w:numId w:val="70"/>
        </w:numPr>
        <w:rPr>
          <w:rFonts w:ascii="Arial" w:cs="Arial" w:eastAsia="Arial" w:hAnsi="Arial"/>
          <w:sz w:val="16"/>
          <w:szCs w:val="16"/>
          <w:color w:val="0956FF"/>
        </w:rPr>
      </w:pPr>
      <w:r>
        <w:rPr>
          <w:rFonts w:ascii="Arial" w:cs="Arial" w:eastAsia="Arial" w:hAnsi="Arial"/>
          <w:sz w:val="16"/>
          <w:szCs w:val="16"/>
          <w:color w:val="auto"/>
        </w:rPr>
        <w:t>$11,000,000 in PSUs that will vest, if earned, on February 6, 2027, subject to his continued employment. The metrics underlying the PSU award are Cumulative Automotive Operating Cash Flow-adjusted (two thirds) and EBIT-adjusted Margin (one third), which were the same as those included in the 2024 PSUs granted to our NEOs.</w:t>
      </w:r>
    </w:p>
    <w:p>
      <w:pPr>
        <w:spacing w:after="0" w:line="104" w:lineRule="exact"/>
        <w:rPr>
          <w:sz w:val="20"/>
          <w:szCs w:val="20"/>
          <w:color w:val="auto"/>
        </w:rPr>
      </w:pPr>
    </w:p>
    <w:p>
      <w:pPr>
        <w:ind w:right="480"/>
        <w:spacing w:after="0" w:line="287" w:lineRule="auto"/>
        <w:rPr>
          <w:sz w:val="20"/>
          <w:szCs w:val="20"/>
          <w:color w:val="auto"/>
        </w:rPr>
      </w:pPr>
      <w:r>
        <w:rPr>
          <w:rFonts w:ascii="Arial" w:cs="Arial" w:eastAsia="Arial" w:hAnsi="Arial"/>
          <w:sz w:val="16"/>
          <w:szCs w:val="16"/>
          <w:color w:val="auto"/>
        </w:rPr>
        <w:t>Going forward, the Committee anticipates that Mr. Anderson’s compensation will consist of a base salary and short- and long-term incentive opportunities commensurate with his position, consistent with the compensation structure for our other NEOs. The Committee believes this is an important investment in GM’s competitiveness and ability to continue creating superior, technology-forward vehicles, and to advancing our strategy to generate long-term growth and returns for shareholders.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Salary</w:t>
      </w:r>
    </w:p>
    <w:p>
      <w:pPr>
        <w:spacing w:after="0" w:line="114"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While a substantial portion of our NEOs’ compensation is at risk in the form of equity awards and incentives, which are contingent on the achievement of certain Company financial and strategic goals, we aim to provide salaries to our executives at a competitive level of fixed cash compensation. Each NEO’s salary takes into account competitive market data in addition to the executive’s experience, skills, tenure and performance in role, as well as the assumption of any expanded responsibilities.</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Short-Term Incentive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STIP Performance Measures</w:t>
      </w:r>
    </w:p>
    <w:p>
      <w:pPr>
        <w:spacing w:after="0" w:line="99"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STIP performance measures are linked to the Company’s annual financial goals and strategic goals that drive our long-term strategy. The Compensation Committee annually reviews and approves STIP performance measures that align with our shareholders’ interests.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Further information on metric selection and target-setting is provided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72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2025 STIP Performance Measure</w:t>
            </w:r>
          </w:p>
        </w:tc>
        <w:tc>
          <w:tcPr>
            <w:tcW w:w="116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Weight</w:t>
            </w:r>
          </w:p>
        </w:tc>
        <w:tc>
          <w:tcPr>
            <w:tcW w:w="520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Leadership Behaviors</w:t>
            </w:r>
          </w:p>
        </w:tc>
      </w:tr>
      <w:tr>
        <w:trPr>
          <w:trHeight w:val="352"/>
        </w:trPr>
        <w:tc>
          <w:tcPr>
            <w:tcW w:w="272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auto"/>
              </w:rPr>
              <w:t xml:space="preserve">EBIT-adjusted ($B) </w:t>
            </w:r>
            <w:r>
              <w:rPr>
                <w:rFonts w:ascii="Arial" w:cs="Arial" w:eastAsia="Arial" w:hAnsi="Arial"/>
                <w:sz w:val="21"/>
                <w:szCs w:val="21"/>
                <w:color w:val="auto"/>
                <w:vertAlign w:val="superscript"/>
              </w:rPr>
              <w:t>(1)</w:t>
            </w:r>
          </w:p>
        </w:tc>
        <w:tc>
          <w:tcPr>
            <w:tcW w:w="1160" w:type="dxa"/>
            <w:vAlign w:val="bottom"/>
            <w:tcBorders>
              <w:bottom w:val="single" w:sz="8" w:color="D9D9D6"/>
            </w:tcBorders>
          </w:tcPr>
          <w:p>
            <w:pPr>
              <w:jc w:val="right"/>
              <w:ind w:right="40"/>
              <w:spacing w:after="0"/>
              <w:rPr>
                <w:sz w:val="20"/>
                <w:szCs w:val="20"/>
                <w:color w:val="auto"/>
              </w:rPr>
            </w:pPr>
            <w:r>
              <w:rPr>
                <w:rFonts w:ascii="Arial" w:cs="Arial" w:eastAsia="Arial" w:hAnsi="Arial"/>
                <w:sz w:val="16"/>
                <w:szCs w:val="16"/>
                <w:color w:val="auto"/>
              </w:rPr>
              <w:t>35%</w:t>
            </w:r>
          </w:p>
        </w:tc>
        <w:tc>
          <w:tcPr>
            <w:tcW w:w="520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auto"/>
              </w:rPr>
              <w:t>Focus on operating results and driving strong profitability</w:t>
            </w:r>
          </w:p>
        </w:tc>
      </w:tr>
      <w:tr>
        <w:trPr>
          <w:trHeight w:val="269"/>
        </w:trPr>
        <w:tc>
          <w:tcPr>
            <w:tcW w:w="2720" w:type="dxa"/>
            <w:vAlign w:val="bottom"/>
          </w:tcPr>
          <w:p>
            <w:pPr>
              <w:ind w:left="60"/>
              <w:spacing w:after="0"/>
              <w:rPr>
                <w:sz w:val="20"/>
                <w:szCs w:val="20"/>
                <w:color w:val="auto"/>
              </w:rPr>
            </w:pPr>
            <w:r>
              <w:rPr>
                <w:rFonts w:ascii="Arial" w:cs="Arial" w:eastAsia="Arial" w:hAnsi="Arial"/>
                <w:sz w:val="16"/>
                <w:szCs w:val="16"/>
                <w:color w:val="auto"/>
              </w:rPr>
              <w:t>AAFCF ($B)</w:t>
            </w:r>
            <w:r>
              <w:rPr>
                <w:rFonts w:ascii="Arial" w:cs="Arial" w:eastAsia="Arial" w:hAnsi="Arial"/>
                <w:sz w:val="21"/>
                <w:szCs w:val="21"/>
                <w:color w:val="auto"/>
                <w:vertAlign w:val="superscript"/>
              </w:rPr>
              <w:t>(1)</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5200" w:type="dxa"/>
            <w:vAlign w:val="bottom"/>
          </w:tcPr>
          <w:p>
            <w:pPr>
              <w:ind w:left="60"/>
              <w:spacing w:after="0"/>
              <w:rPr>
                <w:sz w:val="20"/>
                <w:szCs w:val="20"/>
                <w:color w:val="auto"/>
              </w:rPr>
            </w:pPr>
            <w:r>
              <w:rPr>
                <w:rFonts w:ascii="Arial" w:cs="Arial" w:eastAsia="Arial" w:hAnsi="Arial"/>
                <w:sz w:val="16"/>
                <w:szCs w:val="16"/>
                <w:color w:val="auto"/>
              </w:rPr>
              <w:t>Focus on driving strong cash flow to invest in the business and</w:t>
            </w:r>
          </w:p>
        </w:tc>
      </w:tr>
      <w:tr>
        <w:trPr>
          <w:trHeight w:val="215"/>
        </w:trPr>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0" w:type="dxa"/>
            <w:vAlign w:val="bottom"/>
          </w:tcPr>
          <w:p>
            <w:pPr>
              <w:ind w:left="60"/>
              <w:spacing w:after="0"/>
              <w:rPr>
                <w:sz w:val="20"/>
                <w:szCs w:val="20"/>
                <w:color w:val="auto"/>
              </w:rPr>
            </w:pPr>
            <w:r>
              <w:rPr>
                <w:rFonts w:ascii="Arial" w:cs="Arial" w:eastAsia="Arial" w:hAnsi="Arial"/>
                <w:sz w:val="16"/>
                <w:szCs w:val="16"/>
                <w:color w:val="auto"/>
              </w:rPr>
              <w:t>returning capital to shareholders</w:t>
            </w:r>
          </w:p>
        </w:tc>
      </w:tr>
      <w:tr>
        <w:trPr>
          <w:trHeight w:val="83"/>
        </w:trPr>
        <w:tc>
          <w:tcPr>
            <w:tcW w:w="2720" w:type="dxa"/>
            <w:vAlign w:val="bottom"/>
            <w:tcBorders>
              <w:bottom w:val="single" w:sz="8" w:color="D9D9D6"/>
            </w:tcBorders>
          </w:tcPr>
          <w:p>
            <w:pPr>
              <w:spacing w:after="0"/>
              <w:rPr>
                <w:sz w:val="7"/>
                <w:szCs w:val="7"/>
                <w:color w:val="auto"/>
              </w:rPr>
            </w:pPr>
          </w:p>
        </w:tc>
        <w:tc>
          <w:tcPr>
            <w:tcW w:w="1160" w:type="dxa"/>
            <w:vAlign w:val="bottom"/>
            <w:tcBorders>
              <w:bottom w:val="single" w:sz="8" w:color="D9D9D6"/>
            </w:tcBorders>
          </w:tcPr>
          <w:p>
            <w:pPr>
              <w:spacing w:after="0"/>
              <w:rPr>
                <w:sz w:val="7"/>
                <w:szCs w:val="7"/>
                <w:color w:val="auto"/>
              </w:rPr>
            </w:pPr>
          </w:p>
        </w:tc>
        <w:tc>
          <w:tcPr>
            <w:tcW w:w="5200" w:type="dxa"/>
            <w:vAlign w:val="bottom"/>
            <w:tcBorders>
              <w:bottom w:val="single" w:sz="8" w:color="D9D9D6"/>
            </w:tcBorders>
          </w:tcPr>
          <w:p>
            <w:pPr>
              <w:spacing w:after="0"/>
              <w:rPr>
                <w:sz w:val="7"/>
                <w:szCs w:val="7"/>
                <w:color w:val="auto"/>
              </w:rPr>
            </w:pPr>
          </w:p>
        </w:tc>
      </w:tr>
      <w:tr>
        <w:trPr>
          <w:trHeight w:val="263"/>
        </w:trPr>
        <w:tc>
          <w:tcPr>
            <w:tcW w:w="2720" w:type="dxa"/>
            <w:vAlign w:val="bottom"/>
          </w:tcPr>
          <w:p>
            <w:pPr>
              <w:ind w:left="60"/>
              <w:spacing w:after="0"/>
              <w:rPr>
                <w:sz w:val="20"/>
                <w:szCs w:val="20"/>
                <w:color w:val="auto"/>
              </w:rPr>
            </w:pPr>
            <w:r>
              <w:rPr>
                <w:rFonts w:ascii="Arial" w:cs="Arial" w:eastAsia="Arial" w:hAnsi="Arial"/>
                <w:sz w:val="16"/>
                <w:szCs w:val="16"/>
                <w:b w:val="1"/>
                <w:bCs w:val="1"/>
                <w:color w:val="auto"/>
              </w:rPr>
              <w:t>New EV Measure for 2025</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5200" w:type="dxa"/>
            <w:vAlign w:val="bottom"/>
          </w:tcPr>
          <w:p>
            <w:pPr>
              <w:ind w:left="60"/>
              <w:spacing w:after="0"/>
              <w:rPr>
                <w:sz w:val="20"/>
                <w:szCs w:val="20"/>
                <w:color w:val="auto"/>
              </w:rPr>
            </w:pPr>
            <w:r>
              <w:rPr>
                <w:rFonts w:ascii="Arial" w:cs="Arial" w:eastAsia="Arial" w:hAnsi="Arial"/>
                <w:sz w:val="16"/>
                <w:szCs w:val="16"/>
                <w:color w:val="auto"/>
              </w:rPr>
              <w:t>Offer a high-quality EV portfolio guided by customer demand that</w:t>
            </w:r>
          </w:p>
        </w:tc>
      </w:tr>
      <w:tr>
        <w:trPr>
          <w:trHeight w:val="203"/>
        </w:trPr>
        <w:tc>
          <w:tcPr>
            <w:tcW w:w="2720" w:type="dxa"/>
            <w:vAlign w:val="bottom"/>
          </w:tcPr>
          <w:p>
            <w:pPr>
              <w:ind w:left="60"/>
              <w:spacing w:after="0"/>
              <w:rPr>
                <w:sz w:val="20"/>
                <w:szCs w:val="20"/>
                <w:color w:val="auto"/>
              </w:rPr>
            </w:pPr>
            <w:r>
              <w:rPr>
                <w:rFonts w:ascii="Arial" w:cs="Arial" w:eastAsia="Arial" w:hAnsi="Arial"/>
                <w:sz w:val="16"/>
                <w:szCs w:val="16"/>
                <w:color w:val="auto"/>
              </w:rPr>
              <w:t>EV Variable Cost Percentage</w:t>
            </w:r>
          </w:p>
        </w:tc>
        <w:tc>
          <w:tcPr>
            <w:tcW w:w="1160" w:type="dxa"/>
            <w:vAlign w:val="bottom"/>
          </w:tcPr>
          <w:p>
            <w:pPr>
              <w:spacing w:after="0"/>
              <w:rPr>
                <w:sz w:val="17"/>
                <w:szCs w:val="17"/>
                <w:color w:val="auto"/>
              </w:rPr>
            </w:pPr>
          </w:p>
        </w:tc>
        <w:tc>
          <w:tcPr>
            <w:tcW w:w="5200" w:type="dxa"/>
            <w:vAlign w:val="bottom"/>
          </w:tcPr>
          <w:p>
            <w:pPr>
              <w:ind w:left="60"/>
              <w:spacing w:after="0"/>
              <w:rPr>
                <w:sz w:val="20"/>
                <w:szCs w:val="20"/>
                <w:color w:val="auto"/>
              </w:rPr>
            </w:pPr>
            <w:r>
              <w:rPr>
                <w:rFonts w:ascii="Arial" w:cs="Arial" w:eastAsia="Arial" w:hAnsi="Arial"/>
                <w:sz w:val="16"/>
                <w:szCs w:val="16"/>
                <w:color w:val="auto"/>
              </w:rPr>
              <w:t>achieves increasing profitability</w:t>
            </w:r>
          </w:p>
        </w:tc>
      </w:tr>
      <w:tr>
        <w:trPr>
          <w:trHeight w:val="215"/>
        </w:trPr>
        <w:tc>
          <w:tcPr>
            <w:tcW w:w="2720" w:type="dxa"/>
            <w:vAlign w:val="bottom"/>
          </w:tcPr>
          <w:p>
            <w:pPr>
              <w:ind w:left="60"/>
              <w:spacing w:after="0"/>
              <w:rPr>
                <w:sz w:val="20"/>
                <w:szCs w:val="20"/>
                <w:color w:val="auto"/>
              </w:rPr>
            </w:pPr>
            <w:r>
              <w:rPr>
                <w:rFonts w:ascii="Arial" w:cs="Arial" w:eastAsia="Arial" w:hAnsi="Arial"/>
                <w:sz w:val="16"/>
                <w:szCs w:val="16"/>
                <w:color w:val="auto"/>
              </w:rPr>
              <w:t>Improvement</w:t>
            </w:r>
          </w:p>
        </w:tc>
        <w:tc>
          <w:tcPr>
            <w:tcW w:w="116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56"/>
        </w:trPr>
        <w:tc>
          <w:tcPr>
            <w:tcW w:w="2720" w:type="dxa"/>
            <w:vAlign w:val="bottom"/>
            <w:tcBorders>
              <w:bottom w:val="single" w:sz="8" w:color="D9D9D6"/>
            </w:tcBorders>
          </w:tcPr>
          <w:p>
            <w:pPr>
              <w:spacing w:after="0"/>
              <w:rPr>
                <w:sz w:val="4"/>
                <w:szCs w:val="4"/>
                <w:color w:val="auto"/>
              </w:rPr>
            </w:pPr>
          </w:p>
        </w:tc>
        <w:tc>
          <w:tcPr>
            <w:tcW w:w="1160" w:type="dxa"/>
            <w:vAlign w:val="bottom"/>
            <w:tcBorders>
              <w:bottom w:val="single" w:sz="8" w:color="D9D9D6"/>
            </w:tcBorders>
          </w:tcPr>
          <w:p>
            <w:pPr>
              <w:spacing w:after="0"/>
              <w:rPr>
                <w:sz w:val="4"/>
                <w:szCs w:val="4"/>
                <w:color w:val="auto"/>
              </w:rPr>
            </w:pPr>
          </w:p>
        </w:tc>
        <w:tc>
          <w:tcPr>
            <w:tcW w:w="5200" w:type="dxa"/>
            <w:vAlign w:val="bottom"/>
            <w:tcBorders>
              <w:bottom w:val="single" w:sz="8" w:color="D9D9D6"/>
            </w:tcBorders>
          </w:tcPr>
          <w:p>
            <w:pPr>
              <w:spacing w:after="0"/>
              <w:rPr>
                <w:sz w:val="4"/>
                <w:szCs w:val="4"/>
                <w:color w:val="auto"/>
              </w:rPr>
            </w:pPr>
          </w:p>
        </w:tc>
      </w:tr>
      <w:tr>
        <w:trPr>
          <w:trHeight w:val="263"/>
        </w:trPr>
        <w:tc>
          <w:tcPr>
            <w:tcW w:w="2720" w:type="dxa"/>
            <w:vAlign w:val="bottom"/>
          </w:tcPr>
          <w:p>
            <w:pPr>
              <w:ind w:left="60"/>
              <w:spacing w:after="0"/>
              <w:rPr>
                <w:sz w:val="20"/>
                <w:szCs w:val="20"/>
                <w:color w:val="auto"/>
              </w:rPr>
            </w:pPr>
            <w:r>
              <w:rPr>
                <w:rFonts w:ascii="Arial" w:cs="Arial" w:eastAsia="Arial" w:hAnsi="Arial"/>
                <w:sz w:val="16"/>
                <w:szCs w:val="16"/>
                <w:color w:val="auto"/>
              </w:rPr>
              <w:t>S&amp;S</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5200" w:type="dxa"/>
            <w:vAlign w:val="bottom"/>
          </w:tcPr>
          <w:p>
            <w:pPr>
              <w:ind w:left="60"/>
              <w:spacing w:after="0"/>
              <w:rPr>
                <w:sz w:val="20"/>
                <w:szCs w:val="20"/>
                <w:color w:val="auto"/>
              </w:rPr>
            </w:pPr>
            <w:r>
              <w:rPr>
                <w:rFonts w:ascii="Arial" w:cs="Arial" w:eastAsia="Arial" w:hAnsi="Arial"/>
                <w:sz w:val="16"/>
                <w:szCs w:val="16"/>
                <w:color w:val="auto"/>
              </w:rPr>
              <w:t>Deliver vehicles with high-quality software to create compelling</w:t>
            </w:r>
          </w:p>
        </w:tc>
      </w:tr>
      <w:tr>
        <w:trPr>
          <w:trHeight w:val="215"/>
        </w:trPr>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0" w:type="dxa"/>
            <w:vAlign w:val="bottom"/>
          </w:tcPr>
          <w:p>
            <w:pPr>
              <w:ind w:left="60"/>
              <w:spacing w:after="0"/>
              <w:rPr>
                <w:sz w:val="20"/>
                <w:szCs w:val="20"/>
                <w:color w:val="auto"/>
              </w:rPr>
            </w:pPr>
            <w:r>
              <w:rPr>
                <w:rFonts w:ascii="Arial" w:cs="Arial" w:eastAsia="Arial" w:hAnsi="Arial"/>
                <w:sz w:val="16"/>
                <w:szCs w:val="16"/>
                <w:color w:val="auto"/>
              </w:rPr>
              <w:t>customer experiences</w:t>
            </w:r>
          </w:p>
        </w:tc>
      </w:tr>
      <w:tr>
        <w:trPr>
          <w:trHeight w:val="83"/>
        </w:trPr>
        <w:tc>
          <w:tcPr>
            <w:tcW w:w="2720" w:type="dxa"/>
            <w:vAlign w:val="bottom"/>
            <w:tcBorders>
              <w:bottom w:val="single" w:sz="8" w:color="D9D9D6"/>
            </w:tcBorders>
          </w:tcPr>
          <w:p>
            <w:pPr>
              <w:spacing w:after="0"/>
              <w:rPr>
                <w:sz w:val="7"/>
                <w:szCs w:val="7"/>
                <w:color w:val="auto"/>
              </w:rPr>
            </w:pPr>
          </w:p>
        </w:tc>
        <w:tc>
          <w:tcPr>
            <w:tcW w:w="1160" w:type="dxa"/>
            <w:vAlign w:val="bottom"/>
            <w:tcBorders>
              <w:bottom w:val="single" w:sz="8" w:color="D9D9D6"/>
            </w:tcBorders>
          </w:tcPr>
          <w:p>
            <w:pPr>
              <w:spacing w:after="0"/>
              <w:rPr>
                <w:sz w:val="7"/>
                <w:szCs w:val="7"/>
                <w:color w:val="auto"/>
              </w:rPr>
            </w:pPr>
          </w:p>
        </w:tc>
        <w:tc>
          <w:tcPr>
            <w:tcW w:w="5200" w:type="dxa"/>
            <w:vAlign w:val="bottom"/>
            <w:tcBorders>
              <w:bottom w:val="single" w:sz="8" w:color="D9D9D6"/>
            </w:tcBorders>
          </w:tcPr>
          <w:p>
            <w:pPr>
              <w:spacing w:after="0"/>
              <w:rPr>
                <w:sz w:val="7"/>
                <w:szCs w:val="7"/>
                <w:color w:val="auto"/>
              </w:rPr>
            </w:pPr>
          </w:p>
        </w:tc>
      </w:tr>
      <w:tr>
        <w:trPr>
          <w:trHeight w:val="263"/>
        </w:trPr>
        <w:tc>
          <w:tcPr>
            <w:tcW w:w="2720" w:type="dxa"/>
            <w:vAlign w:val="bottom"/>
          </w:tcPr>
          <w:p>
            <w:pPr>
              <w:ind w:left="60"/>
              <w:spacing w:after="0"/>
              <w:rPr>
                <w:sz w:val="20"/>
                <w:szCs w:val="20"/>
                <w:color w:val="auto"/>
              </w:rPr>
            </w:pPr>
            <w:r>
              <w:rPr>
                <w:rFonts w:ascii="Arial" w:cs="Arial" w:eastAsia="Arial" w:hAnsi="Arial"/>
                <w:sz w:val="16"/>
                <w:szCs w:val="16"/>
                <w:color w:val="auto"/>
              </w:rPr>
              <w:t>AV Strategy</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5200" w:type="dxa"/>
            <w:vAlign w:val="bottom"/>
          </w:tcPr>
          <w:p>
            <w:pPr>
              <w:ind w:left="60"/>
              <w:spacing w:after="0"/>
              <w:rPr>
                <w:sz w:val="20"/>
                <w:szCs w:val="20"/>
                <w:color w:val="auto"/>
              </w:rPr>
            </w:pPr>
            <w:r>
              <w:rPr>
                <w:rFonts w:ascii="Arial" w:cs="Arial" w:eastAsia="Arial" w:hAnsi="Arial"/>
                <w:sz w:val="16"/>
                <w:szCs w:val="16"/>
                <w:color w:val="auto"/>
              </w:rPr>
              <w:t>Develop safe driver-assistance and autonomous technology for</w:t>
            </w:r>
          </w:p>
        </w:tc>
      </w:tr>
      <w:tr>
        <w:trPr>
          <w:trHeight w:val="215"/>
        </w:trPr>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0" w:type="dxa"/>
            <w:vAlign w:val="bottom"/>
          </w:tcPr>
          <w:p>
            <w:pPr>
              <w:ind w:left="60"/>
              <w:spacing w:after="0"/>
              <w:rPr>
                <w:sz w:val="20"/>
                <w:szCs w:val="20"/>
                <w:color w:val="auto"/>
              </w:rPr>
            </w:pPr>
            <w:r>
              <w:rPr>
                <w:rFonts w:ascii="Arial" w:cs="Arial" w:eastAsia="Arial" w:hAnsi="Arial"/>
                <w:sz w:val="16"/>
                <w:szCs w:val="16"/>
                <w:color w:val="auto"/>
              </w:rPr>
              <w:t>personal vehicles</w:t>
            </w:r>
          </w:p>
        </w:tc>
      </w:tr>
      <w:tr>
        <w:trPr>
          <w:trHeight w:val="83"/>
        </w:trPr>
        <w:tc>
          <w:tcPr>
            <w:tcW w:w="2720" w:type="dxa"/>
            <w:vAlign w:val="bottom"/>
            <w:tcBorders>
              <w:bottom w:val="single" w:sz="8" w:color="D9D9D6"/>
            </w:tcBorders>
          </w:tcPr>
          <w:p>
            <w:pPr>
              <w:spacing w:after="0"/>
              <w:rPr>
                <w:sz w:val="7"/>
                <w:szCs w:val="7"/>
                <w:color w:val="auto"/>
              </w:rPr>
            </w:pPr>
          </w:p>
        </w:tc>
        <w:tc>
          <w:tcPr>
            <w:tcW w:w="1160" w:type="dxa"/>
            <w:vAlign w:val="bottom"/>
            <w:tcBorders>
              <w:bottom w:val="single" w:sz="8" w:color="D9D9D6"/>
            </w:tcBorders>
          </w:tcPr>
          <w:p>
            <w:pPr>
              <w:spacing w:after="0"/>
              <w:rPr>
                <w:sz w:val="7"/>
                <w:szCs w:val="7"/>
                <w:color w:val="auto"/>
              </w:rPr>
            </w:pPr>
          </w:p>
        </w:tc>
        <w:tc>
          <w:tcPr>
            <w:tcW w:w="5200" w:type="dxa"/>
            <w:vAlign w:val="bottom"/>
            <w:tcBorders>
              <w:bottom w:val="single" w:sz="8" w:color="D9D9D6"/>
            </w:tcBorders>
          </w:tcPr>
          <w:p>
            <w:pPr>
              <w:spacing w:after="0"/>
              <w:rPr>
                <w:sz w:val="7"/>
                <w:szCs w:val="7"/>
                <w:color w:val="auto"/>
              </w:rPr>
            </w:pPr>
          </w:p>
        </w:tc>
      </w:tr>
      <w:tr>
        <w:trPr>
          <w:trHeight w:val="288"/>
        </w:trPr>
        <w:tc>
          <w:tcPr>
            <w:tcW w:w="2720" w:type="dxa"/>
            <w:vAlign w:val="bottom"/>
          </w:tcPr>
          <w:p>
            <w:pPr>
              <w:ind w:left="60"/>
              <w:spacing w:after="0"/>
              <w:rPr>
                <w:sz w:val="20"/>
                <w:szCs w:val="20"/>
                <w:color w:val="auto"/>
              </w:rPr>
            </w:pPr>
            <w:r>
              <w:rPr>
                <w:rFonts w:ascii="Arial" w:cs="Arial" w:eastAsia="Arial" w:hAnsi="Arial"/>
                <w:sz w:val="16"/>
                <w:szCs w:val="16"/>
                <w:color w:val="auto"/>
              </w:rPr>
              <w:t>Safety</w:t>
            </w: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+/-5ppts</w:t>
            </w:r>
          </w:p>
        </w:tc>
        <w:tc>
          <w:tcPr>
            <w:tcW w:w="5200" w:type="dxa"/>
            <w:vAlign w:val="bottom"/>
          </w:tcPr>
          <w:p>
            <w:pPr>
              <w:ind w:left="60"/>
              <w:spacing w:after="0"/>
              <w:rPr>
                <w:sz w:val="20"/>
                <w:szCs w:val="20"/>
                <w:color w:val="auto"/>
              </w:rPr>
            </w:pPr>
            <w:r>
              <w:rPr>
                <w:rFonts w:ascii="Arial" w:cs="Arial" w:eastAsia="Arial" w:hAnsi="Arial"/>
                <w:sz w:val="16"/>
                <w:szCs w:val="16"/>
                <w:color w:val="auto"/>
              </w:rPr>
              <w:t>Foster a culture that emphasizes workplace and product safety</w:t>
            </w:r>
          </w:p>
        </w:tc>
      </w:tr>
    </w:tbl>
    <w:p>
      <w:pPr>
        <w:spacing w:after="0" w:line="140" w:lineRule="exact"/>
        <w:rPr>
          <w:sz w:val="20"/>
          <w:szCs w:val="20"/>
          <w:color w:val="auto"/>
        </w:rPr>
      </w:pPr>
    </w:p>
    <w:p>
      <w:pPr>
        <w:ind w:left="200" w:hanging="192"/>
        <w:spacing w:after="0"/>
        <w:tabs>
          <w:tab w:leader="none" w:pos="20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For a description of how our non-GAAP measures are calculated, including EBIT-adjusted and AAFCF, see Appendix A.</w:t>
      </w:r>
    </w:p>
    <w:p>
      <w:pPr>
        <w:spacing w:after="0" w:line="57"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EV Variable Cost Percentage Improvement replaces the prior EV measure of Q4 EV Variable Profit margin.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final STIP payout may not exceed 200% of target.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EV Variable Cost Percentage Improvement</w:t>
      </w:r>
    </w:p>
    <w:p>
      <w:pPr>
        <w:spacing w:after="0" w:line="95" w:lineRule="exact"/>
        <w:rPr>
          <w:sz w:val="20"/>
          <w:szCs w:val="20"/>
          <w:color w:val="auto"/>
        </w:rPr>
      </w:pPr>
    </w:p>
    <w:p>
      <w:pPr>
        <w:ind w:right="460"/>
        <w:spacing w:after="0" w:line="295" w:lineRule="auto"/>
        <w:rPr>
          <w:sz w:val="20"/>
          <w:szCs w:val="20"/>
          <w:color w:val="auto"/>
        </w:rPr>
      </w:pPr>
      <w:r>
        <w:rPr>
          <w:rFonts w:ascii="Arial" w:cs="Arial" w:eastAsia="Arial" w:hAnsi="Arial"/>
          <w:sz w:val="16"/>
          <w:szCs w:val="16"/>
          <w:color w:val="auto"/>
        </w:rPr>
        <w:t>For 2025, we continued to focus on our EV profitability journey and refined our EV metric in our STIP to measure EV Variable Cost Percentage Improvement, with a 25% weighting (which was unchanged from the prior year). The Committee determined this measure effectively reflects our transformation strategy and EV market dynamics. Payout against this goal is capped at 100% unless GM’s EV Variable Profit Margin exceeds 2%.</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020"/>
        <w:spacing w:after="0"/>
        <w:tabs>
          <w:tab w:leader="none" w:pos="882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49</w:t>
      </w:r>
    </w:p>
    <w:p>
      <w:pPr>
        <w:sectPr>
          <w:pgSz w:w="11900" w:h="16838" w:orient="portrait"/>
          <w:cols w:equalWidth="0" w:num="1">
            <w:col w:w="9220"/>
          </w:cols>
          <w:pgMar w:left="1400" w:top="657" w:right="127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Set STIP Performance Targets</w:t>
      </w:r>
    </w:p>
    <w:p>
      <w:pPr>
        <w:spacing w:after="0" w:line="99" w:lineRule="exact"/>
        <w:rPr>
          <w:sz w:val="20"/>
          <w:szCs w:val="20"/>
          <w:color w:val="auto"/>
        </w:rPr>
      </w:pPr>
    </w:p>
    <w:p>
      <w:pPr>
        <w:ind w:right="219"/>
        <w:spacing w:after="0" w:line="287" w:lineRule="auto"/>
        <w:rPr>
          <w:sz w:val="20"/>
          <w:szCs w:val="20"/>
          <w:color w:val="auto"/>
        </w:rPr>
      </w:pPr>
      <w:r>
        <w:rPr>
          <w:rFonts w:ascii="Arial" w:cs="Arial" w:eastAsia="Arial" w:hAnsi="Arial"/>
          <w:sz w:val="16"/>
          <w:szCs w:val="16"/>
          <w:color w:val="auto"/>
        </w:rPr>
        <w:t>The Compensation Committee approves the performance measures for the STIP annually with the objective of driving strong operational, financial, and strategic performance. The Committee’s rigorous process starts with an evaluation of the Company’s annual budget and long-term business plan, which takes into account a wide range of internal and external information on macroeconomic, regulatory and market conditions, demand expectations, competitive landscape, supply chain dynamics, and other factors that may influence execution on our strategic priorities and overall performance. The Committee reviews recommendations from management and receives input from its independent compensation consultant. This comprehensive process results in rigorous targets that motivate leadership to strive for a high degree of performance on balance with prudent risk-taking.</w:t>
      </w:r>
    </w:p>
    <w:p>
      <w:pPr>
        <w:spacing w:after="0" w:line="116" w:lineRule="exact"/>
        <w:rPr>
          <w:sz w:val="20"/>
          <w:szCs w:val="20"/>
          <w:color w:val="auto"/>
        </w:rPr>
      </w:pPr>
    </w:p>
    <w:p>
      <w:pPr>
        <w:ind w:right="139"/>
        <w:spacing w:after="0" w:line="289" w:lineRule="auto"/>
        <w:rPr>
          <w:sz w:val="20"/>
          <w:szCs w:val="20"/>
          <w:color w:val="auto"/>
        </w:rPr>
      </w:pPr>
      <w:r>
        <w:rPr>
          <w:rFonts w:ascii="Arial" w:cs="Arial" w:eastAsia="Arial" w:hAnsi="Arial"/>
          <w:sz w:val="16"/>
          <w:szCs w:val="16"/>
          <w:color w:val="auto"/>
        </w:rPr>
        <w:t>As discussed below, the Committee pre-defined certain potential adjustments to our annual performance results to account for the significant unpredictability at the beginning of 2025 with regard to evolving trade policy and how regulatory developments could impact EV demand and our financial results. These adjustments are described in Appendix A and are in addition to our customary adjustments, which are consistent with prior practice.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specific 2025 goals and comparability versus 2024 targets where relevant.</w:t>
      </w:r>
    </w:p>
    <w:p>
      <w:pPr>
        <w:spacing w:after="0" w:line="181" w:lineRule="exact"/>
        <w:rPr>
          <w:sz w:val="20"/>
          <w:szCs w:val="20"/>
          <w:color w:val="auto"/>
        </w:rPr>
      </w:pPr>
    </w:p>
    <w:p>
      <w:pPr>
        <w:ind w:left="200" w:right="999" w:hanging="192"/>
        <w:spacing w:after="0" w:line="316" w:lineRule="auto"/>
        <w:tabs>
          <w:tab w:leader="none" w:pos="200" w:val="left"/>
        </w:tabs>
        <w:numPr>
          <w:ilvl w:val="0"/>
          <w:numId w:val="72"/>
        </w:numPr>
        <w:rPr>
          <w:rFonts w:ascii="Arial" w:cs="Arial" w:eastAsia="Arial" w:hAnsi="Arial"/>
          <w:sz w:val="16"/>
          <w:szCs w:val="16"/>
          <w:color w:val="0956FF"/>
        </w:rPr>
      </w:pPr>
      <w:r>
        <w:rPr>
          <w:rFonts w:ascii="Arial" w:cs="Arial" w:eastAsia="Arial" w:hAnsi="Arial"/>
          <w:sz w:val="16"/>
          <w:szCs w:val="16"/>
          <w:b w:val="1"/>
          <w:bCs w:val="1"/>
          <w:color w:val="auto"/>
        </w:rPr>
        <w:t xml:space="preserve">EBIT-adjusted: </w:t>
      </w:r>
      <w:r>
        <w:rPr>
          <w:rFonts w:ascii="Arial" w:cs="Arial" w:eastAsia="Arial" w:hAnsi="Arial"/>
          <w:sz w:val="16"/>
          <w:szCs w:val="16"/>
          <w:color w:val="auto"/>
        </w:rPr>
        <w:t>2025 target set at $14.7B-$14.9B in alignment with the approved 2025 budget, which was set</w:t>
      </w:r>
      <w:r>
        <w:rPr>
          <w:rFonts w:ascii="Arial" w:cs="Arial" w:eastAsia="Arial" w:hAnsi="Arial"/>
          <w:sz w:val="16"/>
          <w:szCs w:val="16"/>
          <w:b w:val="1"/>
          <w:bCs w:val="1"/>
          <w:color w:val="auto"/>
        </w:rPr>
        <w:t xml:space="preserve"> </w:t>
      </w:r>
      <w:r>
        <w:rPr>
          <w:rFonts w:ascii="Arial" w:cs="Arial" w:eastAsia="Arial" w:hAnsi="Arial"/>
          <w:sz w:val="16"/>
          <w:szCs w:val="16"/>
          <w:color w:val="auto"/>
        </w:rPr>
        <w:t>aggressively in the context of higher labor costs and a more challenging macroeconomic landscape.</w:t>
      </w:r>
    </w:p>
    <w:p>
      <w:pPr>
        <w:spacing w:after="0" w:line="1" w:lineRule="exact"/>
        <w:rPr>
          <w:rFonts w:ascii="Arial" w:cs="Arial" w:eastAsia="Arial" w:hAnsi="Arial"/>
          <w:sz w:val="16"/>
          <w:szCs w:val="16"/>
          <w:color w:val="0956FF"/>
        </w:rPr>
      </w:pPr>
    </w:p>
    <w:p>
      <w:pPr>
        <w:ind w:left="400" w:right="439" w:hanging="195"/>
        <w:spacing w:after="0" w:line="301" w:lineRule="auto"/>
        <w:rPr>
          <w:rFonts w:ascii="Arial" w:cs="Arial" w:eastAsia="Arial" w:hAnsi="Arial"/>
          <w:sz w:val="16"/>
          <w:szCs w:val="16"/>
          <w:color w:val="0956FF"/>
        </w:rPr>
      </w:pPr>
      <w:r>
        <w:rPr>
          <w:rFonts w:ascii="Arial" w:cs="Arial" w:eastAsia="Arial" w:hAnsi="Arial"/>
          <w:sz w:val="16"/>
          <w:szCs w:val="16"/>
          <w:color w:val="0956FF"/>
        </w:rPr>
        <w:t xml:space="preserve">– </w:t>
      </w:r>
      <w:r>
        <w:rPr>
          <w:rFonts w:ascii="Arial" w:cs="Arial" w:eastAsia="Arial" w:hAnsi="Arial"/>
          <w:sz w:val="16"/>
          <w:szCs w:val="16"/>
          <w:color w:val="000000"/>
        </w:rPr>
        <w:t>The lower end of the range is aligned to our 2025 budget, and the upper end is aligned to our record 2024 result.</w:t>
      </w:r>
      <w:r>
        <w:rPr>
          <w:rFonts w:ascii="Arial" w:cs="Arial" w:eastAsia="Arial" w:hAnsi="Arial"/>
          <w:sz w:val="16"/>
          <w:szCs w:val="16"/>
          <w:color w:val="0956FF"/>
        </w:rPr>
        <w:t xml:space="preserve"> </w:t>
      </w:r>
      <w:r>
        <w:rPr>
          <w:rFonts w:ascii="Arial" w:cs="Arial" w:eastAsia="Arial" w:hAnsi="Arial"/>
          <w:sz w:val="16"/>
          <w:szCs w:val="16"/>
          <w:color w:val="000000"/>
        </w:rPr>
        <w:t>Accordingly, participants could earn a target level of payout on this measure if we met our aggressive 2025 budget, but could not earn an above-target payout unless we had outperformed our 2024 results.</w:t>
      </w:r>
    </w:p>
    <w:p>
      <w:pPr>
        <w:spacing w:after="0" w:line="90" w:lineRule="exact"/>
        <w:rPr>
          <w:rFonts w:ascii="Arial" w:cs="Arial" w:eastAsia="Arial" w:hAnsi="Arial"/>
          <w:sz w:val="16"/>
          <w:szCs w:val="16"/>
          <w:color w:val="0956FF"/>
        </w:rPr>
      </w:pPr>
    </w:p>
    <w:p>
      <w:pPr>
        <w:ind w:left="200" w:right="459" w:hanging="192"/>
        <w:spacing w:after="0" w:line="316" w:lineRule="auto"/>
        <w:tabs>
          <w:tab w:leader="none" w:pos="200" w:val="left"/>
        </w:tabs>
        <w:numPr>
          <w:ilvl w:val="0"/>
          <w:numId w:val="72"/>
        </w:numPr>
        <w:rPr>
          <w:rFonts w:ascii="Arial" w:cs="Arial" w:eastAsia="Arial" w:hAnsi="Arial"/>
          <w:sz w:val="16"/>
          <w:szCs w:val="16"/>
          <w:color w:val="0956FF"/>
        </w:rPr>
      </w:pPr>
      <w:r>
        <w:rPr>
          <w:rFonts w:ascii="Arial" w:cs="Arial" w:eastAsia="Arial" w:hAnsi="Arial"/>
          <w:sz w:val="16"/>
          <w:szCs w:val="16"/>
          <w:b w:val="1"/>
          <w:bCs w:val="1"/>
          <w:color w:val="auto"/>
        </w:rPr>
        <w:t xml:space="preserve">AAFCF: </w:t>
      </w:r>
      <w:r>
        <w:rPr>
          <w:rFonts w:ascii="Arial" w:cs="Arial" w:eastAsia="Arial" w:hAnsi="Arial"/>
          <w:sz w:val="16"/>
          <w:szCs w:val="16"/>
          <w:color w:val="auto"/>
        </w:rPr>
        <w:t>2025 target set at $12.0B in alignment with the approved 2025 budget, which is also our record 2024 AAFCF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$14.0B after removing the favorable impact of the one-time $2.0B wind-down in working capital.</w:t>
      </w:r>
    </w:p>
    <w:p>
      <w:pPr>
        <w:spacing w:after="0" w:line="1" w:lineRule="exact"/>
        <w:rPr>
          <w:rFonts w:ascii="Arial" w:cs="Arial" w:eastAsia="Arial" w:hAnsi="Arial"/>
          <w:sz w:val="16"/>
          <w:szCs w:val="16"/>
          <w:color w:val="0956FF"/>
        </w:rPr>
      </w:pPr>
    </w:p>
    <w:p>
      <w:pPr>
        <w:ind w:left="200" w:right="319" w:hanging="192"/>
        <w:spacing w:after="0" w:line="316" w:lineRule="auto"/>
        <w:tabs>
          <w:tab w:leader="none" w:pos="200" w:val="left"/>
        </w:tabs>
        <w:numPr>
          <w:ilvl w:val="0"/>
          <w:numId w:val="72"/>
        </w:numPr>
        <w:rPr>
          <w:rFonts w:ascii="Arial" w:cs="Arial" w:eastAsia="Arial" w:hAnsi="Arial"/>
          <w:sz w:val="16"/>
          <w:szCs w:val="16"/>
          <w:color w:val="0956FF"/>
        </w:rPr>
      </w:pPr>
      <w:r>
        <w:rPr>
          <w:rFonts w:ascii="Arial" w:cs="Arial" w:eastAsia="Arial" w:hAnsi="Arial"/>
          <w:sz w:val="16"/>
          <w:szCs w:val="16"/>
          <w:b w:val="1"/>
          <w:bCs w:val="1"/>
          <w:color w:val="auto"/>
        </w:rPr>
        <w:t xml:space="preserve">EV Variable Cost Percentage Improvement: </w:t>
      </w:r>
      <w:r>
        <w:rPr>
          <w:rFonts w:ascii="Arial" w:cs="Arial" w:eastAsia="Arial" w:hAnsi="Arial"/>
          <w:sz w:val="16"/>
          <w:szCs w:val="16"/>
          <w:color w:val="auto"/>
        </w:rPr>
        <w:t>Target set at 10% improvement for target performance in alignment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approved 2025 budget and represents improvement on carry-over products.</w:t>
      </w:r>
    </w:p>
    <w:p>
      <w:pPr>
        <w:spacing w:after="0" w:line="1" w:lineRule="exact"/>
        <w:rPr>
          <w:rFonts w:ascii="Arial" w:cs="Arial" w:eastAsia="Arial" w:hAnsi="Arial"/>
          <w:sz w:val="16"/>
          <w:szCs w:val="16"/>
          <w:color w:val="0956FF"/>
        </w:rPr>
      </w:pPr>
    </w:p>
    <w:p>
      <w:pPr>
        <w:ind w:left="200" w:right="199" w:hanging="192"/>
        <w:spacing w:after="0" w:line="291" w:lineRule="auto"/>
        <w:tabs>
          <w:tab w:leader="none" w:pos="200" w:val="left"/>
        </w:tabs>
        <w:numPr>
          <w:ilvl w:val="0"/>
          <w:numId w:val="72"/>
        </w:numPr>
        <w:rPr>
          <w:rFonts w:ascii="Arial" w:cs="Arial" w:eastAsia="Arial" w:hAnsi="Arial"/>
          <w:sz w:val="16"/>
          <w:szCs w:val="16"/>
          <w:color w:val="0956FF"/>
        </w:rPr>
      </w:pPr>
      <w:r>
        <w:rPr>
          <w:rFonts w:ascii="Arial" w:cs="Arial" w:eastAsia="Arial" w:hAnsi="Arial"/>
          <w:sz w:val="16"/>
          <w:szCs w:val="16"/>
          <w:b w:val="1"/>
          <w:bCs w:val="1"/>
          <w:color w:val="auto"/>
        </w:rPr>
        <w:t xml:space="preserve">S&amp;S Vehicle Software Released On-Time and with Quality: </w:t>
      </w:r>
      <w:r>
        <w:rPr>
          <w:rFonts w:ascii="Arial" w:cs="Arial" w:eastAsia="Arial" w:hAnsi="Arial"/>
          <w:sz w:val="16"/>
          <w:szCs w:val="16"/>
          <w:color w:val="auto"/>
        </w:rPr>
        <w:t>The Committee set the target for this metric as launching</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clones in alignment with our vehicle launch standard and improving the percentage of software clones released on time. There are quantitative targets established to achieve threshold, target, and maximum performance payouts, which the Committee determined not to specifically disclose as this information is commercially sensitive. The Committee believes this is a rigorous target given the significant complexity of the software development and deployment process.</w:t>
      </w:r>
    </w:p>
    <w:p>
      <w:pPr>
        <w:spacing w:after="0" w:line="18" w:lineRule="exact"/>
        <w:rPr>
          <w:rFonts w:ascii="Arial" w:cs="Arial" w:eastAsia="Arial" w:hAnsi="Arial"/>
          <w:sz w:val="16"/>
          <w:szCs w:val="16"/>
          <w:color w:val="0956FF"/>
        </w:rPr>
      </w:pPr>
    </w:p>
    <w:p>
      <w:pPr>
        <w:ind w:left="400" w:right="259" w:hanging="195"/>
        <w:spacing w:after="0" w:line="321" w:lineRule="auto"/>
        <w:rPr>
          <w:rFonts w:ascii="Arial" w:cs="Arial" w:eastAsia="Arial" w:hAnsi="Arial"/>
          <w:sz w:val="16"/>
          <w:szCs w:val="16"/>
          <w:color w:val="0956FF"/>
        </w:rPr>
      </w:pPr>
      <w:r>
        <w:rPr>
          <w:rFonts w:ascii="Arial" w:cs="Arial" w:eastAsia="Arial" w:hAnsi="Arial"/>
          <w:sz w:val="16"/>
          <w:szCs w:val="16"/>
          <w:color w:val="0956FF"/>
        </w:rPr>
        <w:t xml:space="preserve">– </w:t>
      </w:r>
      <w:r>
        <w:rPr>
          <w:rFonts w:ascii="Arial" w:cs="Arial" w:eastAsia="Arial" w:hAnsi="Arial"/>
          <w:sz w:val="16"/>
          <w:szCs w:val="16"/>
          <w:color w:val="000000"/>
        </w:rPr>
        <w:t>2025 target performance levels exceed both last year’s target and our 2024 results and ensure we are accountable to</w:t>
      </w:r>
      <w:r>
        <w:rPr>
          <w:rFonts w:ascii="Arial" w:cs="Arial" w:eastAsia="Arial" w:hAnsi="Arial"/>
          <w:sz w:val="16"/>
          <w:szCs w:val="16"/>
          <w:color w:val="0956FF"/>
        </w:rPr>
        <w:t xml:space="preserve"> </w:t>
      </w:r>
      <w:r>
        <w:rPr>
          <w:rFonts w:ascii="Arial" w:cs="Arial" w:eastAsia="Arial" w:hAnsi="Arial"/>
          <w:sz w:val="16"/>
          <w:szCs w:val="16"/>
          <w:color w:val="000000"/>
        </w:rPr>
        <w:t>meet launch timelines.</w:t>
      </w:r>
    </w:p>
    <w:p>
      <w:pPr>
        <w:spacing w:after="0" w:line="74" w:lineRule="exact"/>
        <w:rPr>
          <w:rFonts w:ascii="Arial" w:cs="Arial" w:eastAsia="Arial" w:hAnsi="Arial"/>
          <w:sz w:val="16"/>
          <w:szCs w:val="16"/>
          <w:color w:val="0956FF"/>
        </w:rPr>
      </w:pPr>
    </w:p>
    <w:p>
      <w:pPr>
        <w:ind w:left="200" w:right="559" w:hanging="192"/>
        <w:spacing w:after="0" w:line="321" w:lineRule="auto"/>
        <w:tabs>
          <w:tab w:leader="none" w:pos="200" w:val="left"/>
        </w:tabs>
        <w:numPr>
          <w:ilvl w:val="0"/>
          <w:numId w:val="72"/>
        </w:numPr>
        <w:rPr>
          <w:rFonts w:ascii="Arial" w:cs="Arial" w:eastAsia="Arial" w:hAnsi="Arial"/>
          <w:sz w:val="16"/>
          <w:szCs w:val="16"/>
          <w:color w:val="0956FF"/>
        </w:rPr>
      </w:pPr>
      <w:r>
        <w:rPr>
          <w:rFonts w:ascii="Arial" w:cs="Arial" w:eastAsia="Arial" w:hAnsi="Arial"/>
          <w:sz w:val="16"/>
          <w:szCs w:val="16"/>
          <w:b w:val="1"/>
          <w:bCs w:val="1"/>
          <w:color w:val="auto"/>
        </w:rPr>
        <w:t xml:space="preserve">AV Strategy: </w:t>
      </w:r>
      <w:r>
        <w:rPr>
          <w:rFonts w:ascii="Arial" w:cs="Arial" w:eastAsia="Arial" w:hAnsi="Arial"/>
          <w:sz w:val="16"/>
          <w:szCs w:val="16"/>
          <w:color w:val="auto"/>
        </w:rPr>
        <w:t>The target for this metric evaluates performance across two critical measures related to Super Cruise</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percentage improvement and progressing driver assistance technology.</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9059"/>
          </w:cols>
          <w:pgMar w:left="1400" w:top="657" w:right="1440"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STIP Results</w:t>
      </w:r>
    </w:p>
    <w:p>
      <w:pPr>
        <w:spacing w:after="0" w:line="99"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Our 2025 STIP Company performance payout of 118% of target reflected our continued strong execution, including disciplined pricing, fixed-cost discipline and strategic realignment of our manufacturing footprint, all amid significant regulatory and market headwinds that impacted EV demand. As a result, performance included above-target EBIT-adjusted and above-target AAFCF performance, while EV Variable Cost Percentage Improvement performance was below-target due to lower EV demand that impacted our ability to scale cost-effectively. We also exceeded our S&amp;S goals and successfully executed on our AV goals. The Company’s 2025 financial results and key business highlights are detailed in the “Our Company Performance” section on page 43 .</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2025 Tariff and Regulatory Impacts and Mitigation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Pre-Defined Adjustments</w:t>
      </w:r>
    </w:p>
    <w:p>
      <w:pPr>
        <w:spacing w:after="0" w:line="93"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color w:val="auto"/>
        </w:rPr>
        <w:t>As noted above, the Committee was focused on continuing to set targets that were quantitative and rigorous while also considering the impact of tariff and regulatory shifts that were anticipated. The Committee decided that pre-defining these potential adjustments, rather than applying discretion at the end of the 2025 STIP performance period, would be optimal to retain the formula-based approach to our STIP. Importantly, this approach established an outlook for the range of potential policy change impacts on the business (both positive and negative) and encouraged our leadership team to pursue active and deliberate actions to respond to these impacts where possible to serve the best interests of the Company and our shareholders. As part of this approach, at the end of the performance period, the Committee planned to evaluate</w:t>
      </w:r>
    </w:p>
    <w:p>
      <w:pPr>
        <w:spacing w:after="0" w:line="1" w:lineRule="exact"/>
        <w:rPr>
          <w:sz w:val="20"/>
          <w:szCs w:val="20"/>
          <w:color w:val="auto"/>
        </w:rPr>
      </w:pPr>
    </w:p>
    <w:p>
      <w:pPr>
        <w:ind w:right="1340"/>
        <w:spacing w:after="0" w:line="321" w:lineRule="auto"/>
        <w:rPr>
          <w:sz w:val="20"/>
          <w:szCs w:val="20"/>
          <w:color w:val="auto"/>
        </w:rPr>
      </w:pPr>
      <w:r>
        <w:rPr>
          <w:rFonts w:ascii="Arial" w:cs="Arial" w:eastAsia="Arial" w:hAnsi="Arial"/>
          <w:sz w:val="16"/>
          <w:szCs w:val="16"/>
          <w:color w:val="auto"/>
        </w:rPr>
        <w:t>the ultimate tariff impact and management’s actions to mitigate these impacts in determining how to apply pre-defined adjustments.</w:t>
      </w:r>
    </w:p>
    <w:p>
      <w:pPr>
        <w:spacing w:after="0" w:line="88"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color w:val="auto"/>
        </w:rPr>
        <w:t>The Committee’s pre-approved potential adjustments to the financial results for calculating STIP performance were based on factors known at the time but whose actual impacts were not predictable. These factors included the direct cost of new 2025 tariffs measured across materials, components, raw materials, and vehicles; impacts from elimination or reduction of Inflation Reduction Act (“IRA”) Cell and Module Credits; and impacts from elimination of IRA Consumer Tax Credit and reduced stringency to GHG/CAFE (“Corporate Average Fuel Economy”) regulatory requirements. See Appendix A for additional details of the application and impact of these adjustments.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Advocacy and Mitigation Efforts</w:t>
      </w:r>
    </w:p>
    <w:p>
      <w:pPr>
        <w:spacing w:after="0" w:line="93"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Our exposure to tariffs for 2025 was initially projected in May to have a gross impact of $4.0B-5.0B. Our leadership team undertook significant efforts to shift production and alter supply chains, as well as actively engage with policymakers, to reduce the immediate financial impact of tariffs on the business as much as possible. As a result of these extraordinary efforts, management meaningfully mitigated the impact of tariffs, reducing the impact to approximately $3.1B. The Committee believes that our leadership team’s actions were significantly beneficial to our shareholders, including as reflected in the Company’s strong stock price performance for the year. As a result, in evaluating these outcomes at the end of the year, the Committee determined that it was appropriate to incorporate certain tariff-related adjustments into our</w:t>
      </w:r>
    </w:p>
    <w:p>
      <w:pPr>
        <w:spacing w:after="0" w:line="4" w:lineRule="exact"/>
        <w:rPr>
          <w:sz w:val="20"/>
          <w:szCs w:val="20"/>
          <w:color w:val="auto"/>
        </w:rPr>
      </w:pPr>
    </w:p>
    <w:p>
      <w:pPr>
        <w:ind w:right="760"/>
        <w:spacing w:after="0" w:line="321" w:lineRule="auto"/>
        <w:rPr>
          <w:sz w:val="20"/>
          <w:szCs w:val="20"/>
          <w:color w:val="auto"/>
        </w:rPr>
      </w:pPr>
      <w:r>
        <w:rPr>
          <w:rFonts w:ascii="Arial" w:cs="Arial" w:eastAsia="Arial" w:hAnsi="Arial"/>
          <w:sz w:val="16"/>
          <w:szCs w:val="16"/>
          <w:color w:val="auto"/>
        </w:rPr>
        <w:t>2025 EBIT-adjusted and AAFCF performance results based on the Committee’s pre-approved set of adjustments. See Appendix A for additional details of the application and impact of these adjustments.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2025 EV Impairments and Special Charges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long-term strategy, management has consistently invested to develop and manufacture award-winning EVs</w:t>
      </w:r>
    </w:p>
    <w:p>
      <w:pPr>
        <w:spacing w:after="0" w:line="32"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that we deliver cost-effectively to meet consumer demand. In establishing this strategy, our approach reflected the regulatory environment in which we were operating and developed around meeting rising consumer demand at that time. However, following certain recent U.S. government policy changes, including the termination of certain consumer tax incentives for EV purchases and the reduction in the stringency of emissions regulations, the Company anticipated demand for EVs would slow, and as a result took steps to reassess our EV capacity and manufacturing footprint. These policy changes and the steps we took in response led the Audit Committee to approve impairments and related charges of $7.9B. These charges are treated as special and are excluded from the EBIT-adjusted value as reported in our 2025 Form 10-K.</w:t>
      </w:r>
    </w:p>
    <w:p>
      <w:pPr>
        <w:spacing w:after="0" w:line="118"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For the purposes of our 2025 EBIT-adjusted results for our STIP, the Committee believed that the financial impacts of the dynamic policy changes, which were outside of management’s direct control, should not unduly penalize management’s multi-year efforts to advance our long-term EV strategy. Moreover, the Committee believes it is important that the Company continue to be well-positioned to succeed in the event that the demand environment for EVs accelerates.</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02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51</w:t>
      </w:r>
    </w:p>
    <w:p>
      <w:pPr>
        <w:sectPr>
          <w:pgSz w:w="11900" w:h="16838" w:orient="portrait"/>
          <w:cols w:equalWidth="0" w:num="1">
            <w:col w:w="9220"/>
          </w:cols>
          <w:pgMar w:left="1400" w:top="657" w:right="12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520"/>
        <w:spacing w:after="0" w:line="221" w:lineRule="exact"/>
        <w:rPr>
          <w:sz w:val="20"/>
          <w:szCs w:val="20"/>
          <w:color w:val="auto"/>
        </w:rPr>
      </w:pPr>
      <w:r>
        <w:rPr>
          <w:rFonts w:ascii="Arial" w:cs="Arial" w:eastAsia="Arial" w:hAnsi="Arial"/>
          <w:sz w:val="16"/>
          <w:szCs w:val="16"/>
          <w:color w:val="auto"/>
        </w:rPr>
        <w:t>At the same time, the Committee determined that it would not be appropriate to reward management for any regulatory changes that had a positive financial effect on the Company’s results during the year. As a result, of the total EV charge recognized in 2025, the Committee excluded $0.8B from the EBIT-adjusted performance result under the STIP as that amount related to EV capacity and footprint actions that drove performance improvements in 2025. The Committee also approved customary adjustments consistent with prior years, as described in our 2025 Form 10</w:t>
      </w:r>
      <w:r>
        <w:rPr>
          <w:rFonts w:ascii="MS PGothic" w:cs="MS PGothic" w:eastAsia="MS PGothic" w:hAnsi="MS PGothic"/>
          <w:sz w:val="16"/>
          <w:szCs w:val="16"/>
          <w:color w:val="auto"/>
        </w:rPr>
        <w:t>‑</w:t>
      </w:r>
      <w:r>
        <w:rPr>
          <w:rFonts w:ascii="Arial" w:cs="Arial" w:eastAsia="Arial" w:hAnsi="Arial"/>
          <w:sz w:val="16"/>
          <w:szCs w:val="16"/>
          <w:color w:val="auto"/>
        </w:rPr>
        <w:t>K and Appendix A.</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Final 2025 STIP performance approved by the Compensation Committee is shown below.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80" w:type="dxa"/>
            <w:vAlign w:val="bottom"/>
            <w:shd w:val="clear" w:color="auto" w:fill="ECEBEB"/>
          </w:tcPr>
          <w:p>
            <w:pPr>
              <w:spacing w:after="0"/>
              <w:rPr>
                <w:sz w:val="21"/>
                <w:szCs w:val="21"/>
                <w:color w:val="auto"/>
              </w:rPr>
            </w:pPr>
          </w:p>
        </w:tc>
        <w:tc>
          <w:tcPr>
            <w:tcW w:w="1060" w:type="dxa"/>
            <w:vAlign w:val="bottom"/>
            <w:shd w:val="clear" w:color="auto" w:fill="ECEBEB"/>
          </w:tcPr>
          <w:p>
            <w:pPr>
              <w:spacing w:after="0"/>
              <w:rPr>
                <w:sz w:val="21"/>
                <w:szCs w:val="21"/>
                <w:color w:val="auto"/>
              </w:rPr>
            </w:pPr>
          </w:p>
        </w:tc>
        <w:tc>
          <w:tcPr>
            <w:tcW w:w="980" w:type="dxa"/>
            <w:vAlign w:val="bottom"/>
            <w:shd w:val="clear" w:color="auto" w:fill="ECEBEB"/>
          </w:tcPr>
          <w:p>
            <w:pPr>
              <w:jc w:val="right"/>
              <w:ind w:right="44"/>
              <w:spacing w:after="0"/>
              <w:rPr>
                <w:sz w:val="20"/>
                <w:szCs w:val="20"/>
                <w:color w:val="auto"/>
              </w:rPr>
            </w:pPr>
            <w:r>
              <w:rPr>
                <w:rFonts w:ascii="Arial" w:cs="Arial" w:eastAsia="Arial" w:hAnsi="Arial"/>
                <w:sz w:val="14"/>
                <w:szCs w:val="14"/>
                <w:b w:val="1"/>
                <w:bCs w:val="1"/>
                <w:color w:val="auto"/>
              </w:rPr>
              <w:t>Threshold</w:t>
            </w:r>
          </w:p>
        </w:tc>
        <w:tc>
          <w:tcPr>
            <w:tcW w:w="1060" w:type="dxa"/>
            <w:vAlign w:val="bottom"/>
            <w:shd w:val="clear" w:color="auto" w:fill="ECEBEB"/>
          </w:tcPr>
          <w:p>
            <w:pPr>
              <w:jc w:val="right"/>
              <w:ind w:right="23"/>
              <w:spacing w:after="0"/>
              <w:rPr>
                <w:sz w:val="20"/>
                <w:szCs w:val="20"/>
                <w:color w:val="auto"/>
              </w:rPr>
            </w:pPr>
            <w:r>
              <w:rPr>
                <w:rFonts w:ascii="Arial" w:cs="Arial" w:eastAsia="Arial" w:hAnsi="Arial"/>
                <w:sz w:val="14"/>
                <w:szCs w:val="14"/>
                <w:b w:val="1"/>
                <w:bCs w:val="1"/>
                <w:color w:val="auto"/>
              </w:rPr>
              <w:t>Target</w:t>
            </w:r>
          </w:p>
        </w:tc>
        <w:tc>
          <w:tcPr>
            <w:tcW w:w="1360" w:type="dxa"/>
            <w:vAlign w:val="bottom"/>
            <w:shd w:val="clear" w:color="auto" w:fill="ECEBEB"/>
          </w:tcPr>
          <w:p>
            <w:pPr>
              <w:jc w:val="right"/>
              <w:ind w:right="184"/>
              <w:spacing w:after="0"/>
              <w:rPr>
                <w:sz w:val="20"/>
                <w:szCs w:val="20"/>
                <w:color w:val="auto"/>
              </w:rPr>
            </w:pPr>
            <w:r>
              <w:rPr>
                <w:rFonts w:ascii="Arial" w:cs="Arial" w:eastAsia="Arial" w:hAnsi="Arial"/>
                <w:sz w:val="14"/>
                <w:szCs w:val="14"/>
                <w:b w:val="1"/>
                <w:bCs w:val="1"/>
                <w:color w:val="auto"/>
              </w:rPr>
              <w:t>Maximum</w:t>
            </w:r>
          </w:p>
        </w:tc>
        <w:tc>
          <w:tcPr>
            <w:tcW w:w="1400" w:type="dxa"/>
            <w:vAlign w:val="bottom"/>
            <w:shd w:val="clear" w:color="auto" w:fill="ECEBEB"/>
          </w:tcPr>
          <w:p>
            <w:pPr>
              <w:jc w:val="right"/>
              <w:ind w:right="161"/>
              <w:spacing w:after="0"/>
              <w:rPr>
                <w:sz w:val="20"/>
                <w:szCs w:val="20"/>
                <w:color w:val="auto"/>
              </w:rPr>
            </w:pPr>
            <w:r>
              <w:rPr>
                <w:rFonts w:ascii="Arial" w:cs="Arial" w:eastAsia="Arial" w:hAnsi="Arial"/>
                <w:sz w:val="14"/>
                <w:szCs w:val="14"/>
                <w:b w:val="1"/>
                <w:bCs w:val="1"/>
                <w:color w:val="auto"/>
              </w:rPr>
              <w:t>Performance</w:t>
            </w:r>
          </w:p>
        </w:tc>
        <w:tc>
          <w:tcPr>
            <w:tcW w:w="740" w:type="dxa"/>
            <w:vAlign w:val="bottom"/>
            <w:shd w:val="clear" w:color="auto" w:fill="ECEBEB"/>
          </w:tcPr>
          <w:p>
            <w:pPr>
              <w:spacing w:after="0"/>
              <w:rPr>
                <w:sz w:val="21"/>
                <w:szCs w:val="21"/>
                <w:color w:val="auto"/>
              </w:rPr>
            </w:pPr>
          </w:p>
        </w:tc>
        <w:tc>
          <w:tcPr>
            <w:tcW w:w="20" w:type="dxa"/>
            <w:vAlign w:val="bottom"/>
          </w:tcPr>
          <w:p>
            <w:pPr>
              <w:spacing w:after="0"/>
              <w:rPr>
                <w:sz w:val="21"/>
                <w:szCs w:val="21"/>
                <w:color w:val="auto"/>
              </w:rPr>
            </w:pPr>
          </w:p>
        </w:tc>
      </w:tr>
      <w:tr>
        <w:trPr>
          <w:trHeight w:val="171"/>
        </w:trPr>
        <w:tc>
          <w:tcPr>
            <w:tcW w:w="248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STIP Measure</w:t>
            </w:r>
          </w:p>
        </w:tc>
        <w:tc>
          <w:tcPr>
            <w:tcW w:w="1060" w:type="dxa"/>
            <w:vAlign w:val="bottom"/>
            <w:tcBorders>
              <w:bottom w:val="single" w:sz="8" w:color="0956FF"/>
            </w:tcBorders>
            <w:shd w:val="clear" w:color="auto" w:fill="ECEBEB"/>
          </w:tcPr>
          <w:p>
            <w:pPr>
              <w:jc w:val="right"/>
              <w:ind w:right="100"/>
              <w:spacing w:after="0"/>
              <w:rPr>
                <w:sz w:val="20"/>
                <w:szCs w:val="20"/>
                <w:color w:val="auto"/>
              </w:rPr>
            </w:pPr>
            <w:r>
              <w:rPr>
                <w:rFonts w:ascii="Arial" w:cs="Arial" w:eastAsia="Arial" w:hAnsi="Arial"/>
                <w:sz w:val="14"/>
                <w:szCs w:val="14"/>
                <w:b w:val="1"/>
                <w:bCs w:val="1"/>
                <w:color w:val="auto"/>
              </w:rPr>
              <w:t>Weight</w:t>
            </w:r>
          </w:p>
        </w:tc>
        <w:tc>
          <w:tcPr>
            <w:tcW w:w="980" w:type="dxa"/>
            <w:vAlign w:val="bottom"/>
            <w:tcBorders>
              <w:bottom w:val="single" w:sz="8" w:color="0956FF"/>
            </w:tcBorders>
            <w:shd w:val="clear" w:color="auto" w:fill="ECEBEB"/>
          </w:tcPr>
          <w:p>
            <w:pPr>
              <w:jc w:val="right"/>
              <w:ind w:right="64"/>
              <w:spacing w:after="0"/>
              <w:rPr>
                <w:sz w:val="20"/>
                <w:szCs w:val="20"/>
                <w:color w:val="auto"/>
              </w:rPr>
            </w:pPr>
            <w:r>
              <w:rPr>
                <w:rFonts w:ascii="Arial" w:cs="Arial" w:eastAsia="Arial" w:hAnsi="Arial"/>
                <w:sz w:val="14"/>
                <w:szCs w:val="14"/>
                <w:b w:val="1"/>
                <w:bCs w:val="1"/>
                <w:color w:val="auto"/>
              </w:rPr>
              <w:t>25%</w:t>
            </w:r>
          </w:p>
        </w:tc>
        <w:tc>
          <w:tcPr>
            <w:tcW w:w="1060" w:type="dxa"/>
            <w:vAlign w:val="bottom"/>
            <w:tcBorders>
              <w:bottom w:val="single" w:sz="8" w:color="0956FF"/>
            </w:tcBorders>
            <w:shd w:val="clear" w:color="auto" w:fill="ECEBEB"/>
          </w:tcPr>
          <w:p>
            <w:pPr>
              <w:jc w:val="right"/>
              <w:ind w:right="3"/>
              <w:spacing w:after="0"/>
              <w:rPr>
                <w:sz w:val="20"/>
                <w:szCs w:val="20"/>
                <w:color w:val="auto"/>
              </w:rPr>
            </w:pPr>
            <w:r>
              <w:rPr>
                <w:rFonts w:ascii="Arial" w:cs="Arial" w:eastAsia="Arial" w:hAnsi="Arial"/>
                <w:sz w:val="14"/>
                <w:szCs w:val="14"/>
                <w:b w:val="1"/>
                <w:bCs w:val="1"/>
                <w:color w:val="auto"/>
              </w:rPr>
              <w:t>100%</w:t>
            </w:r>
          </w:p>
        </w:tc>
        <w:tc>
          <w:tcPr>
            <w:tcW w:w="1360" w:type="dxa"/>
            <w:vAlign w:val="bottom"/>
            <w:tcBorders>
              <w:bottom w:val="single" w:sz="8" w:color="0956FF"/>
            </w:tcBorders>
            <w:shd w:val="clear" w:color="auto" w:fill="ECEBEB"/>
          </w:tcPr>
          <w:p>
            <w:pPr>
              <w:jc w:val="right"/>
              <w:ind w:right="224"/>
              <w:spacing w:after="0"/>
              <w:rPr>
                <w:sz w:val="20"/>
                <w:szCs w:val="20"/>
                <w:color w:val="auto"/>
              </w:rPr>
            </w:pPr>
            <w:r>
              <w:rPr>
                <w:rFonts w:ascii="Arial" w:cs="Arial" w:eastAsia="Arial" w:hAnsi="Arial"/>
                <w:sz w:val="14"/>
                <w:szCs w:val="14"/>
                <w:b w:val="1"/>
                <w:bCs w:val="1"/>
                <w:color w:val="auto"/>
              </w:rPr>
              <w:t>200%</w:t>
            </w:r>
          </w:p>
        </w:tc>
        <w:tc>
          <w:tcPr>
            <w:tcW w:w="1400" w:type="dxa"/>
            <w:vAlign w:val="bottom"/>
            <w:tcBorders>
              <w:bottom w:val="single" w:sz="8" w:color="0956FF"/>
            </w:tcBorders>
            <w:shd w:val="clear" w:color="auto" w:fill="ECEBEB"/>
          </w:tcPr>
          <w:p>
            <w:pPr>
              <w:jc w:val="right"/>
              <w:ind w:right="141"/>
              <w:spacing w:after="0"/>
              <w:rPr>
                <w:sz w:val="20"/>
                <w:szCs w:val="20"/>
                <w:color w:val="auto"/>
              </w:rPr>
            </w:pPr>
            <w:r>
              <w:rPr>
                <w:rFonts w:ascii="Arial" w:cs="Arial" w:eastAsia="Arial" w:hAnsi="Arial"/>
                <w:sz w:val="14"/>
                <w:szCs w:val="14"/>
                <w:b w:val="1"/>
                <w:bCs w:val="1"/>
                <w:color w:val="auto"/>
              </w:rPr>
              <w:t>Result</w:t>
            </w:r>
          </w:p>
        </w:tc>
        <w:tc>
          <w:tcPr>
            <w:tcW w:w="7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Payout</w:t>
            </w:r>
          </w:p>
        </w:tc>
        <w:tc>
          <w:tcPr>
            <w:tcW w:w="20" w:type="dxa"/>
            <w:vAlign w:val="bottom"/>
          </w:tcPr>
          <w:p>
            <w:pPr>
              <w:spacing w:after="0"/>
              <w:rPr>
                <w:sz w:val="14"/>
                <w:szCs w:val="14"/>
                <w:color w:val="auto"/>
              </w:rPr>
            </w:pPr>
          </w:p>
        </w:tc>
      </w:tr>
      <w:tr>
        <w:trPr>
          <w:trHeight w:val="250"/>
        </w:trPr>
        <w:tc>
          <w:tcPr>
            <w:tcW w:w="248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auto"/>
              </w:rPr>
              <w:t xml:space="preserve">EBIT-adjusted ($B) </w:t>
            </w:r>
            <w:r>
              <w:rPr>
                <w:rFonts w:ascii="Arial" w:cs="Arial" w:eastAsia="Arial" w:hAnsi="Arial"/>
                <w:sz w:val="21"/>
                <w:szCs w:val="21"/>
                <w:color w:val="auto"/>
                <w:vertAlign w:val="superscript"/>
              </w:rPr>
              <w:t>(1)</w:t>
            </w:r>
          </w:p>
        </w:tc>
        <w:tc>
          <w:tcPr>
            <w:tcW w:w="106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auto"/>
              </w:rPr>
              <w:t>35%</w:t>
            </w:r>
          </w:p>
        </w:tc>
        <w:tc>
          <w:tcPr>
            <w:tcW w:w="980" w:type="dxa"/>
            <w:vAlign w:val="bottom"/>
            <w:tcBorders>
              <w:bottom w:val="single" w:sz="8" w:color="D9D9D6"/>
            </w:tcBorders>
          </w:tcPr>
          <w:p>
            <w:pPr>
              <w:jc w:val="right"/>
              <w:ind w:right="144"/>
              <w:spacing w:after="0"/>
              <w:rPr>
                <w:sz w:val="20"/>
                <w:szCs w:val="20"/>
                <w:color w:val="auto"/>
              </w:rPr>
            </w:pPr>
            <w:r>
              <w:rPr>
                <w:rFonts w:ascii="Arial" w:cs="Arial" w:eastAsia="Arial" w:hAnsi="Arial"/>
                <w:sz w:val="16"/>
                <w:szCs w:val="16"/>
                <w:color w:val="auto"/>
              </w:rPr>
              <w:t>$8.8</w:t>
            </w:r>
          </w:p>
        </w:tc>
        <w:tc>
          <w:tcPr>
            <w:tcW w:w="106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auto"/>
              </w:rPr>
              <w:t>$14.7 - $14.9</w:t>
            </w:r>
          </w:p>
        </w:tc>
        <w:tc>
          <w:tcPr>
            <w:tcW w:w="1360" w:type="dxa"/>
            <w:vAlign w:val="bottom"/>
            <w:tcBorders>
              <w:bottom w:val="single" w:sz="8" w:color="D9D9D6"/>
            </w:tcBorders>
          </w:tcPr>
          <w:p>
            <w:pPr>
              <w:jc w:val="right"/>
              <w:ind w:right="244"/>
              <w:spacing w:after="0"/>
              <w:rPr>
                <w:sz w:val="20"/>
                <w:szCs w:val="20"/>
                <w:color w:val="auto"/>
              </w:rPr>
            </w:pPr>
            <w:r>
              <w:rPr>
                <w:rFonts w:ascii="Arial" w:cs="Arial" w:eastAsia="Arial" w:hAnsi="Arial"/>
                <w:sz w:val="16"/>
                <w:szCs w:val="16"/>
                <w:color w:val="auto"/>
              </w:rPr>
              <w:t>$16.9</w:t>
            </w:r>
          </w:p>
        </w:tc>
        <w:tc>
          <w:tcPr>
            <w:tcW w:w="140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auto"/>
              </w:rPr>
              <w:t>$15.0</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21"/>
                <w:szCs w:val="21"/>
                <w:color w:val="auto"/>
              </w:rPr>
            </w:pPr>
          </w:p>
        </w:tc>
      </w:tr>
      <w:tr>
        <w:trPr>
          <w:trHeight w:val="250"/>
        </w:trPr>
        <w:tc>
          <w:tcPr>
            <w:tcW w:w="248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auto"/>
              </w:rPr>
              <w:t>AAFCF ($B)</w:t>
            </w:r>
            <w:r>
              <w:rPr>
                <w:rFonts w:ascii="Arial" w:cs="Arial" w:eastAsia="Arial" w:hAnsi="Arial"/>
                <w:sz w:val="21"/>
                <w:szCs w:val="21"/>
                <w:color w:val="auto"/>
                <w:vertAlign w:val="superscript"/>
              </w:rPr>
              <w:t>(1)</w:t>
            </w:r>
          </w:p>
        </w:tc>
        <w:tc>
          <w:tcPr>
            <w:tcW w:w="1060" w:type="dxa"/>
            <w:vAlign w:val="bottom"/>
            <w:tcBorders>
              <w:bottom w:val="single" w:sz="8" w:color="D9D9D6"/>
            </w:tcBorders>
          </w:tcPr>
          <w:p>
            <w:pPr>
              <w:jc w:val="right"/>
              <w:ind w:right="140"/>
              <w:spacing w:after="0"/>
              <w:rPr>
                <w:sz w:val="20"/>
                <w:szCs w:val="20"/>
                <w:color w:val="auto"/>
              </w:rPr>
            </w:pPr>
            <w:r>
              <w:rPr>
                <w:rFonts w:ascii="Arial" w:cs="Arial" w:eastAsia="Arial" w:hAnsi="Arial"/>
                <w:sz w:val="16"/>
                <w:szCs w:val="16"/>
                <w:color w:val="auto"/>
              </w:rPr>
              <w:t>25%</w:t>
            </w:r>
          </w:p>
        </w:tc>
        <w:tc>
          <w:tcPr>
            <w:tcW w:w="980" w:type="dxa"/>
            <w:vAlign w:val="bottom"/>
            <w:tcBorders>
              <w:bottom w:val="single" w:sz="8" w:color="D9D9D6"/>
            </w:tcBorders>
          </w:tcPr>
          <w:p>
            <w:pPr>
              <w:jc w:val="right"/>
              <w:ind w:right="104"/>
              <w:spacing w:after="0"/>
              <w:rPr>
                <w:sz w:val="20"/>
                <w:szCs w:val="20"/>
                <w:color w:val="auto"/>
              </w:rPr>
            </w:pPr>
            <w:r>
              <w:rPr>
                <w:rFonts w:ascii="Arial" w:cs="Arial" w:eastAsia="Arial" w:hAnsi="Arial"/>
                <w:sz w:val="16"/>
                <w:szCs w:val="16"/>
                <w:color w:val="auto"/>
              </w:rPr>
              <w:t>$6.1</w:t>
            </w:r>
          </w:p>
        </w:tc>
        <w:tc>
          <w:tcPr>
            <w:tcW w:w="1060" w:type="dxa"/>
            <w:vAlign w:val="bottom"/>
            <w:tcBorders>
              <w:bottom w:val="single" w:sz="8" w:color="D9D9D6"/>
            </w:tcBorders>
          </w:tcPr>
          <w:p>
            <w:pPr>
              <w:jc w:val="right"/>
              <w:ind w:right="63"/>
              <w:spacing w:after="0"/>
              <w:rPr>
                <w:sz w:val="20"/>
                <w:szCs w:val="20"/>
                <w:color w:val="auto"/>
              </w:rPr>
            </w:pPr>
            <w:r>
              <w:rPr>
                <w:rFonts w:ascii="Arial" w:cs="Arial" w:eastAsia="Arial" w:hAnsi="Arial"/>
                <w:sz w:val="16"/>
                <w:szCs w:val="16"/>
                <w:color w:val="auto"/>
              </w:rPr>
              <w:t>$12.0</w:t>
            </w:r>
          </w:p>
        </w:tc>
        <w:tc>
          <w:tcPr>
            <w:tcW w:w="1360" w:type="dxa"/>
            <w:vAlign w:val="bottom"/>
            <w:tcBorders>
              <w:bottom w:val="single" w:sz="8" w:color="D9D9D6"/>
            </w:tcBorders>
          </w:tcPr>
          <w:p>
            <w:pPr>
              <w:jc w:val="right"/>
              <w:ind w:right="244"/>
              <w:spacing w:after="0"/>
              <w:rPr>
                <w:sz w:val="20"/>
                <w:szCs w:val="20"/>
                <w:color w:val="auto"/>
              </w:rPr>
            </w:pPr>
            <w:r>
              <w:rPr>
                <w:rFonts w:ascii="Arial" w:cs="Arial" w:eastAsia="Arial" w:hAnsi="Arial"/>
                <w:sz w:val="16"/>
                <w:szCs w:val="16"/>
                <w:color w:val="auto"/>
              </w:rPr>
              <w:t>$14.2</w:t>
            </w:r>
          </w:p>
        </w:tc>
        <w:tc>
          <w:tcPr>
            <w:tcW w:w="1400" w:type="dxa"/>
            <w:vAlign w:val="bottom"/>
            <w:tcBorders>
              <w:bottom w:val="single" w:sz="8" w:color="D9D9D6"/>
            </w:tcBorders>
          </w:tcPr>
          <w:p>
            <w:pPr>
              <w:jc w:val="right"/>
              <w:ind w:right="221"/>
              <w:spacing w:after="0"/>
              <w:rPr>
                <w:sz w:val="20"/>
                <w:szCs w:val="20"/>
                <w:color w:val="auto"/>
              </w:rPr>
            </w:pPr>
            <w:r>
              <w:rPr>
                <w:rFonts w:ascii="Arial" w:cs="Arial" w:eastAsia="Arial" w:hAnsi="Arial"/>
                <w:sz w:val="16"/>
                <w:szCs w:val="16"/>
                <w:color w:val="auto"/>
              </w:rPr>
              <w:t>$14.4</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21"/>
                <w:szCs w:val="21"/>
                <w:color w:val="auto"/>
              </w:rPr>
            </w:pPr>
          </w:p>
        </w:tc>
      </w:tr>
      <w:tr>
        <w:trPr>
          <w:trHeight w:val="212"/>
        </w:trPr>
        <w:tc>
          <w:tcPr>
            <w:tcW w:w="2480" w:type="dxa"/>
            <w:vAlign w:val="bottom"/>
          </w:tcPr>
          <w:p>
            <w:pPr>
              <w:ind w:left="60"/>
              <w:spacing w:after="0"/>
              <w:rPr>
                <w:sz w:val="20"/>
                <w:szCs w:val="20"/>
                <w:color w:val="auto"/>
              </w:rPr>
            </w:pPr>
            <w:r>
              <w:rPr>
                <w:rFonts w:ascii="Arial" w:cs="Arial" w:eastAsia="Arial" w:hAnsi="Arial"/>
                <w:sz w:val="16"/>
                <w:szCs w:val="16"/>
                <w:color w:val="auto"/>
              </w:rPr>
              <w:t>EV Variable Cost Percentage</w:t>
            </w:r>
          </w:p>
        </w:tc>
        <w:tc>
          <w:tcPr>
            <w:tcW w:w="1060" w:type="dxa"/>
            <w:vAlign w:val="bottom"/>
          </w:tcPr>
          <w:p>
            <w:pPr>
              <w:jc w:val="right"/>
              <w:ind w:right="140"/>
              <w:spacing w:after="0"/>
              <w:rPr>
                <w:sz w:val="20"/>
                <w:szCs w:val="20"/>
                <w:color w:val="auto"/>
              </w:rPr>
            </w:pPr>
            <w:r>
              <w:rPr>
                <w:rFonts w:ascii="Arial" w:cs="Arial" w:eastAsia="Arial" w:hAnsi="Arial"/>
                <w:sz w:val="16"/>
                <w:szCs w:val="16"/>
                <w:color w:val="auto"/>
              </w:rPr>
              <w:t>25%</w:t>
            </w:r>
          </w:p>
        </w:tc>
        <w:tc>
          <w:tcPr>
            <w:tcW w:w="980" w:type="dxa"/>
            <w:vAlign w:val="bottom"/>
          </w:tcPr>
          <w:p>
            <w:pPr>
              <w:jc w:val="right"/>
              <w:ind w:right="84"/>
              <w:spacing w:after="0"/>
              <w:rPr>
                <w:sz w:val="20"/>
                <w:szCs w:val="20"/>
                <w:color w:val="auto"/>
              </w:rPr>
            </w:pPr>
            <w:r>
              <w:rPr>
                <w:rFonts w:ascii="Arial" w:cs="Arial" w:eastAsia="Arial" w:hAnsi="Arial"/>
                <w:sz w:val="16"/>
                <w:szCs w:val="16"/>
                <w:color w:val="auto"/>
              </w:rPr>
              <w:t>5%</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1360" w:type="dxa"/>
            <w:vAlign w:val="bottom"/>
          </w:tcPr>
          <w:p>
            <w:pPr>
              <w:jc w:val="right"/>
              <w:ind w:right="184"/>
              <w:spacing w:after="0"/>
              <w:rPr>
                <w:sz w:val="20"/>
                <w:szCs w:val="20"/>
                <w:color w:val="auto"/>
              </w:rPr>
            </w:pPr>
            <w:r>
              <w:rPr>
                <w:rFonts w:ascii="Arial" w:cs="Arial" w:eastAsia="Arial" w:hAnsi="Arial"/>
                <w:sz w:val="16"/>
                <w:szCs w:val="16"/>
                <w:color w:val="auto"/>
              </w:rPr>
              <w:t>15%</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5%</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240"/>
        </w:trPr>
        <w:tc>
          <w:tcPr>
            <w:tcW w:w="2480" w:type="dxa"/>
            <w:vAlign w:val="bottom"/>
            <w:tcBorders>
              <w:bottom w:val="single" w:sz="8" w:color="D9D9D6"/>
            </w:tcBorders>
          </w:tcPr>
          <w:p>
            <w:pPr>
              <w:ind w:left="60"/>
              <w:spacing w:after="0" w:line="240" w:lineRule="exact"/>
              <w:rPr>
                <w:sz w:val="20"/>
                <w:szCs w:val="20"/>
                <w:color w:val="auto"/>
              </w:rPr>
            </w:pPr>
            <w:r>
              <w:rPr>
                <w:rFonts w:ascii="Arial" w:cs="Arial" w:eastAsia="Arial" w:hAnsi="Arial"/>
                <w:sz w:val="16"/>
                <w:szCs w:val="16"/>
                <w:color w:val="auto"/>
              </w:rPr>
              <w:t xml:space="preserve">Improvement </w:t>
            </w:r>
            <w:r>
              <w:rPr>
                <w:rFonts w:ascii="Arial" w:cs="Arial" w:eastAsia="Arial" w:hAnsi="Arial"/>
                <w:sz w:val="21"/>
                <w:szCs w:val="21"/>
                <w:color w:val="auto"/>
                <w:vertAlign w:val="superscript"/>
              </w:rPr>
              <w:t>(2)</w:t>
            </w:r>
          </w:p>
        </w:tc>
        <w:tc>
          <w:tcPr>
            <w:tcW w:w="1060" w:type="dxa"/>
            <w:vAlign w:val="bottom"/>
            <w:tcBorders>
              <w:bottom w:val="single" w:sz="8" w:color="D9D9D6"/>
            </w:tcBorders>
          </w:tcPr>
          <w:p>
            <w:pPr>
              <w:spacing w:after="0"/>
              <w:rPr>
                <w:sz w:val="20"/>
                <w:szCs w:val="20"/>
                <w:color w:val="auto"/>
              </w:rPr>
            </w:pPr>
          </w:p>
        </w:tc>
        <w:tc>
          <w:tcPr>
            <w:tcW w:w="980" w:type="dxa"/>
            <w:vAlign w:val="bottom"/>
            <w:tcBorders>
              <w:bottom w:val="single" w:sz="8" w:color="D9D9D6"/>
            </w:tcBorders>
          </w:tcPr>
          <w:p>
            <w:pPr>
              <w:spacing w:after="0"/>
              <w:rPr>
                <w:sz w:val="20"/>
                <w:szCs w:val="20"/>
                <w:color w:val="auto"/>
              </w:rPr>
            </w:pPr>
          </w:p>
        </w:tc>
        <w:tc>
          <w:tcPr>
            <w:tcW w:w="1060" w:type="dxa"/>
            <w:vAlign w:val="bottom"/>
            <w:tcBorders>
              <w:bottom w:val="single" w:sz="8" w:color="D9D9D6"/>
            </w:tcBorders>
          </w:tcPr>
          <w:p>
            <w:pPr>
              <w:spacing w:after="0"/>
              <w:rPr>
                <w:sz w:val="20"/>
                <w:szCs w:val="20"/>
                <w:color w:val="auto"/>
              </w:rPr>
            </w:pPr>
          </w:p>
        </w:tc>
        <w:tc>
          <w:tcPr>
            <w:tcW w:w="1360" w:type="dxa"/>
            <w:vAlign w:val="bottom"/>
            <w:tcBorders>
              <w:bottom w:val="single" w:sz="8" w:color="D9D9D6"/>
            </w:tcBorders>
          </w:tcPr>
          <w:p>
            <w:pPr>
              <w:spacing w:after="0"/>
              <w:rPr>
                <w:sz w:val="20"/>
                <w:szCs w:val="20"/>
                <w:color w:val="auto"/>
              </w:rPr>
            </w:pPr>
          </w:p>
        </w:tc>
        <w:tc>
          <w:tcPr>
            <w:tcW w:w="1400" w:type="dxa"/>
            <w:vAlign w:val="bottom"/>
            <w:tcBorders>
              <w:bottom w:val="single" w:sz="8" w:color="D9D9D6"/>
            </w:tcBorders>
          </w:tcPr>
          <w:p>
            <w:pPr>
              <w:spacing w:after="0"/>
              <w:rPr>
                <w:sz w:val="20"/>
                <w:szCs w:val="20"/>
                <w:color w:val="auto"/>
              </w:rPr>
            </w:pPr>
          </w:p>
        </w:tc>
        <w:tc>
          <w:tcPr>
            <w:tcW w:w="740" w:type="dxa"/>
            <w:vAlign w:val="bottom"/>
            <w:tcBorders>
              <w:bottom w:val="single" w:sz="8" w:color="D9D9D6"/>
            </w:tcBorders>
          </w:tcPr>
          <w:p>
            <w:pPr>
              <w:spacing w:after="0"/>
              <w:rPr>
                <w:sz w:val="20"/>
                <w:szCs w:val="20"/>
                <w:color w:val="auto"/>
              </w:rPr>
            </w:pPr>
          </w:p>
        </w:tc>
        <w:tc>
          <w:tcPr>
            <w:tcW w:w="20" w:type="dxa"/>
            <w:vAlign w:val="bottom"/>
          </w:tcPr>
          <w:p>
            <w:pPr>
              <w:spacing w:after="0"/>
              <w:rPr>
                <w:sz w:val="20"/>
                <w:szCs w:val="20"/>
                <w:color w:val="auto"/>
              </w:rPr>
            </w:pPr>
          </w:p>
        </w:tc>
      </w:tr>
      <w:tr>
        <w:trPr>
          <w:trHeight w:val="200"/>
        </w:trPr>
        <w:tc>
          <w:tcPr>
            <w:tcW w:w="2480" w:type="dxa"/>
            <w:vAlign w:val="bottom"/>
          </w:tcPr>
          <w:p>
            <w:pPr>
              <w:ind w:left="60"/>
              <w:spacing w:after="0"/>
              <w:rPr>
                <w:sz w:val="20"/>
                <w:szCs w:val="20"/>
                <w:color w:val="auto"/>
              </w:rPr>
            </w:pPr>
            <w:r>
              <w:rPr>
                <w:rFonts w:ascii="Arial" w:cs="Arial" w:eastAsia="Arial" w:hAnsi="Arial"/>
                <w:sz w:val="16"/>
                <w:szCs w:val="16"/>
                <w:color w:val="auto"/>
              </w:rPr>
              <w:t>S&amp;S Goal</w:t>
            </w:r>
          </w:p>
        </w:tc>
        <w:tc>
          <w:tcPr>
            <w:tcW w:w="106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3400" w:type="dxa"/>
            <w:vAlign w:val="bottom"/>
            <w:gridSpan w:val="3"/>
          </w:tcPr>
          <w:p>
            <w:pPr>
              <w:jc w:val="right"/>
              <w:ind w:right="244"/>
              <w:spacing w:after="0"/>
              <w:rPr>
                <w:sz w:val="20"/>
                <w:szCs w:val="20"/>
                <w:color w:val="auto"/>
              </w:rPr>
            </w:pPr>
            <w:r>
              <w:rPr>
                <w:rFonts w:ascii="Arial" w:cs="Arial" w:eastAsia="Arial" w:hAnsi="Arial"/>
                <w:sz w:val="14"/>
                <w:szCs w:val="14"/>
                <w:color w:val="auto"/>
              </w:rPr>
              <w:t>Vehicle software released on-time and</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Above target</w:t>
            </w: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r>
      <w:tr>
        <w:trPr>
          <w:trHeight w:val="194"/>
        </w:trPr>
        <w:tc>
          <w:tcPr>
            <w:tcW w:w="2480" w:type="dxa"/>
            <w:vAlign w:val="bottom"/>
            <w:tcBorders>
              <w:bottom w:val="single" w:sz="8" w:color="D9D9D6"/>
            </w:tcBorders>
          </w:tcPr>
          <w:p>
            <w:pPr>
              <w:spacing w:after="0"/>
              <w:rPr>
                <w:sz w:val="16"/>
                <w:szCs w:val="16"/>
                <w:color w:val="auto"/>
              </w:rPr>
            </w:pPr>
          </w:p>
        </w:tc>
        <w:tc>
          <w:tcPr>
            <w:tcW w:w="1060" w:type="dxa"/>
            <w:vAlign w:val="bottom"/>
            <w:tcBorders>
              <w:bottom w:val="single" w:sz="8" w:color="D9D9D6"/>
            </w:tcBorders>
          </w:tcPr>
          <w:p>
            <w:pPr>
              <w:spacing w:after="0"/>
              <w:rPr>
                <w:sz w:val="16"/>
                <w:szCs w:val="16"/>
                <w:color w:val="auto"/>
              </w:rPr>
            </w:pPr>
          </w:p>
        </w:tc>
        <w:tc>
          <w:tcPr>
            <w:tcW w:w="980" w:type="dxa"/>
            <w:vAlign w:val="bottom"/>
            <w:tcBorders>
              <w:bottom w:val="single" w:sz="8" w:color="D9D9D6"/>
            </w:tcBorders>
          </w:tcPr>
          <w:p>
            <w:pPr>
              <w:spacing w:after="0"/>
              <w:rPr>
                <w:sz w:val="16"/>
                <w:szCs w:val="16"/>
                <w:color w:val="auto"/>
              </w:rPr>
            </w:pPr>
          </w:p>
        </w:tc>
        <w:tc>
          <w:tcPr>
            <w:tcW w:w="1060" w:type="dxa"/>
            <w:vAlign w:val="bottom"/>
            <w:tcBorders>
              <w:bottom w:val="single" w:sz="8" w:color="D9D9D6"/>
            </w:tcBorders>
          </w:tcPr>
          <w:p>
            <w:pPr>
              <w:spacing w:after="0"/>
              <w:rPr>
                <w:sz w:val="16"/>
                <w:szCs w:val="16"/>
                <w:color w:val="auto"/>
              </w:rPr>
            </w:pPr>
          </w:p>
        </w:tc>
        <w:tc>
          <w:tcPr>
            <w:tcW w:w="1360" w:type="dxa"/>
            <w:vAlign w:val="bottom"/>
            <w:tcBorders>
              <w:bottom w:val="single" w:sz="8" w:color="D9D9D6"/>
            </w:tcBorders>
          </w:tcPr>
          <w:p>
            <w:pPr>
              <w:jc w:val="right"/>
              <w:ind w:right="224"/>
              <w:spacing w:after="0"/>
              <w:rPr>
                <w:sz w:val="20"/>
                <w:szCs w:val="20"/>
                <w:color w:val="auto"/>
              </w:rPr>
            </w:pPr>
            <w:r>
              <w:rPr>
                <w:rFonts w:ascii="Arial" w:cs="Arial" w:eastAsia="Arial" w:hAnsi="Arial"/>
                <w:sz w:val="14"/>
                <w:szCs w:val="14"/>
                <w:color w:val="auto"/>
              </w:rPr>
              <w:t>with quality</w:t>
            </w:r>
          </w:p>
        </w:tc>
        <w:tc>
          <w:tcPr>
            <w:tcW w:w="1400" w:type="dxa"/>
            <w:vAlign w:val="bottom"/>
            <w:tcBorders>
              <w:bottom w:val="single" w:sz="8" w:color="D9D9D6"/>
            </w:tcBorders>
          </w:tcPr>
          <w:p>
            <w:pPr>
              <w:spacing w:after="0"/>
              <w:rPr>
                <w:sz w:val="16"/>
                <w:szCs w:val="16"/>
                <w:color w:val="auto"/>
              </w:rPr>
            </w:pPr>
          </w:p>
        </w:tc>
        <w:tc>
          <w:tcPr>
            <w:tcW w:w="740" w:type="dxa"/>
            <w:vAlign w:val="bottom"/>
            <w:tcBorders>
              <w:bottom w:val="single" w:sz="8" w:color="D9D9D6"/>
            </w:tcBorders>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2480" w:type="dxa"/>
            <w:vAlign w:val="bottom"/>
          </w:tcPr>
          <w:p>
            <w:pPr>
              <w:ind w:left="60"/>
              <w:spacing w:after="0"/>
              <w:rPr>
                <w:sz w:val="20"/>
                <w:szCs w:val="20"/>
                <w:color w:val="auto"/>
              </w:rPr>
            </w:pPr>
            <w:r>
              <w:rPr>
                <w:rFonts w:ascii="Arial" w:cs="Arial" w:eastAsia="Arial" w:hAnsi="Arial"/>
                <w:sz w:val="16"/>
                <w:szCs w:val="16"/>
                <w:color w:val="auto"/>
              </w:rPr>
              <w:t>AV Strategy</w:t>
            </w:r>
          </w:p>
        </w:tc>
        <w:tc>
          <w:tcPr>
            <w:tcW w:w="4460" w:type="dxa"/>
            <w:vAlign w:val="bottom"/>
            <w:gridSpan w:val="4"/>
          </w:tcPr>
          <w:p>
            <w:pPr>
              <w:jc w:val="right"/>
              <w:ind w:right="204"/>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4"/>
                <w:szCs w:val="14"/>
                <w:color w:val="auto"/>
              </w:rPr>
              <w:t>Super Cruise Revenue Percentage Improvement</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2 of 2 goals</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r>
      <w:tr>
        <w:trPr>
          <w:trHeight w:val="185"/>
        </w:trPr>
        <w:tc>
          <w:tcPr>
            <w:tcW w:w="2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0" w:type="dxa"/>
            <w:vAlign w:val="bottom"/>
            <w:gridSpan w:val="3"/>
          </w:tcPr>
          <w:p>
            <w:pPr>
              <w:jc w:val="right"/>
              <w:ind w:right="204"/>
              <w:spacing w:after="0"/>
              <w:rPr>
                <w:sz w:val="20"/>
                <w:szCs w:val="20"/>
                <w:color w:val="auto"/>
              </w:rPr>
            </w:pPr>
            <w:r>
              <w:rPr>
                <w:rFonts w:ascii="Arial" w:cs="Arial" w:eastAsia="Arial" w:hAnsi="Arial"/>
                <w:sz w:val="14"/>
                <w:szCs w:val="14"/>
                <w:color w:val="auto"/>
              </w:rPr>
              <w:t>and driver assistance technology goals,</w:t>
            </w:r>
          </w:p>
        </w:tc>
        <w:tc>
          <w:tcPr>
            <w:tcW w:w="1400" w:type="dxa"/>
            <w:vAlign w:val="bottom"/>
          </w:tcPr>
          <w:p>
            <w:pPr>
              <w:jc w:val="right"/>
              <w:ind w:right="161"/>
              <w:spacing w:after="0"/>
              <w:rPr>
                <w:sz w:val="20"/>
                <w:szCs w:val="20"/>
                <w:color w:val="auto"/>
              </w:rPr>
            </w:pPr>
            <w:r>
              <w:rPr>
                <w:rFonts w:ascii="Arial" w:cs="Arial" w:eastAsia="Arial" w:hAnsi="Arial"/>
                <w:sz w:val="16"/>
                <w:szCs w:val="16"/>
                <w:color w:val="auto"/>
              </w:rPr>
              <w:t>achieved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480" w:type="dxa"/>
            <w:vAlign w:val="bottom"/>
            <w:tcBorders>
              <w:bottom w:val="single" w:sz="8" w:color="D9D9D6"/>
            </w:tcBorders>
          </w:tcPr>
          <w:p>
            <w:pPr>
              <w:spacing w:after="0"/>
              <w:rPr>
                <w:sz w:val="16"/>
                <w:szCs w:val="16"/>
                <w:color w:val="auto"/>
              </w:rPr>
            </w:pPr>
          </w:p>
        </w:tc>
        <w:tc>
          <w:tcPr>
            <w:tcW w:w="1060" w:type="dxa"/>
            <w:vAlign w:val="bottom"/>
            <w:tcBorders>
              <w:bottom w:val="single" w:sz="8" w:color="D9D9D6"/>
            </w:tcBorders>
          </w:tcPr>
          <w:p>
            <w:pPr>
              <w:spacing w:after="0"/>
              <w:rPr>
                <w:sz w:val="16"/>
                <w:szCs w:val="16"/>
                <w:color w:val="auto"/>
              </w:rPr>
            </w:pPr>
          </w:p>
        </w:tc>
        <w:tc>
          <w:tcPr>
            <w:tcW w:w="980" w:type="dxa"/>
            <w:vAlign w:val="bottom"/>
            <w:tcBorders>
              <w:bottom w:val="single" w:sz="8" w:color="D9D9D6"/>
            </w:tcBorders>
          </w:tcPr>
          <w:p>
            <w:pPr>
              <w:spacing w:after="0"/>
              <w:rPr>
                <w:sz w:val="16"/>
                <w:szCs w:val="16"/>
                <w:color w:val="auto"/>
              </w:rPr>
            </w:pPr>
          </w:p>
        </w:tc>
        <w:tc>
          <w:tcPr>
            <w:tcW w:w="1060" w:type="dxa"/>
            <w:vAlign w:val="bottom"/>
            <w:tcBorders>
              <w:bottom w:val="single" w:sz="8" w:color="D9D9D6"/>
            </w:tcBorders>
          </w:tcPr>
          <w:p>
            <w:pPr>
              <w:spacing w:after="0"/>
              <w:rPr>
                <w:sz w:val="16"/>
                <w:szCs w:val="16"/>
                <w:color w:val="auto"/>
              </w:rPr>
            </w:pPr>
          </w:p>
        </w:tc>
        <w:tc>
          <w:tcPr>
            <w:tcW w:w="1360" w:type="dxa"/>
            <w:vAlign w:val="bottom"/>
            <w:tcBorders>
              <w:bottom w:val="single" w:sz="8" w:color="D9D9D6"/>
            </w:tcBorders>
          </w:tcPr>
          <w:p>
            <w:pPr>
              <w:jc w:val="right"/>
              <w:ind w:right="224"/>
              <w:spacing w:after="0"/>
              <w:rPr>
                <w:sz w:val="20"/>
                <w:szCs w:val="20"/>
                <w:color w:val="auto"/>
              </w:rPr>
            </w:pPr>
            <w:r>
              <w:rPr>
                <w:rFonts w:ascii="Arial" w:cs="Arial" w:eastAsia="Arial" w:hAnsi="Arial"/>
                <w:sz w:val="14"/>
                <w:szCs w:val="14"/>
                <w:color w:val="auto"/>
                <w:w w:val="99"/>
              </w:rPr>
              <w:t>equally weighted</w:t>
            </w:r>
          </w:p>
        </w:tc>
        <w:tc>
          <w:tcPr>
            <w:tcW w:w="1400" w:type="dxa"/>
            <w:vAlign w:val="bottom"/>
            <w:tcBorders>
              <w:bottom w:val="single" w:sz="8" w:color="D9D9D6"/>
            </w:tcBorders>
          </w:tcPr>
          <w:p>
            <w:pPr>
              <w:spacing w:after="0"/>
              <w:rPr>
                <w:sz w:val="16"/>
                <w:szCs w:val="16"/>
                <w:color w:val="auto"/>
              </w:rPr>
            </w:pPr>
          </w:p>
        </w:tc>
        <w:tc>
          <w:tcPr>
            <w:tcW w:w="740" w:type="dxa"/>
            <w:vAlign w:val="bottom"/>
            <w:tcBorders>
              <w:bottom w:val="single" w:sz="8" w:color="D9D9D6"/>
            </w:tcBorders>
          </w:tcPr>
          <w:p>
            <w:pPr>
              <w:spacing w:after="0"/>
              <w:rPr>
                <w:sz w:val="16"/>
                <w:szCs w:val="16"/>
                <w:color w:val="auto"/>
              </w:rPr>
            </w:pPr>
          </w:p>
        </w:tc>
        <w:tc>
          <w:tcPr>
            <w:tcW w:w="20" w:type="dxa"/>
            <w:vAlign w:val="bottom"/>
          </w:tcPr>
          <w:p>
            <w:pPr>
              <w:spacing w:after="0"/>
              <w:rPr>
                <w:sz w:val="16"/>
                <w:szCs w:val="16"/>
                <w:color w:val="auto"/>
              </w:rPr>
            </w:pPr>
          </w:p>
        </w:tc>
      </w:tr>
      <w:tr>
        <w:trPr>
          <w:trHeight w:val="243"/>
        </w:trPr>
        <w:tc>
          <w:tcPr>
            <w:tcW w:w="2480" w:type="dxa"/>
            <w:vAlign w:val="bottom"/>
            <w:tcBorders>
              <w:bottom w:val="single" w:sz="8" w:color="D9D9D6"/>
            </w:tcBorders>
          </w:tcPr>
          <w:p>
            <w:pPr>
              <w:ind w:left="60"/>
              <w:spacing w:after="0"/>
              <w:rPr>
                <w:sz w:val="20"/>
                <w:szCs w:val="20"/>
                <w:color w:val="auto"/>
              </w:rPr>
            </w:pPr>
            <w:r>
              <w:rPr>
                <w:rFonts w:ascii="Arial" w:cs="Arial" w:eastAsia="Arial" w:hAnsi="Arial"/>
                <w:sz w:val="16"/>
                <w:szCs w:val="16"/>
                <w:color w:val="auto"/>
              </w:rPr>
              <w:t>Safety Performance</w:t>
            </w:r>
          </w:p>
        </w:tc>
        <w:tc>
          <w:tcPr>
            <w:tcW w:w="1060" w:type="dxa"/>
            <w:vAlign w:val="bottom"/>
            <w:tcBorders>
              <w:bottom w:val="single" w:sz="8" w:color="D9D9D6"/>
            </w:tcBorders>
          </w:tcPr>
          <w:p>
            <w:pPr>
              <w:jc w:val="right"/>
              <w:ind w:right="100"/>
              <w:spacing w:after="0"/>
              <w:rPr>
                <w:sz w:val="20"/>
                <w:szCs w:val="20"/>
                <w:color w:val="auto"/>
              </w:rPr>
            </w:pPr>
            <w:r>
              <w:rPr>
                <w:rFonts w:ascii="Arial" w:cs="Arial" w:eastAsia="Arial" w:hAnsi="Arial"/>
                <w:sz w:val="16"/>
                <w:szCs w:val="16"/>
                <w:color w:val="auto"/>
              </w:rPr>
              <w:t>Modifier</w:t>
            </w:r>
          </w:p>
        </w:tc>
        <w:tc>
          <w:tcPr>
            <w:tcW w:w="4800" w:type="dxa"/>
            <w:vAlign w:val="bottom"/>
            <w:tcBorders>
              <w:bottom w:val="single" w:sz="8" w:color="D9D9D6"/>
            </w:tcBorders>
            <w:gridSpan w:val="4"/>
          </w:tcPr>
          <w:p>
            <w:pPr>
              <w:jc w:val="right"/>
              <w:ind w:right="221"/>
              <w:spacing w:after="0"/>
              <w:rPr>
                <w:sz w:val="20"/>
                <w:szCs w:val="20"/>
                <w:color w:val="auto"/>
              </w:rPr>
            </w:pPr>
            <w:r>
              <w:rPr>
                <w:rFonts w:ascii="Arial" w:cs="Arial" w:eastAsia="Arial" w:hAnsi="Arial"/>
                <w:sz w:val="16"/>
                <w:szCs w:val="16"/>
                <w:color w:val="auto"/>
              </w:rPr>
              <w:t>Potential to adjust +/- 5 ppts based on safety results</w:t>
            </w:r>
          </w:p>
        </w:tc>
        <w:tc>
          <w:tcPr>
            <w:tcW w:w="74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1"/>
                <w:szCs w:val="21"/>
                <w:color w:val="auto"/>
              </w:rPr>
            </w:pPr>
          </w:p>
        </w:tc>
      </w:tr>
      <w:tr>
        <w:trPr>
          <w:trHeight w:val="253"/>
        </w:trPr>
        <w:tc>
          <w:tcPr>
            <w:tcW w:w="248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0956FF"/>
              </w:rPr>
              <w:t>Performance Payout</w:t>
            </w:r>
          </w:p>
        </w:tc>
        <w:tc>
          <w:tcPr>
            <w:tcW w:w="1060" w:type="dxa"/>
            <w:vAlign w:val="bottom"/>
            <w:tcBorders>
              <w:bottom w:val="single" w:sz="8" w:color="0956FF"/>
            </w:tcBorders>
          </w:tcPr>
          <w:p>
            <w:pPr>
              <w:spacing w:after="0"/>
              <w:rPr>
                <w:sz w:val="21"/>
                <w:szCs w:val="21"/>
                <w:color w:val="auto"/>
              </w:rPr>
            </w:pPr>
          </w:p>
        </w:tc>
        <w:tc>
          <w:tcPr>
            <w:tcW w:w="980" w:type="dxa"/>
            <w:vAlign w:val="bottom"/>
            <w:tcBorders>
              <w:bottom w:val="single" w:sz="8" w:color="0956FF"/>
            </w:tcBorders>
          </w:tcPr>
          <w:p>
            <w:pPr>
              <w:spacing w:after="0"/>
              <w:rPr>
                <w:sz w:val="21"/>
                <w:szCs w:val="21"/>
                <w:color w:val="auto"/>
              </w:rPr>
            </w:pPr>
          </w:p>
        </w:tc>
        <w:tc>
          <w:tcPr>
            <w:tcW w:w="1060" w:type="dxa"/>
            <w:vAlign w:val="bottom"/>
            <w:tcBorders>
              <w:bottom w:val="single" w:sz="8" w:color="0956FF"/>
            </w:tcBorders>
          </w:tcPr>
          <w:p>
            <w:pPr>
              <w:spacing w:after="0"/>
              <w:rPr>
                <w:sz w:val="21"/>
                <w:szCs w:val="21"/>
                <w:color w:val="auto"/>
              </w:rPr>
            </w:pPr>
          </w:p>
        </w:tc>
        <w:tc>
          <w:tcPr>
            <w:tcW w:w="1360" w:type="dxa"/>
            <w:vAlign w:val="bottom"/>
            <w:tcBorders>
              <w:bottom w:val="single" w:sz="8" w:color="0956FF"/>
            </w:tcBorders>
          </w:tcPr>
          <w:p>
            <w:pPr>
              <w:spacing w:after="0"/>
              <w:rPr>
                <w:sz w:val="21"/>
                <w:szCs w:val="21"/>
                <w:color w:val="auto"/>
              </w:rPr>
            </w:pPr>
          </w:p>
        </w:tc>
        <w:tc>
          <w:tcPr>
            <w:tcW w:w="2160" w:type="dxa"/>
            <w:vAlign w:val="bottom"/>
            <w:tcBorders>
              <w:bottom w:val="single" w:sz="8" w:color="0956FF"/>
            </w:tcBorders>
            <w:gridSpan w:val="3"/>
          </w:tcPr>
          <w:p>
            <w:pPr>
              <w:ind w:left="1020"/>
              <w:spacing w:after="0"/>
              <w:rPr>
                <w:sz w:val="20"/>
                <w:szCs w:val="20"/>
                <w:color w:val="auto"/>
              </w:rPr>
            </w:pPr>
            <w:r>
              <w:rPr>
                <w:rFonts w:ascii="Arial" w:cs="Arial" w:eastAsia="Arial" w:hAnsi="Arial"/>
                <w:sz w:val="16"/>
                <w:szCs w:val="16"/>
                <w:b w:val="1"/>
                <w:bCs w:val="1"/>
                <w:color w:val="0956FF"/>
                <w:w w:val="98"/>
              </w:rPr>
              <w:t>118% of Target</w:t>
            </w:r>
          </w:p>
        </w:tc>
      </w:tr>
    </w:tbl>
    <w:p>
      <w:pPr>
        <w:spacing w:after="0" w:line="71" w:lineRule="exact"/>
        <w:rPr>
          <w:sz w:val="20"/>
          <w:szCs w:val="20"/>
          <w:color w:val="auto"/>
        </w:rPr>
      </w:pPr>
    </w:p>
    <w:p>
      <w:pPr>
        <w:ind w:left="200" w:hanging="192"/>
        <w:spacing w:after="0"/>
        <w:tabs>
          <w:tab w:leader="none" w:pos="20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For a description of how our non-GAAP measures are calculated, including EBIT-adjusted and AAFCF, see Appendix A.</w:t>
      </w:r>
    </w:p>
    <w:p>
      <w:pPr>
        <w:spacing w:after="0" w:line="52" w:lineRule="exact"/>
        <w:rPr>
          <w:rFonts w:ascii="Arial" w:cs="Arial" w:eastAsia="Arial" w:hAnsi="Arial"/>
          <w:sz w:val="19"/>
          <w:szCs w:val="19"/>
          <w:color w:val="auto"/>
          <w:vertAlign w:val="superscript"/>
        </w:rPr>
      </w:pPr>
    </w:p>
    <w:p>
      <w:pPr>
        <w:ind w:left="200" w:right="200" w:hanging="192"/>
        <w:spacing w:after="0" w:line="239" w:lineRule="auto"/>
        <w:tabs>
          <w:tab w:leader="none" w:pos="20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For purposes of this measure, variable cost is defined as material cost plus (i) logistics (excluding fuel) and warranty cost and (ii) variable manufacturing and other direct selling costs, adjusted for volume and mix versus budget.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Final STIP Payout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00" w:type="dxa"/>
            <w:vAlign w:val="bottom"/>
            <w:shd w:val="clear" w:color="auto" w:fill="ECEBEB"/>
          </w:tcPr>
          <w:p>
            <w:pPr>
              <w:spacing w:after="0"/>
              <w:rPr>
                <w:sz w:val="21"/>
                <w:szCs w:val="21"/>
                <w:color w:val="auto"/>
              </w:rPr>
            </w:pPr>
          </w:p>
        </w:tc>
        <w:tc>
          <w:tcPr>
            <w:tcW w:w="2500" w:type="dxa"/>
            <w:vAlign w:val="bottom"/>
            <w:shd w:val="clear" w:color="auto" w:fill="ECEBEB"/>
          </w:tcPr>
          <w:p>
            <w:pPr>
              <w:jc w:val="right"/>
              <w:ind w:right="482"/>
              <w:spacing w:after="0"/>
              <w:rPr>
                <w:sz w:val="20"/>
                <w:szCs w:val="20"/>
                <w:color w:val="auto"/>
              </w:rPr>
            </w:pPr>
            <w:r>
              <w:rPr>
                <w:rFonts w:ascii="Arial" w:cs="Arial" w:eastAsia="Arial" w:hAnsi="Arial"/>
                <w:sz w:val="14"/>
                <w:szCs w:val="14"/>
                <w:b w:val="1"/>
                <w:bCs w:val="1"/>
                <w:color w:val="auto"/>
              </w:rPr>
              <w:t>Base</w:t>
            </w:r>
          </w:p>
        </w:tc>
        <w:tc>
          <w:tcPr>
            <w:tcW w:w="1200" w:type="dxa"/>
            <w:vAlign w:val="bottom"/>
            <w:shd w:val="clear" w:color="auto" w:fill="ECEBEB"/>
          </w:tcPr>
          <w:p>
            <w:pPr>
              <w:spacing w:after="0"/>
              <w:rPr>
                <w:sz w:val="21"/>
                <w:szCs w:val="21"/>
                <w:color w:val="auto"/>
              </w:rPr>
            </w:pPr>
          </w:p>
        </w:tc>
        <w:tc>
          <w:tcPr>
            <w:tcW w:w="1200" w:type="dxa"/>
            <w:vAlign w:val="bottom"/>
            <w:shd w:val="clear" w:color="auto" w:fill="ECEBEB"/>
          </w:tcPr>
          <w:p>
            <w:pPr>
              <w:spacing w:after="0"/>
              <w:rPr>
                <w:sz w:val="21"/>
                <w:szCs w:val="21"/>
                <w:color w:val="auto"/>
              </w:rPr>
            </w:pPr>
          </w:p>
        </w:tc>
        <w:tc>
          <w:tcPr>
            <w:tcW w:w="1380" w:type="dxa"/>
            <w:vAlign w:val="bottom"/>
            <w:shd w:val="clear" w:color="auto" w:fill="ECEBEB"/>
          </w:tcPr>
          <w:p>
            <w:pPr>
              <w:spacing w:after="0"/>
              <w:rPr>
                <w:sz w:val="21"/>
                <w:szCs w:val="21"/>
                <w:color w:val="auto"/>
              </w:rPr>
            </w:pPr>
          </w:p>
        </w:tc>
      </w:tr>
      <w:tr>
        <w:trPr>
          <w:trHeight w:val="175"/>
        </w:trPr>
        <w:tc>
          <w:tcPr>
            <w:tcW w:w="2800" w:type="dxa"/>
            <w:vAlign w:val="bottom"/>
            <w:shd w:val="clear" w:color="auto" w:fill="ECEBEB"/>
          </w:tcPr>
          <w:p>
            <w:pPr>
              <w:spacing w:after="0"/>
              <w:rPr>
                <w:sz w:val="15"/>
                <w:szCs w:val="15"/>
                <w:color w:val="auto"/>
              </w:rPr>
            </w:pPr>
          </w:p>
        </w:tc>
        <w:tc>
          <w:tcPr>
            <w:tcW w:w="2500" w:type="dxa"/>
            <w:vAlign w:val="bottom"/>
            <w:shd w:val="clear" w:color="auto" w:fill="ECEBEB"/>
          </w:tcPr>
          <w:p>
            <w:pPr>
              <w:jc w:val="right"/>
              <w:ind w:right="502"/>
              <w:spacing w:after="0"/>
              <w:rPr>
                <w:sz w:val="20"/>
                <w:szCs w:val="20"/>
                <w:color w:val="auto"/>
              </w:rPr>
            </w:pPr>
            <w:r>
              <w:rPr>
                <w:rFonts w:ascii="Arial" w:cs="Arial" w:eastAsia="Arial" w:hAnsi="Arial"/>
                <w:sz w:val="14"/>
                <w:szCs w:val="14"/>
                <w:b w:val="1"/>
                <w:bCs w:val="1"/>
                <w:color w:val="auto"/>
              </w:rPr>
              <w:t>Salary</w:t>
            </w:r>
          </w:p>
        </w:tc>
        <w:tc>
          <w:tcPr>
            <w:tcW w:w="1200" w:type="dxa"/>
            <w:vAlign w:val="bottom"/>
            <w:shd w:val="clear" w:color="auto" w:fill="ECEBEB"/>
          </w:tcPr>
          <w:p>
            <w:pPr>
              <w:jc w:val="center"/>
              <w:ind w:right="142"/>
              <w:spacing w:after="0"/>
              <w:rPr>
                <w:sz w:val="20"/>
                <w:szCs w:val="20"/>
                <w:color w:val="auto"/>
              </w:rPr>
            </w:pPr>
            <w:r>
              <w:rPr>
                <w:rFonts w:ascii="Arial" w:cs="Arial" w:eastAsia="Arial" w:hAnsi="Arial"/>
                <w:sz w:val="14"/>
                <w:szCs w:val="14"/>
                <w:b w:val="1"/>
                <w:bCs w:val="1"/>
                <w:color w:val="auto"/>
                <w:w w:val="98"/>
              </w:rPr>
              <w:t>Target</w:t>
            </w:r>
          </w:p>
        </w:tc>
        <w:tc>
          <w:tcPr>
            <w:tcW w:w="1200" w:type="dxa"/>
            <w:vAlign w:val="bottom"/>
            <w:shd w:val="clear" w:color="auto" w:fill="ECEBEB"/>
          </w:tcPr>
          <w:p>
            <w:pPr>
              <w:jc w:val="right"/>
              <w:ind w:right="62"/>
              <w:spacing w:after="0"/>
              <w:rPr>
                <w:sz w:val="20"/>
                <w:szCs w:val="20"/>
                <w:color w:val="auto"/>
              </w:rPr>
            </w:pPr>
            <w:r>
              <w:rPr>
                <w:rFonts w:ascii="Arial" w:cs="Arial" w:eastAsia="Arial" w:hAnsi="Arial"/>
                <w:sz w:val="14"/>
                <w:szCs w:val="14"/>
                <w:b w:val="1"/>
                <w:bCs w:val="1"/>
                <w:color w:val="auto"/>
              </w:rPr>
              <w:t>Company</w:t>
            </w:r>
          </w:p>
        </w:tc>
        <w:tc>
          <w:tcPr>
            <w:tcW w:w="138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Final STIP Payout</w:t>
            </w:r>
          </w:p>
        </w:tc>
      </w:tr>
      <w:tr>
        <w:trPr>
          <w:trHeight w:val="171"/>
        </w:trPr>
        <w:tc>
          <w:tcPr>
            <w:tcW w:w="280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Name</w:t>
            </w:r>
          </w:p>
        </w:tc>
        <w:tc>
          <w:tcPr>
            <w:tcW w:w="2500" w:type="dxa"/>
            <w:vAlign w:val="bottom"/>
            <w:tcBorders>
              <w:bottom w:val="single" w:sz="8" w:color="0956FF"/>
            </w:tcBorders>
            <w:shd w:val="clear" w:color="auto" w:fill="ECEBEB"/>
          </w:tcPr>
          <w:p>
            <w:pPr>
              <w:jc w:val="right"/>
              <w:ind w:right="162"/>
              <w:spacing w:after="0"/>
              <w:rPr>
                <w:sz w:val="20"/>
                <w:szCs w:val="20"/>
                <w:color w:val="auto"/>
              </w:rPr>
            </w:pPr>
            <w:r>
              <w:rPr>
                <w:rFonts w:ascii="Arial" w:cs="Arial" w:eastAsia="Arial" w:hAnsi="Arial"/>
                <w:sz w:val="14"/>
                <w:szCs w:val="14"/>
                <w:b w:val="1"/>
                <w:bCs w:val="1"/>
                <w:color w:val="auto"/>
              </w:rPr>
              <w:t>($)    x</w:t>
            </w:r>
          </w:p>
        </w:tc>
        <w:tc>
          <w:tcPr>
            <w:tcW w:w="1200" w:type="dxa"/>
            <w:vAlign w:val="bottom"/>
            <w:tcBorders>
              <w:bottom w:val="single" w:sz="8" w:color="0956FF"/>
            </w:tcBorders>
            <w:shd w:val="clear" w:color="auto" w:fill="ECEBEB"/>
          </w:tcPr>
          <w:p>
            <w:pPr>
              <w:ind w:left="400"/>
              <w:spacing w:after="0"/>
              <w:rPr>
                <w:sz w:val="20"/>
                <w:szCs w:val="20"/>
                <w:color w:val="auto"/>
              </w:rPr>
            </w:pPr>
            <w:r>
              <w:rPr>
                <w:rFonts w:ascii="Arial" w:cs="Arial" w:eastAsia="Arial" w:hAnsi="Arial"/>
                <w:sz w:val="14"/>
                <w:szCs w:val="14"/>
                <w:b w:val="1"/>
                <w:bCs w:val="1"/>
                <w:color w:val="auto"/>
              </w:rPr>
              <w:t>STIP   x</w:t>
            </w:r>
          </w:p>
        </w:tc>
        <w:tc>
          <w:tcPr>
            <w:tcW w:w="1200" w:type="dxa"/>
            <w:vAlign w:val="bottom"/>
            <w:tcBorders>
              <w:bottom w:val="single" w:sz="8" w:color="0956FF"/>
            </w:tcBorders>
            <w:shd w:val="clear" w:color="auto" w:fill="ECEBEB"/>
          </w:tcPr>
          <w:p>
            <w:pPr>
              <w:jc w:val="right"/>
              <w:ind w:right="102"/>
              <w:spacing w:after="0"/>
              <w:rPr>
                <w:sz w:val="20"/>
                <w:szCs w:val="20"/>
                <w:color w:val="auto"/>
              </w:rPr>
            </w:pPr>
            <w:r>
              <w:rPr>
                <w:rFonts w:ascii="Arial" w:cs="Arial" w:eastAsia="Arial" w:hAnsi="Arial"/>
                <w:sz w:val="14"/>
                <w:szCs w:val="14"/>
                <w:b w:val="1"/>
                <w:bCs w:val="1"/>
                <w:color w:val="auto"/>
              </w:rPr>
              <w:t>Performance</w:t>
            </w:r>
          </w:p>
        </w:tc>
        <w:tc>
          <w:tcPr>
            <w:tcW w:w="138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2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956FF"/>
              </w:rPr>
              <w:t>Mary T. Barra</w:t>
            </w:r>
          </w:p>
        </w:tc>
        <w:tc>
          <w:tcPr>
            <w:tcW w:w="2500" w:type="dxa"/>
            <w:vAlign w:val="bottom"/>
            <w:tcBorders>
              <w:bottom w:val="single" w:sz="8" w:color="D9D9D6"/>
            </w:tcBorders>
          </w:tcPr>
          <w:p>
            <w:pPr>
              <w:jc w:val="right"/>
              <w:ind w:right="562"/>
              <w:spacing w:after="0"/>
              <w:rPr>
                <w:sz w:val="20"/>
                <w:szCs w:val="20"/>
                <w:color w:val="auto"/>
              </w:rPr>
            </w:pPr>
            <w:r>
              <w:rPr>
                <w:rFonts w:ascii="Arial" w:cs="Arial" w:eastAsia="Arial" w:hAnsi="Arial"/>
                <w:sz w:val="16"/>
                <w:szCs w:val="16"/>
                <w:color w:val="auto"/>
              </w:rPr>
              <w:t>2,100,000</w:t>
            </w:r>
          </w:p>
        </w:tc>
        <w:tc>
          <w:tcPr>
            <w:tcW w:w="1200" w:type="dxa"/>
            <w:vAlign w:val="bottom"/>
            <w:tcBorders>
              <w:bottom w:val="single" w:sz="8" w:color="D9D9D6"/>
            </w:tcBorders>
          </w:tcPr>
          <w:p>
            <w:pPr>
              <w:jc w:val="center"/>
              <w:ind w:right="202"/>
              <w:spacing w:after="0"/>
              <w:rPr>
                <w:sz w:val="20"/>
                <w:szCs w:val="20"/>
                <w:color w:val="auto"/>
              </w:rPr>
            </w:pPr>
            <w:r>
              <w:rPr>
                <w:rFonts w:ascii="Arial" w:cs="Arial" w:eastAsia="Arial" w:hAnsi="Arial"/>
                <w:sz w:val="16"/>
                <w:szCs w:val="16"/>
                <w:color w:val="auto"/>
                <w:w w:val="97"/>
              </w:rPr>
              <w:t>200%</w:t>
            </w:r>
          </w:p>
        </w:tc>
        <w:tc>
          <w:tcPr>
            <w:tcW w:w="1200" w:type="dxa"/>
            <w:vAlign w:val="bottom"/>
            <w:tcBorders>
              <w:bottom w:val="single" w:sz="8" w:color="D9D9D6"/>
            </w:tcBorders>
          </w:tcPr>
          <w:p>
            <w:pPr>
              <w:jc w:val="right"/>
              <w:ind w:right="82"/>
              <w:spacing w:after="0"/>
              <w:rPr>
                <w:sz w:val="20"/>
                <w:szCs w:val="20"/>
                <w:color w:val="auto"/>
              </w:rPr>
            </w:pPr>
            <w:r>
              <w:rPr>
                <w:rFonts w:ascii="Arial" w:cs="Arial" w:eastAsia="Arial" w:hAnsi="Arial"/>
                <w:sz w:val="16"/>
                <w:szCs w:val="16"/>
                <w:color w:val="auto"/>
              </w:rPr>
              <w:t>118%</w:t>
            </w:r>
          </w:p>
        </w:tc>
        <w:tc>
          <w:tcPr>
            <w:tcW w:w="1380" w:type="dxa"/>
            <w:vAlign w:val="bottom"/>
            <w:tcBorders>
              <w:bottom w:val="single" w:sz="8" w:color="D9D9D6"/>
            </w:tcBorders>
          </w:tcPr>
          <w:p>
            <w:pPr>
              <w:jc w:val="right"/>
              <w:ind w:right="62"/>
              <w:spacing w:after="0"/>
              <w:rPr>
                <w:sz w:val="20"/>
                <w:szCs w:val="20"/>
                <w:color w:val="auto"/>
              </w:rPr>
            </w:pPr>
            <w:r>
              <w:rPr>
                <w:rFonts w:ascii="Arial" w:cs="Arial" w:eastAsia="Arial" w:hAnsi="Arial"/>
                <w:sz w:val="16"/>
                <w:szCs w:val="16"/>
                <w:color w:val="auto"/>
              </w:rPr>
              <w:t>4,956,000</w:t>
            </w:r>
          </w:p>
        </w:tc>
      </w:tr>
      <w:tr>
        <w:trPr>
          <w:trHeight w:val="250"/>
        </w:trPr>
        <w:tc>
          <w:tcPr>
            <w:tcW w:w="2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956FF"/>
              </w:rPr>
              <w:t>Paul A. Jacobson</w:t>
            </w:r>
          </w:p>
        </w:tc>
        <w:tc>
          <w:tcPr>
            <w:tcW w:w="2500" w:type="dxa"/>
            <w:vAlign w:val="bottom"/>
            <w:tcBorders>
              <w:bottom w:val="single" w:sz="8" w:color="D9D9D6"/>
            </w:tcBorders>
          </w:tcPr>
          <w:p>
            <w:pPr>
              <w:jc w:val="right"/>
              <w:ind w:right="562"/>
              <w:spacing w:after="0"/>
              <w:rPr>
                <w:sz w:val="20"/>
                <w:szCs w:val="20"/>
                <w:color w:val="auto"/>
              </w:rPr>
            </w:pPr>
            <w:r>
              <w:rPr>
                <w:rFonts w:ascii="Arial" w:cs="Arial" w:eastAsia="Arial" w:hAnsi="Arial"/>
                <w:sz w:val="16"/>
                <w:szCs w:val="16"/>
                <w:color w:val="auto"/>
              </w:rPr>
              <w:t>1,200,000</w:t>
            </w:r>
          </w:p>
        </w:tc>
        <w:tc>
          <w:tcPr>
            <w:tcW w:w="1200" w:type="dxa"/>
            <w:vAlign w:val="bottom"/>
            <w:tcBorders>
              <w:bottom w:val="single" w:sz="8" w:color="D9D9D6"/>
            </w:tcBorders>
          </w:tcPr>
          <w:p>
            <w:pPr>
              <w:jc w:val="center"/>
              <w:ind w:right="102"/>
              <w:spacing w:after="0"/>
              <w:rPr>
                <w:sz w:val="20"/>
                <w:szCs w:val="20"/>
                <w:color w:val="auto"/>
              </w:rPr>
            </w:pPr>
            <w:r>
              <w:rPr>
                <w:rFonts w:ascii="Arial" w:cs="Arial" w:eastAsia="Arial" w:hAnsi="Arial"/>
                <w:sz w:val="16"/>
                <w:szCs w:val="16"/>
                <w:color w:val="auto"/>
              </w:rPr>
              <w:t>125%</w:t>
            </w:r>
          </w:p>
        </w:tc>
        <w:tc>
          <w:tcPr>
            <w:tcW w:w="1200" w:type="dxa"/>
            <w:vAlign w:val="bottom"/>
            <w:tcBorders>
              <w:bottom w:val="single" w:sz="8" w:color="D9D9D6"/>
            </w:tcBorders>
          </w:tcPr>
          <w:p>
            <w:pPr>
              <w:jc w:val="right"/>
              <w:ind w:right="82"/>
              <w:spacing w:after="0"/>
              <w:rPr>
                <w:sz w:val="20"/>
                <w:szCs w:val="20"/>
                <w:color w:val="auto"/>
              </w:rPr>
            </w:pPr>
            <w:r>
              <w:rPr>
                <w:rFonts w:ascii="Arial" w:cs="Arial" w:eastAsia="Arial" w:hAnsi="Arial"/>
                <w:sz w:val="16"/>
                <w:szCs w:val="16"/>
                <w:color w:val="auto"/>
              </w:rPr>
              <w:t>118%</w:t>
            </w:r>
          </w:p>
        </w:tc>
        <w:tc>
          <w:tcPr>
            <w:tcW w:w="1380" w:type="dxa"/>
            <w:vAlign w:val="bottom"/>
            <w:tcBorders>
              <w:bottom w:val="single" w:sz="8" w:color="D9D9D6"/>
            </w:tcBorders>
          </w:tcPr>
          <w:p>
            <w:pPr>
              <w:jc w:val="right"/>
              <w:ind w:right="2"/>
              <w:spacing w:after="0"/>
              <w:rPr>
                <w:sz w:val="20"/>
                <w:szCs w:val="20"/>
                <w:color w:val="auto"/>
              </w:rPr>
            </w:pPr>
            <w:r>
              <w:rPr>
                <w:rFonts w:ascii="Arial" w:cs="Arial" w:eastAsia="Arial" w:hAnsi="Arial"/>
                <w:sz w:val="16"/>
                <w:szCs w:val="16"/>
                <w:color w:val="auto"/>
              </w:rPr>
              <w:t>1,770,000</w:t>
            </w:r>
          </w:p>
        </w:tc>
      </w:tr>
      <w:tr>
        <w:trPr>
          <w:trHeight w:val="250"/>
        </w:trPr>
        <w:tc>
          <w:tcPr>
            <w:tcW w:w="2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956FF"/>
              </w:rPr>
              <w:t>Mark L. Reuss</w:t>
            </w:r>
          </w:p>
        </w:tc>
        <w:tc>
          <w:tcPr>
            <w:tcW w:w="2500" w:type="dxa"/>
            <w:vAlign w:val="bottom"/>
            <w:tcBorders>
              <w:bottom w:val="single" w:sz="8" w:color="D9D9D6"/>
            </w:tcBorders>
          </w:tcPr>
          <w:p>
            <w:pPr>
              <w:jc w:val="right"/>
              <w:ind w:right="542"/>
              <w:spacing w:after="0"/>
              <w:rPr>
                <w:sz w:val="20"/>
                <w:szCs w:val="20"/>
                <w:color w:val="auto"/>
              </w:rPr>
            </w:pPr>
            <w:r>
              <w:rPr>
                <w:rFonts w:ascii="Arial" w:cs="Arial" w:eastAsia="Arial" w:hAnsi="Arial"/>
                <w:sz w:val="16"/>
                <w:szCs w:val="16"/>
                <w:color w:val="auto"/>
              </w:rPr>
              <w:t>1,350,000</w:t>
            </w:r>
          </w:p>
        </w:tc>
        <w:tc>
          <w:tcPr>
            <w:tcW w:w="1200" w:type="dxa"/>
            <w:vAlign w:val="bottom"/>
            <w:tcBorders>
              <w:bottom w:val="single" w:sz="8" w:color="D9D9D6"/>
            </w:tcBorders>
          </w:tcPr>
          <w:p>
            <w:pPr>
              <w:jc w:val="center"/>
              <w:ind w:right="102"/>
              <w:spacing w:after="0"/>
              <w:rPr>
                <w:sz w:val="20"/>
                <w:szCs w:val="20"/>
                <w:color w:val="auto"/>
              </w:rPr>
            </w:pPr>
            <w:r>
              <w:rPr>
                <w:rFonts w:ascii="Arial" w:cs="Arial" w:eastAsia="Arial" w:hAnsi="Arial"/>
                <w:sz w:val="16"/>
                <w:szCs w:val="16"/>
                <w:color w:val="auto"/>
              </w:rPr>
              <w:t>125%</w:t>
            </w:r>
          </w:p>
        </w:tc>
        <w:tc>
          <w:tcPr>
            <w:tcW w:w="1200" w:type="dxa"/>
            <w:vAlign w:val="bottom"/>
            <w:tcBorders>
              <w:bottom w:val="single" w:sz="8" w:color="D9D9D6"/>
            </w:tcBorders>
          </w:tcPr>
          <w:p>
            <w:pPr>
              <w:jc w:val="right"/>
              <w:ind w:right="82"/>
              <w:spacing w:after="0"/>
              <w:rPr>
                <w:sz w:val="20"/>
                <w:szCs w:val="20"/>
                <w:color w:val="auto"/>
              </w:rPr>
            </w:pPr>
            <w:r>
              <w:rPr>
                <w:rFonts w:ascii="Arial" w:cs="Arial" w:eastAsia="Arial" w:hAnsi="Arial"/>
                <w:sz w:val="16"/>
                <w:szCs w:val="16"/>
                <w:color w:val="auto"/>
              </w:rPr>
              <w:t>118%</w:t>
            </w:r>
          </w:p>
        </w:tc>
        <w:tc>
          <w:tcPr>
            <w:tcW w:w="1380" w:type="dxa"/>
            <w:vAlign w:val="bottom"/>
            <w:tcBorders>
              <w:bottom w:val="single" w:sz="8" w:color="D9D9D6"/>
            </w:tcBorders>
          </w:tcPr>
          <w:p>
            <w:pPr>
              <w:jc w:val="right"/>
              <w:spacing w:after="0"/>
              <w:rPr>
                <w:sz w:val="20"/>
                <w:szCs w:val="20"/>
                <w:color w:val="auto"/>
              </w:rPr>
            </w:pPr>
            <w:r>
              <w:rPr>
                <w:rFonts w:ascii="Arial" w:cs="Arial" w:eastAsia="Arial" w:hAnsi="Arial"/>
                <w:sz w:val="16"/>
                <w:szCs w:val="16"/>
                <w:color w:val="auto"/>
              </w:rPr>
              <w:t>1,991,300</w:t>
            </w:r>
          </w:p>
        </w:tc>
      </w:tr>
      <w:tr>
        <w:trPr>
          <w:trHeight w:val="250"/>
        </w:trPr>
        <w:tc>
          <w:tcPr>
            <w:tcW w:w="28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0956FF"/>
              </w:rPr>
              <w:t>Sterling J. Anderson</w:t>
            </w:r>
          </w:p>
        </w:tc>
        <w:tc>
          <w:tcPr>
            <w:tcW w:w="2500" w:type="dxa"/>
            <w:vAlign w:val="bottom"/>
            <w:tcBorders>
              <w:bottom w:val="single" w:sz="8" w:color="D9D9D6"/>
            </w:tcBorders>
          </w:tcPr>
          <w:p>
            <w:pPr>
              <w:jc w:val="right"/>
              <w:ind w:right="562"/>
              <w:spacing w:after="0"/>
              <w:rPr>
                <w:sz w:val="20"/>
                <w:szCs w:val="20"/>
                <w:color w:val="auto"/>
              </w:rPr>
            </w:pPr>
            <w:r>
              <w:rPr>
                <w:rFonts w:ascii="Arial" w:cs="Arial" w:eastAsia="Arial" w:hAnsi="Arial"/>
                <w:sz w:val="16"/>
                <w:szCs w:val="16"/>
                <w:color w:val="auto"/>
              </w:rPr>
              <w:t>1,000,000</w:t>
            </w:r>
          </w:p>
        </w:tc>
        <w:tc>
          <w:tcPr>
            <w:tcW w:w="1200" w:type="dxa"/>
            <w:vAlign w:val="bottom"/>
            <w:tcBorders>
              <w:bottom w:val="single" w:sz="8" w:color="D9D9D6"/>
            </w:tcBorders>
          </w:tcPr>
          <w:p>
            <w:pPr>
              <w:jc w:val="center"/>
              <w:ind w:right="102"/>
              <w:spacing w:after="0"/>
              <w:rPr>
                <w:sz w:val="20"/>
                <w:szCs w:val="20"/>
                <w:color w:val="auto"/>
              </w:rPr>
            </w:pPr>
            <w:r>
              <w:rPr>
                <w:rFonts w:ascii="Arial" w:cs="Arial" w:eastAsia="Arial" w:hAnsi="Arial"/>
                <w:sz w:val="16"/>
                <w:szCs w:val="16"/>
                <w:color w:val="auto"/>
              </w:rPr>
              <w:t>125%</w:t>
            </w:r>
          </w:p>
        </w:tc>
        <w:tc>
          <w:tcPr>
            <w:tcW w:w="1200" w:type="dxa"/>
            <w:vAlign w:val="bottom"/>
            <w:tcBorders>
              <w:bottom w:val="single" w:sz="8" w:color="D9D9D6"/>
            </w:tcBorders>
          </w:tcPr>
          <w:p>
            <w:pPr>
              <w:jc w:val="right"/>
              <w:ind w:right="82"/>
              <w:spacing w:after="0"/>
              <w:rPr>
                <w:sz w:val="20"/>
                <w:szCs w:val="20"/>
                <w:color w:val="auto"/>
              </w:rPr>
            </w:pPr>
            <w:r>
              <w:rPr>
                <w:rFonts w:ascii="Arial" w:cs="Arial" w:eastAsia="Arial" w:hAnsi="Arial"/>
                <w:sz w:val="16"/>
                <w:szCs w:val="16"/>
                <w:color w:val="auto"/>
              </w:rPr>
              <w:t>118%</w:t>
            </w:r>
          </w:p>
        </w:tc>
        <w:tc>
          <w:tcPr>
            <w:tcW w:w="1380" w:type="dxa"/>
            <w:vAlign w:val="bottom"/>
            <w:tcBorders>
              <w:bottom w:val="single" w:sz="8" w:color="D9D9D6"/>
            </w:tcBorders>
          </w:tcPr>
          <w:p>
            <w:pPr>
              <w:jc w:val="right"/>
              <w:ind w:right="22"/>
              <w:spacing w:after="0"/>
              <w:rPr>
                <w:sz w:val="20"/>
                <w:szCs w:val="20"/>
                <w:color w:val="auto"/>
              </w:rPr>
            </w:pPr>
            <w:r>
              <w:rPr>
                <w:rFonts w:ascii="Arial" w:cs="Arial" w:eastAsia="Arial" w:hAnsi="Arial"/>
                <w:sz w:val="16"/>
                <w:szCs w:val="16"/>
                <w:color w:val="auto"/>
              </w:rPr>
              <w:t>1,475,000</w:t>
            </w:r>
          </w:p>
        </w:tc>
      </w:tr>
      <w:tr>
        <w:trPr>
          <w:trHeight w:val="250"/>
        </w:trPr>
        <w:tc>
          <w:tcPr>
            <w:tcW w:w="280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0956FF"/>
              </w:rPr>
              <w:t>Rory V. Harvey</w:t>
            </w:r>
          </w:p>
        </w:tc>
        <w:tc>
          <w:tcPr>
            <w:tcW w:w="2500" w:type="dxa"/>
            <w:vAlign w:val="bottom"/>
            <w:tcBorders>
              <w:bottom w:val="single" w:sz="8" w:color="0956FF"/>
            </w:tcBorders>
          </w:tcPr>
          <w:p>
            <w:pPr>
              <w:jc w:val="right"/>
              <w:ind w:right="582"/>
              <w:spacing w:after="0"/>
              <w:rPr>
                <w:sz w:val="20"/>
                <w:szCs w:val="20"/>
                <w:color w:val="auto"/>
              </w:rPr>
            </w:pPr>
            <w:r>
              <w:rPr>
                <w:rFonts w:ascii="Arial" w:cs="Arial" w:eastAsia="Arial" w:hAnsi="Arial"/>
                <w:sz w:val="16"/>
                <w:szCs w:val="16"/>
                <w:color w:val="auto"/>
              </w:rPr>
              <w:t>850,000</w:t>
            </w:r>
          </w:p>
        </w:tc>
        <w:tc>
          <w:tcPr>
            <w:tcW w:w="1200" w:type="dxa"/>
            <w:vAlign w:val="bottom"/>
            <w:tcBorders>
              <w:bottom w:val="single" w:sz="8" w:color="0956FF"/>
            </w:tcBorders>
          </w:tcPr>
          <w:p>
            <w:pPr>
              <w:jc w:val="center"/>
              <w:ind w:right="102"/>
              <w:spacing w:after="0"/>
              <w:rPr>
                <w:sz w:val="20"/>
                <w:szCs w:val="20"/>
                <w:color w:val="auto"/>
              </w:rPr>
            </w:pPr>
            <w:r>
              <w:rPr>
                <w:rFonts w:ascii="Arial" w:cs="Arial" w:eastAsia="Arial" w:hAnsi="Arial"/>
                <w:sz w:val="16"/>
                <w:szCs w:val="16"/>
                <w:color w:val="auto"/>
              </w:rPr>
              <w:t>125%</w:t>
            </w:r>
          </w:p>
        </w:tc>
        <w:tc>
          <w:tcPr>
            <w:tcW w:w="1200" w:type="dxa"/>
            <w:vAlign w:val="bottom"/>
            <w:tcBorders>
              <w:bottom w:val="single" w:sz="8" w:color="0956FF"/>
            </w:tcBorders>
          </w:tcPr>
          <w:p>
            <w:pPr>
              <w:jc w:val="right"/>
              <w:ind w:right="82"/>
              <w:spacing w:after="0"/>
              <w:rPr>
                <w:sz w:val="20"/>
                <w:szCs w:val="20"/>
                <w:color w:val="auto"/>
              </w:rPr>
            </w:pPr>
            <w:r>
              <w:rPr>
                <w:rFonts w:ascii="Arial" w:cs="Arial" w:eastAsia="Arial" w:hAnsi="Arial"/>
                <w:sz w:val="16"/>
                <w:szCs w:val="16"/>
                <w:color w:val="auto"/>
              </w:rPr>
              <w:t>118%</w:t>
            </w:r>
          </w:p>
        </w:tc>
        <w:tc>
          <w:tcPr>
            <w:tcW w:w="1380" w:type="dxa"/>
            <w:vAlign w:val="bottom"/>
            <w:tcBorders>
              <w:bottom w:val="single" w:sz="8" w:color="0956FF"/>
            </w:tcBorders>
          </w:tcPr>
          <w:p>
            <w:pPr>
              <w:jc w:val="right"/>
              <w:ind w:right="22"/>
              <w:spacing w:after="0"/>
              <w:rPr>
                <w:sz w:val="20"/>
                <w:szCs w:val="20"/>
                <w:color w:val="auto"/>
              </w:rPr>
            </w:pPr>
            <w:r>
              <w:rPr>
                <w:rFonts w:ascii="Arial" w:cs="Arial" w:eastAsia="Arial" w:hAnsi="Arial"/>
                <w:sz w:val="16"/>
                <w:szCs w:val="16"/>
                <w:color w:val="auto"/>
              </w:rPr>
              <w:t>1,253,800</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Long-Term Incentive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 of Pay Mix</w:t>
      </w:r>
    </w:p>
    <w:p>
      <w:pPr>
        <w:spacing w:after="0" w:line="11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Grants made under the LTIP are intended to link the financial interests of NEOs with the long-term interests of shareholders. When determining grant amounts, the Compensation Committee considers factors such as individual responsibilities, experience, and performance. In addition, the Committee considers relevant market compensation comparison data and input provided by its independent compensation consultant. The structure includes a targeted allocation of 75% PSUs and 25% RSUs. PSUs cliff-vest following a three-year performance period based on the achievement of performance goals and are capped at 200% of target, and RSUs vest ratably over three years.</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9100"/>
          </w:cols>
          <w:pgMar w:left="1400" w:top="657" w:right="139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2025–2027 LTIP Performance Measures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380" w:type="dxa"/>
            <w:vAlign w:val="bottom"/>
            <w:shd w:val="clear" w:color="auto" w:fill="ECEBEB"/>
          </w:tcPr>
          <w:p>
            <w:pPr>
              <w:spacing w:after="0"/>
              <w:rPr>
                <w:sz w:val="21"/>
                <w:szCs w:val="21"/>
                <w:color w:val="auto"/>
              </w:rPr>
            </w:pPr>
          </w:p>
        </w:tc>
        <w:tc>
          <w:tcPr>
            <w:tcW w:w="680" w:type="dxa"/>
            <w:vAlign w:val="bottom"/>
            <w:shd w:val="clear" w:color="auto" w:fill="ECEBEB"/>
          </w:tcPr>
          <w:p>
            <w:pPr>
              <w:spacing w:after="0"/>
              <w:rPr>
                <w:sz w:val="21"/>
                <w:szCs w:val="21"/>
                <w:color w:val="auto"/>
              </w:rPr>
            </w:pPr>
          </w:p>
        </w:tc>
        <w:tc>
          <w:tcPr>
            <w:tcW w:w="1080" w:type="dxa"/>
            <w:vAlign w:val="bottom"/>
            <w:shd w:val="clear" w:color="auto" w:fill="ECEBEB"/>
          </w:tcPr>
          <w:p>
            <w:pPr>
              <w:ind w:left="80"/>
              <w:spacing w:after="0"/>
              <w:rPr>
                <w:sz w:val="20"/>
                <w:szCs w:val="20"/>
                <w:color w:val="auto"/>
              </w:rPr>
            </w:pPr>
            <w:r>
              <w:rPr>
                <w:rFonts w:ascii="Arial" w:cs="Arial" w:eastAsia="Arial" w:hAnsi="Arial"/>
                <w:sz w:val="14"/>
                <w:szCs w:val="14"/>
                <w:b w:val="1"/>
                <w:bCs w:val="1"/>
                <w:color w:val="auto"/>
              </w:rPr>
              <w:t>Threshold</w:t>
            </w:r>
          </w:p>
        </w:tc>
        <w:tc>
          <w:tcPr>
            <w:tcW w:w="1180" w:type="dxa"/>
            <w:vAlign w:val="bottom"/>
            <w:shd w:val="clear" w:color="auto" w:fill="ECEBEB"/>
          </w:tcPr>
          <w:p>
            <w:pPr>
              <w:ind w:left="120"/>
              <w:spacing w:after="0"/>
              <w:rPr>
                <w:sz w:val="20"/>
                <w:szCs w:val="20"/>
                <w:color w:val="auto"/>
              </w:rPr>
            </w:pPr>
            <w:r>
              <w:rPr>
                <w:rFonts w:ascii="Arial" w:cs="Arial" w:eastAsia="Arial" w:hAnsi="Arial"/>
                <w:sz w:val="14"/>
                <w:szCs w:val="14"/>
                <w:b w:val="1"/>
                <w:bCs w:val="1"/>
                <w:color w:val="auto"/>
              </w:rPr>
              <w:t>Target</w:t>
            </w:r>
          </w:p>
        </w:tc>
        <w:tc>
          <w:tcPr>
            <w:tcW w:w="1140" w:type="dxa"/>
            <w:vAlign w:val="bottom"/>
            <w:shd w:val="clear" w:color="auto" w:fill="ECEBEB"/>
          </w:tcPr>
          <w:p>
            <w:pPr>
              <w:ind w:left="80"/>
              <w:spacing w:after="0"/>
              <w:rPr>
                <w:sz w:val="20"/>
                <w:szCs w:val="20"/>
                <w:color w:val="auto"/>
              </w:rPr>
            </w:pPr>
            <w:r>
              <w:rPr>
                <w:rFonts w:ascii="Arial" w:cs="Arial" w:eastAsia="Arial" w:hAnsi="Arial"/>
                <w:sz w:val="14"/>
                <w:szCs w:val="14"/>
                <w:b w:val="1"/>
                <w:bCs w:val="1"/>
                <w:color w:val="auto"/>
              </w:rPr>
              <w:t>Maximum</w:t>
            </w:r>
          </w:p>
        </w:tc>
        <w:tc>
          <w:tcPr>
            <w:tcW w:w="2620" w:type="dxa"/>
            <w:vAlign w:val="bottom"/>
            <w:shd w:val="clear" w:color="auto" w:fill="ECEBEB"/>
          </w:tcPr>
          <w:p>
            <w:pPr>
              <w:spacing w:after="0"/>
              <w:rPr>
                <w:sz w:val="21"/>
                <w:szCs w:val="21"/>
                <w:color w:val="auto"/>
              </w:rPr>
            </w:pPr>
          </w:p>
        </w:tc>
      </w:tr>
      <w:tr>
        <w:trPr>
          <w:trHeight w:val="171"/>
        </w:trPr>
        <w:tc>
          <w:tcPr>
            <w:tcW w:w="238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PSU Performance Measure</w:t>
            </w:r>
          </w:p>
        </w:tc>
        <w:tc>
          <w:tcPr>
            <w:tcW w:w="680" w:type="dxa"/>
            <w:vAlign w:val="bottom"/>
            <w:tcBorders>
              <w:bottom w:val="single" w:sz="8" w:color="0956FF"/>
            </w:tcBorders>
            <w:shd w:val="clear" w:color="auto" w:fill="ECEBEB"/>
          </w:tcPr>
          <w:p>
            <w:pPr>
              <w:jc w:val="center"/>
              <w:spacing w:after="0"/>
              <w:rPr>
                <w:sz w:val="20"/>
                <w:szCs w:val="20"/>
                <w:color w:val="auto"/>
              </w:rPr>
            </w:pPr>
            <w:r>
              <w:rPr>
                <w:rFonts w:ascii="Arial" w:cs="Arial" w:eastAsia="Arial" w:hAnsi="Arial"/>
                <w:sz w:val="14"/>
                <w:szCs w:val="14"/>
                <w:b w:val="1"/>
                <w:bCs w:val="1"/>
                <w:color w:val="auto"/>
              </w:rPr>
              <w:t>Weight</w:t>
            </w:r>
          </w:p>
        </w:tc>
        <w:tc>
          <w:tcPr>
            <w:tcW w:w="1080" w:type="dxa"/>
            <w:vAlign w:val="bottom"/>
            <w:tcBorders>
              <w:bottom w:val="single" w:sz="8" w:color="0956FF"/>
            </w:tcBorders>
            <w:shd w:val="clear" w:color="auto" w:fill="ECEBEB"/>
          </w:tcPr>
          <w:p>
            <w:pPr>
              <w:ind w:left="80"/>
              <w:spacing w:after="0"/>
              <w:rPr>
                <w:sz w:val="20"/>
                <w:szCs w:val="20"/>
                <w:color w:val="auto"/>
              </w:rPr>
            </w:pPr>
            <w:r>
              <w:rPr>
                <w:rFonts w:ascii="Arial" w:cs="Arial" w:eastAsia="Arial" w:hAnsi="Arial"/>
                <w:sz w:val="14"/>
                <w:szCs w:val="14"/>
                <w:b w:val="1"/>
                <w:bCs w:val="1"/>
                <w:color w:val="auto"/>
              </w:rPr>
              <w:t>(50% payout)</w:t>
            </w:r>
          </w:p>
        </w:tc>
        <w:tc>
          <w:tcPr>
            <w:tcW w:w="1180" w:type="dxa"/>
            <w:vAlign w:val="bottom"/>
            <w:tcBorders>
              <w:bottom w:val="single" w:sz="8" w:color="0956FF"/>
            </w:tcBorders>
            <w:shd w:val="clear" w:color="auto" w:fill="ECEBEB"/>
          </w:tcPr>
          <w:p>
            <w:pPr>
              <w:ind w:left="120"/>
              <w:spacing w:after="0"/>
              <w:rPr>
                <w:sz w:val="20"/>
                <w:szCs w:val="20"/>
                <w:color w:val="auto"/>
              </w:rPr>
            </w:pPr>
            <w:r>
              <w:rPr>
                <w:rFonts w:ascii="Arial" w:cs="Arial" w:eastAsia="Arial" w:hAnsi="Arial"/>
                <w:sz w:val="14"/>
                <w:szCs w:val="14"/>
                <w:b w:val="1"/>
                <w:bCs w:val="1"/>
                <w:color w:val="auto"/>
              </w:rPr>
              <w:t>(100% payout)</w:t>
            </w:r>
          </w:p>
        </w:tc>
        <w:tc>
          <w:tcPr>
            <w:tcW w:w="1140" w:type="dxa"/>
            <w:vAlign w:val="bottom"/>
            <w:tcBorders>
              <w:bottom w:val="single" w:sz="8" w:color="0956FF"/>
            </w:tcBorders>
            <w:shd w:val="clear" w:color="auto" w:fill="ECEBEB"/>
          </w:tcPr>
          <w:p>
            <w:pPr>
              <w:ind w:left="80"/>
              <w:spacing w:after="0"/>
              <w:rPr>
                <w:sz w:val="20"/>
                <w:szCs w:val="20"/>
                <w:color w:val="auto"/>
              </w:rPr>
            </w:pPr>
            <w:r>
              <w:rPr>
                <w:rFonts w:ascii="Arial" w:cs="Arial" w:eastAsia="Arial" w:hAnsi="Arial"/>
                <w:sz w:val="14"/>
                <w:szCs w:val="14"/>
                <w:b w:val="1"/>
                <w:bCs w:val="1"/>
                <w:color w:val="auto"/>
              </w:rPr>
              <w:t>(200% payout)</w:t>
            </w:r>
          </w:p>
        </w:tc>
        <w:tc>
          <w:tcPr>
            <w:tcW w:w="2620" w:type="dxa"/>
            <w:vAlign w:val="bottom"/>
            <w:tcBorders>
              <w:bottom w:val="single" w:sz="8" w:color="0956FF"/>
            </w:tcBorders>
            <w:shd w:val="clear" w:color="auto" w:fill="ECEBEB"/>
          </w:tcPr>
          <w:p>
            <w:pPr>
              <w:ind w:left="80"/>
              <w:spacing w:after="0"/>
              <w:rPr>
                <w:sz w:val="20"/>
                <w:szCs w:val="20"/>
                <w:color w:val="auto"/>
              </w:rPr>
            </w:pPr>
            <w:r>
              <w:rPr>
                <w:rFonts w:ascii="Arial" w:cs="Arial" w:eastAsia="Arial" w:hAnsi="Arial"/>
                <w:sz w:val="14"/>
                <w:szCs w:val="14"/>
                <w:b w:val="1"/>
                <w:bCs w:val="1"/>
                <w:color w:val="auto"/>
              </w:rPr>
              <w:t>Leadership Behaviors</w:t>
            </w:r>
          </w:p>
        </w:tc>
      </w:tr>
      <w:tr>
        <w:trPr>
          <w:trHeight w:val="222"/>
        </w:trPr>
        <w:tc>
          <w:tcPr>
            <w:tcW w:w="2380" w:type="dxa"/>
            <w:vAlign w:val="bottom"/>
          </w:tcPr>
          <w:p>
            <w:pPr>
              <w:ind w:left="60"/>
              <w:spacing w:after="0" w:line="223" w:lineRule="exact"/>
              <w:rPr>
                <w:sz w:val="20"/>
                <w:szCs w:val="20"/>
                <w:color w:val="auto"/>
              </w:rPr>
            </w:pPr>
            <w:r>
              <w:rPr>
                <w:rFonts w:ascii="Arial" w:cs="Arial" w:eastAsia="Arial" w:hAnsi="Arial"/>
                <w:sz w:val="16"/>
                <w:szCs w:val="16"/>
                <w:color w:val="auto"/>
              </w:rPr>
              <w:t>Relative TSR</w:t>
            </w:r>
            <w:r>
              <w:rPr>
                <w:rFonts w:ascii="Arial" w:cs="Arial" w:eastAsia="Arial" w:hAnsi="Arial"/>
                <w:sz w:val="21"/>
                <w:szCs w:val="21"/>
                <w:color w:val="auto"/>
                <w:vertAlign w:val="superscript"/>
              </w:rPr>
              <w:t>(1)</w:t>
            </w:r>
          </w:p>
        </w:tc>
        <w:tc>
          <w:tcPr>
            <w:tcW w:w="68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080" w:type="dxa"/>
            <w:vAlign w:val="bottom"/>
          </w:tcPr>
          <w:p>
            <w:pPr>
              <w:ind w:left="80"/>
              <w:spacing w:after="0"/>
              <w:rPr>
                <w:sz w:val="20"/>
                <w:szCs w:val="20"/>
                <w:color w:val="auto"/>
              </w:rPr>
            </w:pPr>
            <w:r>
              <w:rPr>
                <w:rFonts w:ascii="Arial" w:cs="Arial" w:eastAsia="Arial" w:hAnsi="Arial"/>
                <w:sz w:val="16"/>
                <w:szCs w:val="16"/>
                <w:color w:val="auto"/>
              </w:rPr>
              <w:t>25th</w:t>
            </w:r>
          </w:p>
        </w:tc>
        <w:tc>
          <w:tcPr>
            <w:tcW w:w="1180" w:type="dxa"/>
            <w:vAlign w:val="bottom"/>
          </w:tcPr>
          <w:p>
            <w:pPr>
              <w:ind w:left="120"/>
              <w:spacing w:after="0"/>
              <w:rPr>
                <w:sz w:val="20"/>
                <w:szCs w:val="20"/>
                <w:color w:val="auto"/>
              </w:rPr>
            </w:pPr>
            <w:r>
              <w:rPr>
                <w:rFonts w:ascii="Arial" w:cs="Arial" w:eastAsia="Arial" w:hAnsi="Arial"/>
                <w:sz w:val="16"/>
                <w:szCs w:val="16"/>
                <w:color w:val="auto"/>
              </w:rPr>
              <w:t>55th</w:t>
            </w:r>
          </w:p>
        </w:tc>
        <w:tc>
          <w:tcPr>
            <w:tcW w:w="1140" w:type="dxa"/>
            <w:vAlign w:val="bottom"/>
          </w:tcPr>
          <w:p>
            <w:pPr>
              <w:ind w:left="80"/>
              <w:spacing w:after="0"/>
              <w:rPr>
                <w:sz w:val="20"/>
                <w:szCs w:val="20"/>
                <w:color w:val="auto"/>
              </w:rPr>
            </w:pPr>
            <w:r>
              <w:rPr>
                <w:rFonts w:ascii="Arial" w:cs="Arial" w:eastAsia="Arial" w:hAnsi="Arial"/>
                <w:sz w:val="16"/>
                <w:szCs w:val="16"/>
                <w:color w:val="auto"/>
              </w:rPr>
              <w:t>75th</w:t>
            </w:r>
          </w:p>
        </w:tc>
        <w:tc>
          <w:tcPr>
            <w:tcW w:w="2620" w:type="dxa"/>
            <w:vAlign w:val="bottom"/>
          </w:tcPr>
          <w:p>
            <w:pPr>
              <w:ind w:left="80"/>
              <w:spacing w:after="0"/>
              <w:rPr>
                <w:sz w:val="20"/>
                <w:szCs w:val="20"/>
                <w:color w:val="auto"/>
              </w:rPr>
            </w:pPr>
            <w:r>
              <w:rPr>
                <w:rFonts w:ascii="Arial" w:cs="Arial" w:eastAsia="Arial" w:hAnsi="Arial"/>
                <w:sz w:val="16"/>
                <w:szCs w:val="16"/>
                <w:color w:val="auto"/>
              </w:rPr>
              <w:t>Focus on delivering shareholder</w:t>
            </w:r>
          </w:p>
        </w:tc>
      </w:tr>
      <w:tr>
        <w:trPr>
          <w:trHeight w:val="189"/>
        </w:trPr>
        <w:tc>
          <w:tcPr>
            <w:tcW w:w="2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auto"/>
              </w:rPr>
              <w:t>Percentile</w:t>
            </w:r>
          </w:p>
        </w:tc>
        <w:tc>
          <w:tcPr>
            <w:tcW w:w="1180" w:type="dxa"/>
            <w:vAlign w:val="bottom"/>
          </w:tcPr>
          <w:p>
            <w:pPr>
              <w:ind w:left="120"/>
              <w:spacing w:after="0"/>
              <w:rPr>
                <w:sz w:val="20"/>
                <w:szCs w:val="20"/>
                <w:color w:val="auto"/>
              </w:rPr>
            </w:pPr>
            <w:r>
              <w:rPr>
                <w:rFonts w:ascii="Arial" w:cs="Arial" w:eastAsia="Arial" w:hAnsi="Arial"/>
                <w:sz w:val="16"/>
                <w:szCs w:val="16"/>
                <w:color w:val="auto"/>
              </w:rPr>
              <w:t>Percentile</w:t>
            </w:r>
          </w:p>
        </w:tc>
        <w:tc>
          <w:tcPr>
            <w:tcW w:w="1140" w:type="dxa"/>
            <w:vAlign w:val="bottom"/>
          </w:tcPr>
          <w:p>
            <w:pPr>
              <w:ind w:left="80"/>
              <w:spacing w:after="0"/>
              <w:rPr>
                <w:sz w:val="20"/>
                <w:szCs w:val="20"/>
                <w:color w:val="auto"/>
              </w:rPr>
            </w:pPr>
            <w:r>
              <w:rPr>
                <w:rFonts w:ascii="Arial" w:cs="Arial" w:eastAsia="Arial" w:hAnsi="Arial"/>
                <w:sz w:val="16"/>
                <w:szCs w:val="16"/>
                <w:color w:val="auto"/>
              </w:rPr>
              <w:t>Percentile</w:t>
            </w:r>
          </w:p>
        </w:tc>
        <w:tc>
          <w:tcPr>
            <w:tcW w:w="2620" w:type="dxa"/>
            <w:vAlign w:val="bottom"/>
          </w:tcPr>
          <w:p>
            <w:pPr>
              <w:ind w:left="80"/>
              <w:spacing w:after="0"/>
              <w:rPr>
                <w:sz w:val="20"/>
                <w:szCs w:val="20"/>
                <w:color w:val="auto"/>
              </w:rPr>
            </w:pPr>
            <w:r>
              <w:rPr>
                <w:rFonts w:ascii="Arial" w:cs="Arial" w:eastAsia="Arial" w:hAnsi="Arial"/>
                <w:sz w:val="16"/>
                <w:szCs w:val="16"/>
                <w:color w:val="auto"/>
              </w:rPr>
              <w:t>returns that outperform our</w:t>
            </w:r>
          </w:p>
        </w:tc>
      </w:tr>
      <w:tr>
        <w:trPr>
          <w:trHeight w:val="216"/>
        </w:trPr>
        <w:tc>
          <w:tcPr>
            <w:tcW w:w="2380" w:type="dxa"/>
            <w:vAlign w:val="bottom"/>
            <w:tcBorders>
              <w:bottom w:val="single" w:sz="8" w:color="D8D7D7"/>
            </w:tcBorders>
          </w:tcPr>
          <w:p>
            <w:pPr>
              <w:spacing w:after="0"/>
              <w:rPr>
                <w:sz w:val="18"/>
                <w:szCs w:val="18"/>
                <w:color w:val="auto"/>
              </w:rPr>
            </w:pPr>
          </w:p>
        </w:tc>
        <w:tc>
          <w:tcPr>
            <w:tcW w:w="680" w:type="dxa"/>
            <w:vAlign w:val="bottom"/>
            <w:tcBorders>
              <w:bottom w:val="single" w:sz="8" w:color="D8D7D7"/>
            </w:tcBorders>
          </w:tcPr>
          <w:p>
            <w:pPr>
              <w:spacing w:after="0"/>
              <w:rPr>
                <w:sz w:val="18"/>
                <w:szCs w:val="18"/>
                <w:color w:val="auto"/>
              </w:rPr>
            </w:pPr>
          </w:p>
        </w:tc>
        <w:tc>
          <w:tcPr>
            <w:tcW w:w="1080" w:type="dxa"/>
            <w:vAlign w:val="bottom"/>
            <w:tcBorders>
              <w:bottom w:val="single" w:sz="8" w:color="D8D7D7"/>
            </w:tcBorders>
          </w:tcPr>
          <w:p>
            <w:pPr>
              <w:spacing w:after="0"/>
              <w:rPr>
                <w:sz w:val="18"/>
                <w:szCs w:val="18"/>
                <w:color w:val="auto"/>
              </w:rPr>
            </w:pPr>
          </w:p>
        </w:tc>
        <w:tc>
          <w:tcPr>
            <w:tcW w:w="1180" w:type="dxa"/>
            <w:vAlign w:val="bottom"/>
            <w:tcBorders>
              <w:bottom w:val="single" w:sz="8" w:color="D8D7D7"/>
            </w:tcBorders>
          </w:tcPr>
          <w:p>
            <w:pPr>
              <w:spacing w:after="0"/>
              <w:rPr>
                <w:sz w:val="18"/>
                <w:szCs w:val="18"/>
                <w:color w:val="auto"/>
              </w:rPr>
            </w:pPr>
          </w:p>
        </w:tc>
        <w:tc>
          <w:tcPr>
            <w:tcW w:w="1140" w:type="dxa"/>
            <w:vAlign w:val="bottom"/>
            <w:tcBorders>
              <w:bottom w:val="single" w:sz="8" w:color="D8D7D7"/>
            </w:tcBorders>
          </w:tcPr>
          <w:p>
            <w:pPr>
              <w:ind w:left="80"/>
              <w:spacing w:after="0"/>
              <w:rPr>
                <w:sz w:val="20"/>
                <w:szCs w:val="20"/>
                <w:color w:val="auto"/>
              </w:rPr>
            </w:pPr>
            <w:r>
              <w:rPr>
                <w:rFonts w:ascii="Arial" w:cs="Arial" w:eastAsia="Arial" w:hAnsi="Arial"/>
                <w:sz w:val="16"/>
                <w:szCs w:val="16"/>
                <w:color w:val="auto"/>
              </w:rPr>
              <w:t>and above</w:t>
            </w:r>
          </w:p>
        </w:tc>
        <w:tc>
          <w:tcPr>
            <w:tcW w:w="2620" w:type="dxa"/>
            <w:vAlign w:val="bottom"/>
            <w:tcBorders>
              <w:bottom w:val="single" w:sz="8" w:color="D8D7D7"/>
            </w:tcBorders>
          </w:tcPr>
          <w:p>
            <w:pPr>
              <w:ind w:left="80"/>
              <w:spacing w:after="0"/>
              <w:rPr>
                <w:sz w:val="20"/>
                <w:szCs w:val="20"/>
                <w:color w:val="auto"/>
              </w:rPr>
            </w:pPr>
            <w:r>
              <w:rPr>
                <w:rFonts w:ascii="Arial" w:cs="Arial" w:eastAsia="Arial" w:hAnsi="Arial"/>
                <w:sz w:val="16"/>
                <w:szCs w:val="16"/>
                <w:color w:val="auto"/>
              </w:rPr>
              <w:t>OEM peer group</w:t>
            </w:r>
          </w:p>
        </w:tc>
      </w:tr>
      <w:tr>
        <w:trPr>
          <w:trHeight w:val="223"/>
        </w:trPr>
        <w:tc>
          <w:tcPr>
            <w:tcW w:w="2380" w:type="dxa"/>
            <w:vAlign w:val="bottom"/>
          </w:tcPr>
          <w:p>
            <w:pPr>
              <w:ind w:left="60"/>
              <w:spacing w:after="0" w:line="224" w:lineRule="exact"/>
              <w:rPr>
                <w:sz w:val="20"/>
                <w:szCs w:val="20"/>
                <w:color w:val="auto"/>
              </w:rPr>
            </w:pPr>
            <w:r>
              <w:rPr>
                <w:rFonts w:ascii="Arial" w:cs="Arial" w:eastAsia="Arial" w:hAnsi="Arial"/>
                <w:sz w:val="16"/>
                <w:szCs w:val="16"/>
                <w:b w:val="1"/>
                <w:bCs w:val="1"/>
                <w:color w:val="auto"/>
              </w:rPr>
              <w:t xml:space="preserve">REFINED vs. 2024 </w:t>
            </w:r>
            <w:r>
              <w:rPr>
                <w:rFonts w:ascii="Arial" w:cs="Arial" w:eastAsia="Arial" w:hAnsi="Arial"/>
                <w:sz w:val="21"/>
                <w:szCs w:val="21"/>
                <w:color w:val="auto"/>
                <w:vertAlign w:val="superscript"/>
              </w:rPr>
              <w:t>(2)</w:t>
            </w:r>
            <w:r>
              <w:rPr>
                <w:rFonts w:ascii="Arial" w:cs="Arial" w:eastAsia="Arial" w:hAnsi="Arial"/>
                <w:sz w:val="16"/>
                <w:szCs w:val="16"/>
                <w:color w:val="auto"/>
              </w:rPr>
              <w:t>: Relative</w:t>
            </w:r>
          </w:p>
        </w:tc>
        <w:tc>
          <w:tcPr>
            <w:tcW w:w="680" w:type="dxa"/>
            <w:vAlign w:val="bottom"/>
          </w:tcPr>
          <w:p>
            <w:pPr>
              <w:jc w:val="center"/>
              <w:spacing w:after="0"/>
              <w:rPr>
                <w:sz w:val="20"/>
                <w:szCs w:val="20"/>
                <w:color w:val="auto"/>
              </w:rPr>
            </w:pPr>
            <w:r>
              <w:rPr>
                <w:rFonts w:ascii="Arial" w:cs="Arial" w:eastAsia="Arial" w:hAnsi="Arial"/>
                <w:sz w:val="16"/>
                <w:szCs w:val="16"/>
                <w:color w:val="auto"/>
              </w:rPr>
              <w:t>30%</w:t>
            </w:r>
          </w:p>
        </w:tc>
        <w:tc>
          <w:tcPr>
            <w:tcW w:w="1080" w:type="dxa"/>
            <w:vAlign w:val="bottom"/>
          </w:tcPr>
          <w:p>
            <w:pPr>
              <w:ind w:left="80"/>
              <w:spacing w:after="0"/>
              <w:rPr>
                <w:sz w:val="20"/>
                <w:szCs w:val="20"/>
                <w:color w:val="auto"/>
              </w:rPr>
            </w:pPr>
            <w:r>
              <w:rPr>
                <w:rFonts w:ascii="Arial" w:cs="Arial" w:eastAsia="Arial" w:hAnsi="Arial"/>
                <w:sz w:val="16"/>
                <w:szCs w:val="16"/>
                <w:color w:val="auto"/>
              </w:rPr>
              <w:t>25th</w:t>
            </w:r>
          </w:p>
        </w:tc>
        <w:tc>
          <w:tcPr>
            <w:tcW w:w="1180" w:type="dxa"/>
            <w:vAlign w:val="bottom"/>
          </w:tcPr>
          <w:p>
            <w:pPr>
              <w:ind w:left="120"/>
              <w:spacing w:after="0"/>
              <w:rPr>
                <w:sz w:val="20"/>
                <w:szCs w:val="20"/>
                <w:color w:val="auto"/>
              </w:rPr>
            </w:pPr>
            <w:r>
              <w:rPr>
                <w:rFonts w:ascii="Arial" w:cs="Arial" w:eastAsia="Arial" w:hAnsi="Arial"/>
                <w:sz w:val="16"/>
                <w:szCs w:val="16"/>
                <w:color w:val="auto"/>
              </w:rPr>
              <w:t>55th</w:t>
            </w:r>
          </w:p>
        </w:tc>
        <w:tc>
          <w:tcPr>
            <w:tcW w:w="1140" w:type="dxa"/>
            <w:vAlign w:val="bottom"/>
          </w:tcPr>
          <w:p>
            <w:pPr>
              <w:ind w:left="80"/>
              <w:spacing w:after="0"/>
              <w:rPr>
                <w:sz w:val="20"/>
                <w:szCs w:val="20"/>
                <w:color w:val="auto"/>
              </w:rPr>
            </w:pPr>
            <w:r>
              <w:rPr>
                <w:rFonts w:ascii="Arial" w:cs="Arial" w:eastAsia="Arial" w:hAnsi="Arial"/>
                <w:sz w:val="16"/>
                <w:szCs w:val="16"/>
                <w:color w:val="auto"/>
              </w:rPr>
              <w:t>75th</w:t>
            </w:r>
          </w:p>
        </w:tc>
        <w:tc>
          <w:tcPr>
            <w:tcW w:w="2620" w:type="dxa"/>
            <w:vAlign w:val="bottom"/>
          </w:tcPr>
          <w:p>
            <w:pPr>
              <w:ind w:left="80"/>
              <w:spacing w:after="0"/>
              <w:rPr>
                <w:sz w:val="20"/>
                <w:szCs w:val="20"/>
                <w:color w:val="auto"/>
              </w:rPr>
            </w:pPr>
            <w:r>
              <w:rPr>
                <w:rFonts w:ascii="Arial" w:cs="Arial" w:eastAsia="Arial" w:hAnsi="Arial"/>
                <w:sz w:val="16"/>
                <w:szCs w:val="16"/>
                <w:color w:val="auto"/>
              </w:rPr>
              <w:t>Drive focus on cash generation</w:t>
            </w:r>
          </w:p>
        </w:tc>
      </w:tr>
      <w:tr>
        <w:trPr>
          <w:trHeight w:val="189"/>
        </w:trPr>
        <w:tc>
          <w:tcPr>
            <w:tcW w:w="2380" w:type="dxa"/>
            <w:vAlign w:val="bottom"/>
          </w:tcPr>
          <w:p>
            <w:pPr>
              <w:ind w:left="60"/>
              <w:spacing w:after="0"/>
              <w:rPr>
                <w:sz w:val="20"/>
                <w:szCs w:val="20"/>
                <w:color w:val="auto"/>
              </w:rPr>
            </w:pPr>
            <w:r>
              <w:rPr>
                <w:rFonts w:ascii="Arial" w:cs="Arial" w:eastAsia="Arial" w:hAnsi="Arial"/>
                <w:sz w:val="16"/>
                <w:szCs w:val="16"/>
                <w:color w:val="auto"/>
              </w:rPr>
              <w:t>Operating Cash Flow as a</w:t>
            </w:r>
          </w:p>
        </w:tc>
        <w:tc>
          <w:tcPr>
            <w:tcW w:w="680" w:type="dxa"/>
            <w:vAlign w:val="bottom"/>
          </w:tcPr>
          <w:p>
            <w:pPr>
              <w:spacing w:after="0"/>
              <w:rPr>
                <w:sz w:val="16"/>
                <w:szCs w:val="16"/>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auto"/>
              </w:rPr>
              <w:t>Percentile</w:t>
            </w:r>
          </w:p>
        </w:tc>
        <w:tc>
          <w:tcPr>
            <w:tcW w:w="1180" w:type="dxa"/>
            <w:vAlign w:val="bottom"/>
          </w:tcPr>
          <w:p>
            <w:pPr>
              <w:ind w:left="120"/>
              <w:spacing w:after="0"/>
              <w:rPr>
                <w:sz w:val="20"/>
                <w:szCs w:val="20"/>
                <w:color w:val="auto"/>
              </w:rPr>
            </w:pPr>
            <w:r>
              <w:rPr>
                <w:rFonts w:ascii="Arial" w:cs="Arial" w:eastAsia="Arial" w:hAnsi="Arial"/>
                <w:sz w:val="16"/>
                <w:szCs w:val="16"/>
                <w:color w:val="auto"/>
              </w:rPr>
              <w:t>Percentile</w:t>
            </w:r>
          </w:p>
        </w:tc>
        <w:tc>
          <w:tcPr>
            <w:tcW w:w="1140" w:type="dxa"/>
            <w:vAlign w:val="bottom"/>
          </w:tcPr>
          <w:p>
            <w:pPr>
              <w:ind w:left="80"/>
              <w:spacing w:after="0"/>
              <w:rPr>
                <w:sz w:val="20"/>
                <w:szCs w:val="20"/>
                <w:color w:val="auto"/>
              </w:rPr>
            </w:pPr>
            <w:r>
              <w:rPr>
                <w:rFonts w:ascii="Arial" w:cs="Arial" w:eastAsia="Arial" w:hAnsi="Arial"/>
                <w:sz w:val="16"/>
                <w:szCs w:val="16"/>
                <w:color w:val="auto"/>
              </w:rPr>
              <w:t>Percentile</w:t>
            </w:r>
          </w:p>
        </w:tc>
        <w:tc>
          <w:tcPr>
            <w:tcW w:w="2620" w:type="dxa"/>
            <w:vAlign w:val="bottom"/>
          </w:tcPr>
          <w:p>
            <w:pPr>
              <w:ind w:left="80"/>
              <w:spacing w:after="0"/>
              <w:rPr>
                <w:sz w:val="20"/>
                <w:szCs w:val="20"/>
                <w:color w:val="auto"/>
              </w:rPr>
            </w:pPr>
            <w:r>
              <w:rPr>
                <w:rFonts w:ascii="Arial" w:cs="Arial" w:eastAsia="Arial" w:hAnsi="Arial"/>
                <w:sz w:val="16"/>
                <w:szCs w:val="16"/>
                <w:color w:val="auto"/>
              </w:rPr>
              <w:t>during this critical period</w:t>
            </w:r>
          </w:p>
        </w:tc>
      </w:tr>
      <w:tr>
        <w:trPr>
          <w:trHeight w:val="216"/>
        </w:trPr>
        <w:tc>
          <w:tcPr>
            <w:tcW w:w="238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Percentage of Revenue “OCF”</w:t>
            </w:r>
          </w:p>
        </w:tc>
        <w:tc>
          <w:tcPr>
            <w:tcW w:w="680" w:type="dxa"/>
            <w:vAlign w:val="bottom"/>
            <w:tcBorders>
              <w:bottom w:val="single" w:sz="8" w:color="D8D7D7"/>
            </w:tcBorders>
          </w:tcPr>
          <w:p>
            <w:pPr>
              <w:spacing w:after="0"/>
              <w:rPr>
                <w:sz w:val="18"/>
                <w:szCs w:val="18"/>
                <w:color w:val="auto"/>
              </w:rPr>
            </w:pPr>
          </w:p>
        </w:tc>
        <w:tc>
          <w:tcPr>
            <w:tcW w:w="1080" w:type="dxa"/>
            <w:vAlign w:val="bottom"/>
            <w:tcBorders>
              <w:bottom w:val="single" w:sz="8" w:color="D8D7D7"/>
            </w:tcBorders>
          </w:tcPr>
          <w:p>
            <w:pPr>
              <w:spacing w:after="0"/>
              <w:rPr>
                <w:sz w:val="18"/>
                <w:szCs w:val="18"/>
                <w:color w:val="auto"/>
              </w:rPr>
            </w:pPr>
          </w:p>
        </w:tc>
        <w:tc>
          <w:tcPr>
            <w:tcW w:w="1180" w:type="dxa"/>
            <w:vAlign w:val="bottom"/>
            <w:tcBorders>
              <w:bottom w:val="single" w:sz="8" w:color="D8D7D7"/>
            </w:tcBorders>
          </w:tcPr>
          <w:p>
            <w:pPr>
              <w:spacing w:after="0"/>
              <w:rPr>
                <w:sz w:val="18"/>
                <w:szCs w:val="18"/>
                <w:color w:val="auto"/>
              </w:rPr>
            </w:pPr>
          </w:p>
        </w:tc>
        <w:tc>
          <w:tcPr>
            <w:tcW w:w="1140" w:type="dxa"/>
            <w:vAlign w:val="bottom"/>
            <w:tcBorders>
              <w:bottom w:val="single" w:sz="8" w:color="D8D7D7"/>
            </w:tcBorders>
          </w:tcPr>
          <w:p>
            <w:pPr>
              <w:ind w:left="80"/>
              <w:spacing w:after="0"/>
              <w:rPr>
                <w:sz w:val="20"/>
                <w:szCs w:val="20"/>
                <w:color w:val="auto"/>
              </w:rPr>
            </w:pPr>
            <w:r>
              <w:rPr>
                <w:rFonts w:ascii="Arial" w:cs="Arial" w:eastAsia="Arial" w:hAnsi="Arial"/>
                <w:sz w:val="16"/>
                <w:szCs w:val="16"/>
                <w:color w:val="auto"/>
              </w:rPr>
              <w:t>and above</w:t>
            </w:r>
          </w:p>
        </w:tc>
        <w:tc>
          <w:tcPr>
            <w:tcW w:w="2620" w:type="dxa"/>
            <w:vAlign w:val="bottom"/>
            <w:tcBorders>
              <w:bottom w:val="single" w:sz="8" w:color="D8D7D7"/>
            </w:tcBorders>
          </w:tcPr>
          <w:p>
            <w:pPr>
              <w:ind w:left="80"/>
              <w:spacing w:after="0"/>
              <w:rPr>
                <w:sz w:val="20"/>
                <w:szCs w:val="20"/>
                <w:color w:val="auto"/>
              </w:rPr>
            </w:pPr>
            <w:r>
              <w:rPr>
                <w:rFonts w:ascii="Arial" w:cs="Arial" w:eastAsia="Arial" w:hAnsi="Arial"/>
                <w:sz w:val="16"/>
                <w:szCs w:val="16"/>
                <w:color w:val="auto"/>
              </w:rPr>
              <w:t>of transformation</w:t>
            </w:r>
          </w:p>
        </w:tc>
      </w:tr>
      <w:tr>
        <w:trPr>
          <w:trHeight w:val="223"/>
        </w:trPr>
        <w:tc>
          <w:tcPr>
            <w:tcW w:w="2380" w:type="dxa"/>
            <w:vAlign w:val="bottom"/>
          </w:tcPr>
          <w:p>
            <w:pPr>
              <w:ind w:left="60"/>
              <w:spacing w:after="0" w:line="224" w:lineRule="exact"/>
              <w:rPr>
                <w:sz w:val="20"/>
                <w:szCs w:val="20"/>
                <w:color w:val="auto"/>
              </w:rPr>
            </w:pPr>
            <w:r>
              <w:rPr>
                <w:rFonts w:ascii="Arial" w:cs="Arial" w:eastAsia="Arial" w:hAnsi="Arial"/>
                <w:sz w:val="16"/>
                <w:szCs w:val="16"/>
                <w:b w:val="1"/>
                <w:bCs w:val="1"/>
                <w:color w:val="auto"/>
              </w:rPr>
              <w:t xml:space="preserve">REFINED vs. 2024 </w:t>
            </w:r>
            <w:r>
              <w:rPr>
                <w:rFonts w:ascii="Arial" w:cs="Arial" w:eastAsia="Arial" w:hAnsi="Arial"/>
                <w:sz w:val="21"/>
                <w:szCs w:val="21"/>
                <w:color w:val="auto"/>
                <w:vertAlign w:val="superscript"/>
              </w:rPr>
              <w:t>(2)</w:t>
            </w:r>
            <w:r>
              <w:rPr>
                <w:rFonts w:ascii="Arial" w:cs="Arial" w:eastAsia="Arial" w:hAnsi="Arial"/>
                <w:sz w:val="16"/>
                <w:szCs w:val="16"/>
                <w:color w:val="auto"/>
              </w:rPr>
              <w:t>: Relative</w:t>
            </w:r>
          </w:p>
        </w:tc>
        <w:tc>
          <w:tcPr>
            <w:tcW w:w="680" w:type="dxa"/>
            <w:vAlign w:val="bottom"/>
          </w:tcPr>
          <w:p>
            <w:pPr>
              <w:jc w:val="center"/>
              <w:spacing w:after="0"/>
              <w:rPr>
                <w:sz w:val="20"/>
                <w:szCs w:val="20"/>
                <w:color w:val="auto"/>
              </w:rPr>
            </w:pPr>
            <w:r>
              <w:rPr>
                <w:rFonts w:ascii="Arial" w:cs="Arial" w:eastAsia="Arial" w:hAnsi="Arial"/>
                <w:sz w:val="16"/>
                <w:szCs w:val="16"/>
                <w:color w:val="auto"/>
              </w:rPr>
              <w:t>30%</w:t>
            </w:r>
          </w:p>
        </w:tc>
        <w:tc>
          <w:tcPr>
            <w:tcW w:w="1080" w:type="dxa"/>
            <w:vAlign w:val="bottom"/>
          </w:tcPr>
          <w:p>
            <w:pPr>
              <w:ind w:left="80"/>
              <w:spacing w:after="0"/>
              <w:rPr>
                <w:sz w:val="20"/>
                <w:szCs w:val="20"/>
                <w:color w:val="auto"/>
              </w:rPr>
            </w:pPr>
            <w:r>
              <w:rPr>
                <w:rFonts w:ascii="Arial" w:cs="Arial" w:eastAsia="Arial" w:hAnsi="Arial"/>
                <w:sz w:val="16"/>
                <w:szCs w:val="16"/>
                <w:color w:val="auto"/>
              </w:rPr>
              <w:t>25th</w:t>
            </w:r>
          </w:p>
        </w:tc>
        <w:tc>
          <w:tcPr>
            <w:tcW w:w="1180" w:type="dxa"/>
            <w:vAlign w:val="bottom"/>
          </w:tcPr>
          <w:p>
            <w:pPr>
              <w:ind w:left="120"/>
              <w:spacing w:after="0"/>
              <w:rPr>
                <w:sz w:val="20"/>
                <w:szCs w:val="20"/>
                <w:color w:val="auto"/>
              </w:rPr>
            </w:pPr>
            <w:r>
              <w:rPr>
                <w:rFonts w:ascii="Arial" w:cs="Arial" w:eastAsia="Arial" w:hAnsi="Arial"/>
                <w:sz w:val="16"/>
                <w:szCs w:val="16"/>
                <w:color w:val="auto"/>
              </w:rPr>
              <w:t>55th</w:t>
            </w:r>
          </w:p>
        </w:tc>
        <w:tc>
          <w:tcPr>
            <w:tcW w:w="1140" w:type="dxa"/>
            <w:vAlign w:val="bottom"/>
          </w:tcPr>
          <w:p>
            <w:pPr>
              <w:ind w:left="80"/>
              <w:spacing w:after="0"/>
              <w:rPr>
                <w:sz w:val="20"/>
                <w:szCs w:val="20"/>
                <w:color w:val="auto"/>
              </w:rPr>
            </w:pPr>
            <w:r>
              <w:rPr>
                <w:rFonts w:ascii="Arial" w:cs="Arial" w:eastAsia="Arial" w:hAnsi="Arial"/>
                <w:sz w:val="16"/>
                <w:szCs w:val="16"/>
                <w:color w:val="auto"/>
              </w:rPr>
              <w:t>75th</w:t>
            </w:r>
          </w:p>
        </w:tc>
        <w:tc>
          <w:tcPr>
            <w:tcW w:w="2620" w:type="dxa"/>
            <w:vAlign w:val="bottom"/>
          </w:tcPr>
          <w:p>
            <w:pPr>
              <w:ind w:left="80"/>
              <w:spacing w:after="0"/>
              <w:rPr>
                <w:sz w:val="20"/>
                <w:szCs w:val="20"/>
                <w:color w:val="auto"/>
              </w:rPr>
            </w:pPr>
            <w:r>
              <w:rPr>
                <w:rFonts w:ascii="Arial" w:cs="Arial" w:eastAsia="Arial" w:hAnsi="Arial"/>
                <w:sz w:val="16"/>
                <w:szCs w:val="16"/>
                <w:color w:val="auto"/>
              </w:rPr>
              <w:t>Focus on pursuing profitable</w:t>
            </w:r>
          </w:p>
        </w:tc>
      </w:tr>
      <w:tr>
        <w:trPr>
          <w:trHeight w:val="189"/>
        </w:trPr>
        <w:tc>
          <w:tcPr>
            <w:tcW w:w="2380" w:type="dxa"/>
            <w:vAlign w:val="bottom"/>
          </w:tcPr>
          <w:p>
            <w:pPr>
              <w:ind w:left="60"/>
              <w:spacing w:after="0"/>
              <w:rPr>
                <w:sz w:val="20"/>
                <w:szCs w:val="20"/>
                <w:color w:val="auto"/>
              </w:rPr>
            </w:pPr>
            <w:r>
              <w:rPr>
                <w:rFonts w:ascii="Arial" w:cs="Arial" w:eastAsia="Arial" w:hAnsi="Arial"/>
                <w:sz w:val="16"/>
                <w:szCs w:val="16"/>
                <w:color w:val="auto"/>
              </w:rPr>
              <w:t>EBIT-adjusted Margin</w:t>
            </w:r>
          </w:p>
        </w:tc>
        <w:tc>
          <w:tcPr>
            <w:tcW w:w="680" w:type="dxa"/>
            <w:vAlign w:val="bottom"/>
          </w:tcPr>
          <w:p>
            <w:pPr>
              <w:spacing w:after="0"/>
              <w:rPr>
                <w:sz w:val="16"/>
                <w:szCs w:val="16"/>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auto"/>
              </w:rPr>
              <w:t>Percentile</w:t>
            </w:r>
          </w:p>
        </w:tc>
        <w:tc>
          <w:tcPr>
            <w:tcW w:w="1180" w:type="dxa"/>
            <w:vAlign w:val="bottom"/>
          </w:tcPr>
          <w:p>
            <w:pPr>
              <w:ind w:left="120"/>
              <w:spacing w:after="0"/>
              <w:rPr>
                <w:sz w:val="20"/>
                <w:szCs w:val="20"/>
                <w:color w:val="auto"/>
              </w:rPr>
            </w:pPr>
            <w:r>
              <w:rPr>
                <w:rFonts w:ascii="Arial" w:cs="Arial" w:eastAsia="Arial" w:hAnsi="Arial"/>
                <w:sz w:val="16"/>
                <w:szCs w:val="16"/>
                <w:color w:val="auto"/>
              </w:rPr>
              <w:t>Percentile</w:t>
            </w:r>
          </w:p>
        </w:tc>
        <w:tc>
          <w:tcPr>
            <w:tcW w:w="1140" w:type="dxa"/>
            <w:vAlign w:val="bottom"/>
          </w:tcPr>
          <w:p>
            <w:pPr>
              <w:ind w:left="80"/>
              <w:spacing w:after="0"/>
              <w:rPr>
                <w:sz w:val="20"/>
                <w:szCs w:val="20"/>
                <w:color w:val="auto"/>
              </w:rPr>
            </w:pPr>
            <w:r>
              <w:rPr>
                <w:rFonts w:ascii="Arial" w:cs="Arial" w:eastAsia="Arial" w:hAnsi="Arial"/>
                <w:sz w:val="16"/>
                <w:szCs w:val="16"/>
                <w:color w:val="auto"/>
              </w:rPr>
              <w:t>Percentile</w:t>
            </w:r>
          </w:p>
        </w:tc>
        <w:tc>
          <w:tcPr>
            <w:tcW w:w="2620" w:type="dxa"/>
            <w:vAlign w:val="bottom"/>
          </w:tcPr>
          <w:p>
            <w:pPr>
              <w:ind w:left="80"/>
              <w:spacing w:after="0"/>
              <w:rPr>
                <w:sz w:val="20"/>
                <w:szCs w:val="20"/>
                <w:color w:val="auto"/>
              </w:rPr>
            </w:pPr>
            <w:r>
              <w:rPr>
                <w:rFonts w:ascii="Arial" w:cs="Arial" w:eastAsia="Arial" w:hAnsi="Arial"/>
                <w:sz w:val="16"/>
                <w:szCs w:val="16"/>
                <w:color w:val="auto"/>
              </w:rPr>
              <w:t>growth opportunities and driving</w:t>
            </w:r>
          </w:p>
        </w:tc>
      </w:tr>
      <w:tr>
        <w:trPr>
          <w:trHeight w:val="189"/>
        </w:trPr>
        <w:tc>
          <w:tcPr>
            <w:tcW w:w="2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ind w:left="80"/>
              <w:spacing w:after="0"/>
              <w:rPr>
                <w:sz w:val="20"/>
                <w:szCs w:val="20"/>
                <w:color w:val="auto"/>
              </w:rPr>
            </w:pPr>
            <w:r>
              <w:rPr>
                <w:rFonts w:ascii="Arial" w:cs="Arial" w:eastAsia="Arial" w:hAnsi="Arial"/>
                <w:sz w:val="16"/>
                <w:szCs w:val="16"/>
                <w:color w:val="auto"/>
              </w:rPr>
              <w:t>and above</w:t>
            </w:r>
          </w:p>
        </w:tc>
        <w:tc>
          <w:tcPr>
            <w:tcW w:w="2620" w:type="dxa"/>
            <w:vAlign w:val="bottom"/>
          </w:tcPr>
          <w:p>
            <w:pPr>
              <w:ind w:left="80"/>
              <w:spacing w:after="0"/>
              <w:rPr>
                <w:sz w:val="20"/>
                <w:szCs w:val="20"/>
                <w:color w:val="auto"/>
              </w:rPr>
            </w:pPr>
            <w:r>
              <w:rPr>
                <w:rFonts w:ascii="Arial" w:cs="Arial" w:eastAsia="Arial" w:hAnsi="Arial"/>
                <w:sz w:val="16"/>
                <w:szCs w:val="16"/>
                <w:color w:val="auto"/>
              </w:rPr>
              <w:t>higher margins on existing</w:t>
            </w:r>
          </w:p>
        </w:tc>
      </w:tr>
      <w:tr>
        <w:trPr>
          <w:trHeight w:val="224"/>
        </w:trPr>
        <w:tc>
          <w:tcPr>
            <w:tcW w:w="2380" w:type="dxa"/>
            <w:vAlign w:val="bottom"/>
            <w:tcBorders>
              <w:bottom w:val="single" w:sz="8" w:color="0956FF"/>
            </w:tcBorders>
          </w:tcPr>
          <w:p>
            <w:pPr>
              <w:spacing w:after="0"/>
              <w:rPr>
                <w:sz w:val="19"/>
                <w:szCs w:val="19"/>
                <w:color w:val="auto"/>
              </w:rPr>
            </w:pPr>
          </w:p>
        </w:tc>
        <w:tc>
          <w:tcPr>
            <w:tcW w:w="680" w:type="dxa"/>
            <w:vAlign w:val="bottom"/>
            <w:tcBorders>
              <w:bottom w:val="single" w:sz="8" w:color="0956FF"/>
            </w:tcBorders>
          </w:tcPr>
          <w:p>
            <w:pPr>
              <w:spacing w:after="0"/>
              <w:rPr>
                <w:sz w:val="19"/>
                <w:szCs w:val="19"/>
                <w:color w:val="auto"/>
              </w:rPr>
            </w:pPr>
          </w:p>
        </w:tc>
        <w:tc>
          <w:tcPr>
            <w:tcW w:w="1080" w:type="dxa"/>
            <w:vAlign w:val="bottom"/>
            <w:tcBorders>
              <w:bottom w:val="single" w:sz="8" w:color="0956FF"/>
            </w:tcBorders>
          </w:tcPr>
          <w:p>
            <w:pPr>
              <w:spacing w:after="0"/>
              <w:rPr>
                <w:sz w:val="19"/>
                <w:szCs w:val="19"/>
                <w:color w:val="auto"/>
              </w:rPr>
            </w:pPr>
          </w:p>
        </w:tc>
        <w:tc>
          <w:tcPr>
            <w:tcW w:w="1180" w:type="dxa"/>
            <w:vAlign w:val="bottom"/>
            <w:tcBorders>
              <w:bottom w:val="single" w:sz="8" w:color="0956FF"/>
            </w:tcBorders>
          </w:tcPr>
          <w:p>
            <w:pPr>
              <w:spacing w:after="0"/>
              <w:rPr>
                <w:sz w:val="19"/>
                <w:szCs w:val="19"/>
                <w:color w:val="auto"/>
              </w:rPr>
            </w:pPr>
          </w:p>
        </w:tc>
        <w:tc>
          <w:tcPr>
            <w:tcW w:w="1140" w:type="dxa"/>
            <w:vAlign w:val="bottom"/>
            <w:tcBorders>
              <w:bottom w:val="single" w:sz="8" w:color="0956FF"/>
            </w:tcBorders>
          </w:tcPr>
          <w:p>
            <w:pPr>
              <w:spacing w:after="0"/>
              <w:rPr>
                <w:sz w:val="19"/>
                <w:szCs w:val="19"/>
                <w:color w:val="auto"/>
              </w:rPr>
            </w:pPr>
          </w:p>
        </w:tc>
        <w:tc>
          <w:tcPr>
            <w:tcW w:w="2620" w:type="dxa"/>
            <w:vAlign w:val="bottom"/>
            <w:tcBorders>
              <w:bottom w:val="single" w:sz="8" w:color="0956FF"/>
            </w:tcBorders>
          </w:tcPr>
          <w:p>
            <w:pPr>
              <w:ind w:left="80"/>
              <w:spacing w:after="0"/>
              <w:rPr>
                <w:sz w:val="20"/>
                <w:szCs w:val="20"/>
                <w:color w:val="auto"/>
              </w:rPr>
            </w:pPr>
            <w:r>
              <w:rPr>
                <w:rFonts w:ascii="Arial" w:cs="Arial" w:eastAsia="Arial" w:hAnsi="Arial"/>
                <w:sz w:val="16"/>
                <w:szCs w:val="16"/>
                <w:color w:val="auto"/>
              </w:rPr>
              <w:t>revenue bases</w:t>
            </w:r>
          </w:p>
        </w:tc>
      </w:tr>
    </w:tbl>
    <w:p>
      <w:pPr>
        <w:spacing w:after="0" w:line="71" w:lineRule="exact"/>
        <w:rPr>
          <w:sz w:val="20"/>
          <w:szCs w:val="20"/>
          <w:color w:val="auto"/>
        </w:rPr>
      </w:pPr>
    </w:p>
    <w:p>
      <w:pPr>
        <w:ind w:left="200" w:hanging="192"/>
        <w:spacing w:after="0"/>
        <w:tabs>
          <w:tab w:leader="none" w:pos="200"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Relative TSR component is capped at target if GM’s absolute TSR is negative over the performance period.</w:t>
      </w:r>
    </w:p>
    <w:p>
      <w:pPr>
        <w:spacing w:after="0" w:line="43"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These measures have been refined for the 2025-2027 PSUs to be entirely relative.</w:t>
      </w:r>
    </w:p>
    <w:p>
      <w:pPr>
        <w:spacing w:after="0" w:line="143" w:lineRule="exact"/>
        <w:rPr>
          <w:sz w:val="20"/>
          <w:szCs w:val="20"/>
          <w:color w:val="auto"/>
        </w:rPr>
      </w:pPr>
    </w:p>
    <w:p>
      <w:pPr>
        <w:ind w:right="1320"/>
        <w:spacing w:after="0" w:line="321" w:lineRule="auto"/>
        <w:rPr>
          <w:sz w:val="20"/>
          <w:szCs w:val="20"/>
          <w:color w:val="auto"/>
        </w:rPr>
      </w:pPr>
      <w:r>
        <w:rPr>
          <w:rFonts w:ascii="Arial" w:cs="Arial" w:eastAsia="Arial" w:hAnsi="Arial"/>
          <w:sz w:val="16"/>
          <w:szCs w:val="16"/>
          <w:color w:val="auto"/>
        </w:rPr>
        <w:t>The 2025–2027 PSUs vest and settle following the completion of the three-year performance period beginning January 1, 2025, and can be earned at a level between 0 and 200 percent of target.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Set LTIP Performance Targets</w:t>
      </w:r>
    </w:p>
    <w:p>
      <w:pPr>
        <w:spacing w:after="0" w:line="99"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In prior years, our Compensation Committee set target levels for performance measures with absolute targets based on an evaluation of the Company’s annual budget and long-term business plan and a review of the prior year performance, as well as internal and external information on macroeconomic, regulatory and market conditions, demand expectations, the competitive landscape, supply chain dynamics, and other factors that may influence execution on our strategic priorities and overall performance. For the 2025-2027 PSUs, all three PSU performance measures will be entirely assessed based on performance relative to our OEM peers, with payouts earned as shown above.</w:t>
      </w:r>
    </w:p>
    <w:p>
      <w:pPr>
        <w:spacing w:after="0" w:line="115"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To strengthen the link between financial performance and pay outcomes, the payout on the Relative TSR component of our PSUs is capped at target if GM’s absolute TSR is negative over the performance period. Additionally, for 2025, the Committee increased the relative TSR percentile required for target payout to the 55th percentile of OEM peers (from the 50th percentile), based on feedback received from shareholders.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2023-2025 LTIP Results</w:t>
      </w:r>
    </w:p>
    <w:p>
      <w:pPr>
        <w:spacing w:after="0" w:line="99"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The 2023-2025 PSUs vested on February 7, 2026, at 162% of target, based on Company performance for the three-year performance period beginning January 1, 2023, and ending December 31, 2025, against pre-established performance targets for EBIT-adjusted Margin, Relative TSR, and EV measures. Final LTIP performance approved by the Compensation Committee is shown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20" w:type="dxa"/>
            <w:vAlign w:val="bottom"/>
            <w:shd w:val="clear" w:color="auto" w:fill="ECEBEB"/>
          </w:tcPr>
          <w:p>
            <w:pPr>
              <w:spacing w:after="0"/>
              <w:rPr>
                <w:sz w:val="21"/>
                <w:szCs w:val="21"/>
                <w:color w:val="auto"/>
              </w:rPr>
            </w:pPr>
          </w:p>
        </w:tc>
        <w:tc>
          <w:tcPr>
            <w:tcW w:w="1160" w:type="dxa"/>
            <w:vAlign w:val="bottom"/>
            <w:shd w:val="clear" w:color="auto" w:fill="ECEBEB"/>
          </w:tcPr>
          <w:p>
            <w:pPr>
              <w:spacing w:after="0"/>
              <w:rPr>
                <w:sz w:val="21"/>
                <w:szCs w:val="21"/>
                <w:color w:val="auto"/>
              </w:rPr>
            </w:pPr>
          </w:p>
        </w:tc>
        <w:tc>
          <w:tcPr>
            <w:tcW w:w="900" w:type="dxa"/>
            <w:vAlign w:val="bottom"/>
            <w:shd w:val="clear" w:color="auto" w:fill="ECEBEB"/>
          </w:tcPr>
          <w:p>
            <w:pPr>
              <w:spacing w:after="0"/>
              <w:rPr>
                <w:sz w:val="21"/>
                <w:szCs w:val="21"/>
                <w:color w:val="auto"/>
              </w:rPr>
            </w:pPr>
          </w:p>
        </w:tc>
        <w:tc>
          <w:tcPr>
            <w:tcW w:w="840" w:type="dxa"/>
            <w:vAlign w:val="bottom"/>
            <w:shd w:val="clear" w:color="auto" w:fill="ECEBEB"/>
          </w:tcPr>
          <w:p>
            <w:pPr>
              <w:spacing w:after="0"/>
              <w:rPr>
                <w:sz w:val="21"/>
                <w:szCs w:val="21"/>
                <w:color w:val="auto"/>
              </w:rPr>
            </w:pPr>
          </w:p>
        </w:tc>
        <w:tc>
          <w:tcPr>
            <w:tcW w:w="820" w:type="dxa"/>
            <w:vAlign w:val="bottom"/>
            <w:shd w:val="clear" w:color="auto" w:fill="ECEBEB"/>
          </w:tcPr>
          <w:p>
            <w:pPr>
              <w:spacing w:after="0"/>
              <w:rPr>
                <w:sz w:val="21"/>
                <w:szCs w:val="21"/>
                <w:color w:val="auto"/>
              </w:rPr>
            </w:pPr>
          </w:p>
        </w:tc>
        <w:tc>
          <w:tcPr>
            <w:tcW w:w="1580" w:type="dxa"/>
            <w:vAlign w:val="bottom"/>
            <w:shd w:val="clear" w:color="auto" w:fill="ECEBEB"/>
          </w:tcPr>
          <w:p>
            <w:pPr>
              <w:ind w:left="540"/>
              <w:spacing w:after="0"/>
              <w:rPr>
                <w:sz w:val="20"/>
                <w:szCs w:val="20"/>
                <w:color w:val="auto"/>
              </w:rPr>
            </w:pPr>
            <w:r>
              <w:rPr>
                <w:rFonts w:ascii="Arial" w:cs="Arial" w:eastAsia="Arial" w:hAnsi="Arial"/>
                <w:sz w:val="14"/>
                <w:szCs w:val="14"/>
                <w:b w:val="1"/>
                <w:bCs w:val="1"/>
                <w:color w:val="auto"/>
              </w:rPr>
              <w:t>Performance</w:t>
            </w:r>
          </w:p>
        </w:tc>
        <w:tc>
          <w:tcPr>
            <w:tcW w:w="1360" w:type="dxa"/>
            <w:vAlign w:val="bottom"/>
            <w:shd w:val="clear" w:color="auto" w:fill="ECEBEB"/>
          </w:tcPr>
          <w:p>
            <w:pPr>
              <w:spacing w:after="0"/>
              <w:rPr>
                <w:sz w:val="21"/>
                <w:szCs w:val="21"/>
                <w:color w:val="auto"/>
              </w:rPr>
            </w:pPr>
          </w:p>
        </w:tc>
      </w:tr>
      <w:tr>
        <w:trPr>
          <w:trHeight w:val="171"/>
        </w:trPr>
        <w:tc>
          <w:tcPr>
            <w:tcW w:w="242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PSU Measure</w:t>
            </w:r>
          </w:p>
        </w:tc>
        <w:tc>
          <w:tcPr>
            <w:tcW w:w="116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Weight</w:t>
            </w:r>
          </w:p>
        </w:tc>
        <w:tc>
          <w:tcPr>
            <w:tcW w:w="90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Threshold</w:t>
            </w:r>
          </w:p>
        </w:tc>
        <w:tc>
          <w:tcPr>
            <w:tcW w:w="840" w:type="dxa"/>
            <w:vAlign w:val="bottom"/>
            <w:tcBorders>
              <w:bottom w:val="single" w:sz="8" w:color="0956FF"/>
            </w:tcBorders>
            <w:shd w:val="clear" w:color="auto" w:fill="ECEBEB"/>
          </w:tcPr>
          <w:p>
            <w:pPr>
              <w:jc w:val="right"/>
              <w:ind w:right="106"/>
              <w:spacing w:after="0"/>
              <w:rPr>
                <w:sz w:val="20"/>
                <w:szCs w:val="20"/>
                <w:color w:val="auto"/>
              </w:rPr>
            </w:pPr>
            <w:r>
              <w:rPr>
                <w:rFonts w:ascii="Arial" w:cs="Arial" w:eastAsia="Arial" w:hAnsi="Arial"/>
                <w:sz w:val="14"/>
                <w:szCs w:val="14"/>
                <w:b w:val="1"/>
                <w:bCs w:val="1"/>
                <w:color w:val="auto"/>
              </w:rPr>
              <w:t>Target</w:t>
            </w:r>
          </w:p>
        </w:tc>
        <w:tc>
          <w:tcPr>
            <w:tcW w:w="82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Maximum</w:t>
            </w:r>
          </w:p>
        </w:tc>
        <w:tc>
          <w:tcPr>
            <w:tcW w:w="1580" w:type="dxa"/>
            <w:vAlign w:val="bottom"/>
            <w:tcBorders>
              <w:bottom w:val="single" w:sz="8" w:color="0956FF"/>
            </w:tcBorders>
            <w:shd w:val="clear" w:color="auto" w:fill="ECEBEB"/>
          </w:tcPr>
          <w:p>
            <w:pPr>
              <w:jc w:val="center"/>
              <w:ind w:left="743"/>
              <w:spacing w:after="0"/>
              <w:rPr>
                <w:sz w:val="20"/>
                <w:szCs w:val="20"/>
                <w:color w:val="auto"/>
              </w:rPr>
            </w:pPr>
            <w:r>
              <w:rPr>
                <w:rFonts w:ascii="Arial" w:cs="Arial" w:eastAsia="Arial" w:hAnsi="Arial"/>
                <w:sz w:val="14"/>
                <w:szCs w:val="14"/>
                <w:b w:val="1"/>
                <w:bCs w:val="1"/>
                <w:color w:val="auto"/>
              </w:rPr>
              <w:t>Result</w:t>
            </w:r>
          </w:p>
        </w:tc>
        <w:tc>
          <w:tcPr>
            <w:tcW w:w="136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Payout</w:t>
            </w:r>
          </w:p>
        </w:tc>
      </w:tr>
      <w:tr>
        <w:trPr>
          <w:trHeight w:val="250"/>
        </w:trPr>
        <w:tc>
          <w:tcPr>
            <w:tcW w:w="24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EBIT-adjusted Margin </w:t>
            </w:r>
            <w:r>
              <w:rPr>
                <w:rFonts w:ascii="Arial" w:cs="Arial" w:eastAsia="Arial" w:hAnsi="Arial"/>
                <w:sz w:val="21"/>
                <w:szCs w:val="21"/>
                <w:color w:val="auto"/>
                <w:vertAlign w:val="superscript"/>
              </w:rPr>
              <w:t>(1)</w:t>
            </w:r>
          </w:p>
        </w:tc>
        <w:tc>
          <w:tcPr>
            <w:tcW w:w="116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40%</w:t>
            </w:r>
          </w:p>
        </w:tc>
        <w:tc>
          <w:tcPr>
            <w:tcW w:w="9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3.8%</w:t>
            </w:r>
          </w:p>
        </w:tc>
        <w:tc>
          <w:tcPr>
            <w:tcW w:w="840" w:type="dxa"/>
            <w:vAlign w:val="bottom"/>
            <w:tcBorders>
              <w:bottom w:val="single" w:sz="8" w:color="D8D7D7"/>
            </w:tcBorders>
          </w:tcPr>
          <w:p>
            <w:pPr>
              <w:jc w:val="right"/>
              <w:ind w:right="106"/>
              <w:spacing w:after="0"/>
              <w:rPr>
                <w:sz w:val="20"/>
                <w:szCs w:val="20"/>
                <w:color w:val="auto"/>
              </w:rPr>
            </w:pPr>
            <w:r>
              <w:rPr>
                <w:rFonts w:ascii="Arial" w:cs="Arial" w:eastAsia="Arial" w:hAnsi="Arial"/>
                <w:sz w:val="16"/>
                <w:szCs w:val="16"/>
                <w:color w:val="auto"/>
              </w:rPr>
              <w:t>6.0%</w:t>
            </w:r>
          </w:p>
        </w:tc>
        <w:tc>
          <w:tcPr>
            <w:tcW w:w="8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7.0%</w:t>
            </w:r>
          </w:p>
        </w:tc>
        <w:tc>
          <w:tcPr>
            <w:tcW w:w="1580" w:type="dxa"/>
            <w:vAlign w:val="bottom"/>
            <w:tcBorders>
              <w:bottom w:val="single" w:sz="8" w:color="D8D7D7"/>
            </w:tcBorders>
          </w:tcPr>
          <w:p>
            <w:pPr>
              <w:jc w:val="right"/>
              <w:ind w:right="103"/>
              <w:spacing w:after="0"/>
              <w:rPr>
                <w:sz w:val="20"/>
                <w:szCs w:val="20"/>
                <w:color w:val="auto"/>
              </w:rPr>
            </w:pPr>
            <w:r>
              <w:rPr>
                <w:rFonts w:ascii="Arial" w:cs="Arial" w:eastAsia="Arial" w:hAnsi="Arial"/>
                <w:sz w:val="16"/>
                <w:szCs w:val="16"/>
                <w:color w:val="auto"/>
              </w:rPr>
              <w:t>7.4%</w:t>
            </w:r>
          </w:p>
        </w:tc>
        <w:tc>
          <w:tcPr>
            <w:tcW w:w="136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80%</w:t>
            </w:r>
          </w:p>
        </w:tc>
      </w:tr>
      <w:tr>
        <w:trPr>
          <w:trHeight w:val="250"/>
        </w:trPr>
        <w:tc>
          <w:tcPr>
            <w:tcW w:w="2420" w:type="dxa"/>
            <w:vAlign w:val="bottom"/>
          </w:tcPr>
          <w:p>
            <w:pPr>
              <w:ind w:left="60"/>
              <w:spacing w:after="0"/>
              <w:rPr>
                <w:sz w:val="20"/>
                <w:szCs w:val="20"/>
                <w:color w:val="auto"/>
              </w:rPr>
            </w:pPr>
            <w:r>
              <w:rPr>
                <w:rFonts w:ascii="Arial" w:cs="Arial" w:eastAsia="Arial" w:hAnsi="Arial"/>
                <w:sz w:val="16"/>
                <w:szCs w:val="16"/>
                <w:color w:val="auto"/>
              </w:rPr>
              <w:t>Relative TSR</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9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21"/>
                <w:szCs w:val="21"/>
                <w:color w:val="auto"/>
                <w:vertAlign w:val="superscript"/>
              </w:rPr>
              <w:t>th</w:t>
            </w:r>
          </w:p>
        </w:tc>
        <w:tc>
          <w:tcPr>
            <w:tcW w:w="840" w:type="dxa"/>
            <w:vAlign w:val="bottom"/>
            <w:tcBorders>
              <w:bottom w:val="single" w:sz="8" w:color="D8D7D7"/>
            </w:tcBorders>
          </w:tcPr>
          <w:p>
            <w:pPr>
              <w:jc w:val="right"/>
              <w:ind w:right="86"/>
              <w:spacing w:after="0"/>
              <w:rPr>
                <w:sz w:val="20"/>
                <w:szCs w:val="20"/>
                <w:color w:val="auto"/>
              </w:rPr>
            </w:pPr>
            <w:r>
              <w:rPr>
                <w:rFonts w:ascii="Arial" w:cs="Arial" w:eastAsia="Arial" w:hAnsi="Arial"/>
                <w:sz w:val="16"/>
                <w:szCs w:val="16"/>
                <w:color w:val="auto"/>
              </w:rPr>
              <w:t xml:space="preserve">50 </w:t>
            </w:r>
            <w:r>
              <w:rPr>
                <w:rFonts w:ascii="Arial" w:cs="Arial" w:eastAsia="Arial" w:hAnsi="Arial"/>
                <w:sz w:val="21"/>
                <w:szCs w:val="21"/>
                <w:color w:val="auto"/>
                <w:vertAlign w:val="superscript"/>
              </w:rPr>
              <w:t>th</w:t>
            </w:r>
          </w:p>
        </w:tc>
        <w:tc>
          <w:tcPr>
            <w:tcW w:w="8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75</w:t>
            </w:r>
            <w:r>
              <w:rPr>
                <w:rFonts w:ascii="Arial" w:cs="Arial" w:eastAsia="Arial" w:hAnsi="Arial"/>
                <w:sz w:val="21"/>
                <w:szCs w:val="21"/>
                <w:color w:val="auto"/>
                <w:vertAlign w:val="superscript"/>
              </w:rPr>
              <w:t>th</w:t>
            </w:r>
          </w:p>
        </w:tc>
        <w:tc>
          <w:tcPr>
            <w:tcW w:w="1580" w:type="dxa"/>
            <w:vAlign w:val="bottom"/>
          </w:tcPr>
          <w:p>
            <w:pPr>
              <w:ind w:left="320"/>
              <w:spacing w:after="0"/>
              <w:rPr>
                <w:sz w:val="20"/>
                <w:szCs w:val="20"/>
                <w:color w:val="auto"/>
              </w:rPr>
            </w:pPr>
            <w:r>
              <w:rPr>
                <w:rFonts w:ascii="Arial" w:cs="Arial" w:eastAsia="Arial" w:hAnsi="Arial"/>
                <w:sz w:val="16"/>
                <w:szCs w:val="16"/>
                <w:color w:val="auto"/>
              </w:rPr>
              <w:t xml:space="preserve">94 </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80%</w:t>
            </w:r>
          </w:p>
        </w:tc>
      </w:tr>
      <w:tr>
        <w:trPr>
          <w:trHeight w:val="243"/>
        </w:trPr>
        <w:tc>
          <w:tcPr>
            <w:tcW w:w="2420" w:type="dxa"/>
            <w:vAlign w:val="bottom"/>
            <w:tcBorders>
              <w:bottom w:val="single" w:sz="8" w:color="D8D7D7"/>
            </w:tcBorders>
          </w:tcPr>
          <w:p>
            <w:pPr>
              <w:spacing w:after="0"/>
              <w:rPr>
                <w:sz w:val="21"/>
                <w:szCs w:val="21"/>
                <w:color w:val="auto"/>
              </w:rPr>
            </w:pPr>
          </w:p>
        </w:tc>
        <w:tc>
          <w:tcPr>
            <w:tcW w:w="1160" w:type="dxa"/>
            <w:vAlign w:val="bottom"/>
            <w:tcBorders>
              <w:bottom w:val="single" w:sz="8" w:color="D8D7D7"/>
            </w:tcBorders>
          </w:tcPr>
          <w:p>
            <w:pPr>
              <w:spacing w:after="0"/>
              <w:rPr>
                <w:sz w:val="21"/>
                <w:szCs w:val="21"/>
                <w:color w:val="auto"/>
              </w:rPr>
            </w:pPr>
          </w:p>
        </w:tc>
        <w:tc>
          <w:tcPr>
            <w:tcW w:w="900" w:type="dxa"/>
            <w:vAlign w:val="bottom"/>
            <w:tcBorders>
              <w:bottom w:val="single" w:sz="8" w:color="D8D7D7"/>
            </w:tcBorders>
          </w:tcPr>
          <w:p>
            <w:pPr>
              <w:spacing w:after="0"/>
              <w:rPr>
                <w:sz w:val="21"/>
                <w:szCs w:val="21"/>
                <w:color w:val="auto"/>
              </w:rPr>
            </w:pPr>
          </w:p>
        </w:tc>
        <w:tc>
          <w:tcPr>
            <w:tcW w:w="840" w:type="dxa"/>
            <w:vAlign w:val="bottom"/>
            <w:tcBorders>
              <w:bottom w:val="single" w:sz="8" w:color="D8D7D7"/>
            </w:tcBorders>
          </w:tcPr>
          <w:p>
            <w:pPr>
              <w:jc w:val="right"/>
              <w:ind w:right="46"/>
              <w:spacing w:after="0"/>
              <w:rPr>
                <w:sz w:val="20"/>
                <w:szCs w:val="20"/>
                <w:color w:val="auto"/>
              </w:rPr>
            </w:pPr>
            <w:r>
              <w:rPr>
                <w:rFonts w:ascii="Arial" w:cs="Arial" w:eastAsia="Arial" w:hAnsi="Arial"/>
                <w:sz w:val="16"/>
                <w:szCs w:val="16"/>
                <w:color w:val="auto"/>
                <w:w w:val="98"/>
              </w:rPr>
              <w:t>Percentile</w:t>
            </w:r>
          </w:p>
        </w:tc>
        <w:tc>
          <w:tcPr>
            <w:tcW w:w="820" w:type="dxa"/>
            <w:vAlign w:val="bottom"/>
            <w:tcBorders>
              <w:bottom w:val="single" w:sz="8" w:color="D8D7D7"/>
            </w:tcBorders>
          </w:tcPr>
          <w:p>
            <w:pPr>
              <w:spacing w:after="0"/>
              <w:rPr>
                <w:sz w:val="21"/>
                <w:szCs w:val="21"/>
                <w:color w:val="auto"/>
              </w:rPr>
            </w:pPr>
          </w:p>
        </w:tc>
        <w:tc>
          <w:tcPr>
            <w:tcW w:w="1580" w:type="dxa"/>
            <w:vAlign w:val="bottom"/>
            <w:tcBorders>
              <w:bottom w:val="single" w:sz="8" w:color="D8D7D7"/>
            </w:tcBorders>
          </w:tcPr>
          <w:p>
            <w:pPr>
              <w:spacing w:after="0"/>
              <w:rPr>
                <w:sz w:val="21"/>
                <w:szCs w:val="21"/>
                <w:color w:val="auto"/>
              </w:rPr>
            </w:pPr>
          </w:p>
        </w:tc>
        <w:tc>
          <w:tcPr>
            <w:tcW w:w="1360" w:type="dxa"/>
            <w:vAlign w:val="bottom"/>
            <w:tcBorders>
              <w:bottom w:val="single" w:sz="8" w:color="D8D7D7"/>
            </w:tcBorders>
          </w:tcPr>
          <w:p>
            <w:pPr>
              <w:spacing w:after="0"/>
              <w:rPr>
                <w:sz w:val="21"/>
                <w:szCs w:val="21"/>
                <w:color w:val="auto"/>
              </w:rPr>
            </w:pPr>
          </w:p>
        </w:tc>
      </w:tr>
      <w:tr>
        <w:trPr>
          <w:trHeight w:val="257"/>
        </w:trPr>
        <w:tc>
          <w:tcPr>
            <w:tcW w:w="24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EV Measures</w:t>
            </w:r>
            <w:r>
              <w:rPr>
                <w:rFonts w:ascii="Arial" w:cs="Arial" w:eastAsia="Arial" w:hAnsi="Arial"/>
                <w:sz w:val="21"/>
                <w:szCs w:val="21"/>
                <w:color w:val="auto"/>
                <w:vertAlign w:val="superscript"/>
              </w:rPr>
              <w:t>(2)</w:t>
            </w:r>
          </w:p>
        </w:tc>
        <w:tc>
          <w:tcPr>
            <w:tcW w:w="116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20%</w:t>
            </w:r>
          </w:p>
        </w:tc>
        <w:tc>
          <w:tcPr>
            <w:tcW w:w="900" w:type="dxa"/>
            <w:vAlign w:val="bottom"/>
            <w:tcBorders>
              <w:bottom w:val="single" w:sz="8" w:color="D8D7D7"/>
            </w:tcBorders>
          </w:tcPr>
          <w:p>
            <w:pPr>
              <w:spacing w:after="0"/>
              <w:rPr>
                <w:sz w:val="22"/>
                <w:szCs w:val="22"/>
                <w:color w:val="auto"/>
              </w:rPr>
            </w:pPr>
          </w:p>
        </w:tc>
        <w:tc>
          <w:tcPr>
            <w:tcW w:w="840" w:type="dxa"/>
            <w:vAlign w:val="bottom"/>
            <w:tcBorders>
              <w:bottom w:val="single" w:sz="8" w:color="D8D7D7"/>
            </w:tcBorders>
          </w:tcPr>
          <w:p>
            <w:pPr>
              <w:jc w:val="right"/>
              <w:ind w:right="326"/>
              <w:spacing w:after="0"/>
              <w:rPr>
                <w:sz w:val="20"/>
                <w:szCs w:val="20"/>
                <w:color w:val="auto"/>
              </w:rPr>
            </w:pPr>
            <w:r>
              <w:rPr>
                <w:rFonts w:ascii="Arial" w:cs="Arial" w:eastAsia="Arial" w:hAnsi="Arial"/>
                <w:sz w:val="11"/>
                <w:szCs w:val="11"/>
                <w:color w:val="auto"/>
              </w:rPr>
              <w:t>(2)</w:t>
            </w:r>
          </w:p>
        </w:tc>
        <w:tc>
          <w:tcPr>
            <w:tcW w:w="820" w:type="dxa"/>
            <w:vAlign w:val="bottom"/>
            <w:tcBorders>
              <w:bottom w:val="single" w:sz="8" w:color="D8D7D7"/>
            </w:tcBorders>
          </w:tcPr>
          <w:p>
            <w:pPr>
              <w:spacing w:after="0"/>
              <w:rPr>
                <w:sz w:val="22"/>
                <w:szCs w:val="22"/>
                <w:color w:val="auto"/>
              </w:rPr>
            </w:pPr>
          </w:p>
        </w:tc>
        <w:tc>
          <w:tcPr>
            <w:tcW w:w="1580" w:type="dxa"/>
            <w:vAlign w:val="bottom"/>
            <w:tcBorders>
              <w:bottom w:val="single" w:sz="8" w:color="D8D7D7"/>
            </w:tcBorders>
          </w:tcPr>
          <w:p>
            <w:pPr>
              <w:ind w:left="480"/>
              <w:spacing w:after="0"/>
              <w:rPr>
                <w:sz w:val="20"/>
                <w:szCs w:val="20"/>
                <w:color w:val="auto"/>
              </w:rPr>
            </w:pPr>
            <w:r>
              <w:rPr>
                <w:rFonts w:ascii="Arial" w:cs="Arial" w:eastAsia="Arial" w:hAnsi="Arial"/>
                <w:sz w:val="16"/>
                <w:szCs w:val="16"/>
                <w:color w:val="auto"/>
              </w:rPr>
              <w:t>Below target</w:t>
            </w:r>
          </w:p>
        </w:tc>
        <w:tc>
          <w:tcPr>
            <w:tcW w:w="136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2%</w:t>
            </w:r>
          </w:p>
        </w:tc>
      </w:tr>
      <w:tr>
        <w:trPr>
          <w:trHeight w:val="246"/>
        </w:trPr>
        <w:tc>
          <w:tcPr>
            <w:tcW w:w="242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0956FF"/>
              </w:rPr>
              <w:t>Performance Payout</w:t>
            </w:r>
          </w:p>
        </w:tc>
        <w:tc>
          <w:tcPr>
            <w:tcW w:w="1160" w:type="dxa"/>
            <w:vAlign w:val="bottom"/>
            <w:tcBorders>
              <w:bottom w:val="single" w:sz="8" w:color="0956FF"/>
            </w:tcBorders>
          </w:tcPr>
          <w:p>
            <w:pPr>
              <w:spacing w:after="0"/>
              <w:rPr>
                <w:sz w:val="21"/>
                <w:szCs w:val="21"/>
                <w:color w:val="auto"/>
              </w:rPr>
            </w:pPr>
          </w:p>
        </w:tc>
        <w:tc>
          <w:tcPr>
            <w:tcW w:w="900" w:type="dxa"/>
            <w:vAlign w:val="bottom"/>
            <w:tcBorders>
              <w:bottom w:val="single" w:sz="8" w:color="0956FF"/>
            </w:tcBorders>
          </w:tcPr>
          <w:p>
            <w:pPr>
              <w:spacing w:after="0"/>
              <w:rPr>
                <w:sz w:val="21"/>
                <w:szCs w:val="21"/>
                <w:color w:val="auto"/>
              </w:rPr>
            </w:pPr>
          </w:p>
        </w:tc>
        <w:tc>
          <w:tcPr>
            <w:tcW w:w="840" w:type="dxa"/>
            <w:vAlign w:val="bottom"/>
            <w:tcBorders>
              <w:bottom w:val="single" w:sz="8" w:color="0956FF"/>
            </w:tcBorders>
          </w:tcPr>
          <w:p>
            <w:pPr>
              <w:spacing w:after="0"/>
              <w:rPr>
                <w:sz w:val="21"/>
                <w:szCs w:val="21"/>
                <w:color w:val="auto"/>
              </w:rPr>
            </w:pPr>
          </w:p>
        </w:tc>
        <w:tc>
          <w:tcPr>
            <w:tcW w:w="820" w:type="dxa"/>
            <w:vAlign w:val="bottom"/>
            <w:tcBorders>
              <w:bottom w:val="single" w:sz="8" w:color="0956FF"/>
            </w:tcBorders>
          </w:tcPr>
          <w:p>
            <w:pPr>
              <w:spacing w:after="0"/>
              <w:rPr>
                <w:sz w:val="21"/>
                <w:szCs w:val="21"/>
                <w:color w:val="auto"/>
              </w:rPr>
            </w:pPr>
          </w:p>
        </w:tc>
        <w:tc>
          <w:tcPr>
            <w:tcW w:w="1580" w:type="dxa"/>
            <w:vAlign w:val="bottom"/>
            <w:tcBorders>
              <w:bottom w:val="single" w:sz="8" w:color="0956FF"/>
            </w:tcBorders>
          </w:tcPr>
          <w:p>
            <w:pPr>
              <w:spacing w:after="0"/>
              <w:rPr>
                <w:sz w:val="21"/>
                <w:szCs w:val="21"/>
                <w:color w:val="auto"/>
              </w:rPr>
            </w:pPr>
          </w:p>
        </w:tc>
        <w:tc>
          <w:tcPr>
            <w:tcW w:w="1360" w:type="dxa"/>
            <w:vAlign w:val="bottom"/>
            <w:tcBorders>
              <w:bottom w:val="single" w:sz="8" w:color="0956FF"/>
            </w:tcBorders>
          </w:tcPr>
          <w:p>
            <w:pPr>
              <w:jc w:val="right"/>
              <w:spacing w:after="0"/>
              <w:rPr>
                <w:sz w:val="20"/>
                <w:szCs w:val="20"/>
                <w:color w:val="auto"/>
              </w:rPr>
            </w:pPr>
            <w:r>
              <w:rPr>
                <w:rFonts w:ascii="Arial" w:cs="Arial" w:eastAsia="Arial" w:hAnsi="Arial"/>
                <w:sz w:val="16"/>
                <w:szCs w:val="16"/>
                <w:b w:val="1"/>
                <w:bCs w:val="1"/>
                <w:color w:val="0956FF"/>
              </w:rPr>
              <w:t>162% of Target</w:t>
            </w:r>
          </w:p>
        </w:tc>
      </w:tr>
    </w:tbl>
    <w:p>
      <w:pPr>
        <w:spacing w:after="0" w:line="71" w:lineRule="exact"/>
        <w:rPr>
          <w:sz w:val="20"/>
          <w:szCs w:val="20"/>
          <w:color w:val="auto"/>
        </w:rPr>
      </w:pPr>
    </w:p>
    <w:p>
      <w:pPr>
        <w:ind w:left="200" w:hanging="192"/>
        <w:spacing w:after="0"/>
        <w:tabs>
          <w:tab w:leader="none" w:pos="20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Measure adjusted for incentive purposes. For a description of how EBIT-adjusted Margin is calculated, see Appendix A.</w:t>
      </w:r>
    </w:p>
    <w:p>
      <w:pPr>
        <w:spacing w:after="0" w:line="52" w:lineRule="exact"/>
        <w:rPr>
          <w:rFonts w:ascii="Arial" w:cs="Arial" w:eastAsia="Arial" w:hAnsi="Arial"/>
          <w:sz w:val="19"/>
          <w:szCs w:val="19"/>
          <w:color w:val="auto"/>
          <w:vertAlign w:val="superscript"/>
        </w:rPr>
      </w:pPr>
    </w:p>
    <w:p>
      <w:pPr>
        <w:ind w:left="200" w:right="240" w:hanging="192"/>
        <w:spacing w:after="0" w:line="258" w:lineRule="auto"/>
        <w:tabs>
          <w:tab w:leader="none" w:pos="20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EV Measures are comprised of quantitative GMNA EV Volume, GMNA EV Launch Timing, and GMNA EV Launch Quality. The Committee has determined not to publicly disclose specific performance targets and payout results for these measures, as information regarding our EV strategy is commercially sensitive and disclosure could be competitively harmful. Performance against these measures was evaluated based on quantitative criteria established at the beginning of the performance period.</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53</w:t>
      </w:r>
    </w:p>
    <w:p>
      <w:pPr>
        <w:sectPr>
          <w:pgSz w:w="11900" w:h="16838" w:orient="portrait"/>
          <w:cols w:equalWidth="0" w:num="1">
            <w:col w:w="9220"/>
          </w:cols>
          <w:pgMar w:left="1400" w:top="657" w:right="127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Equity Performance Awards</w:t>
      </w:r>
    </w:p>
    <w:p>
      <w:pPr>
        <w:spacing w:after="0" w:line="99"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Each PSU award features a three-year performance period, resulting in overlapping awards that, in aggregate, cover a five-year period. The potential payout for each PSU award ranges from 0 to 200 percent. The table below illustrates the performance period for the three outstanding PSU awards as of 2025 fiscal year end, and the corresponding performance measures and weights.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60" w:type="dxa"/>
            <w:vAlign w:val="bottom"/>
            <w:shd w:val="clear" w:color="auto" w:fill="ECEBEB"/>
          </w:tcPr>
          <w:p>
            <w:pPr>
              <w:spacing w:after="0"/>
              <w:rPr>
                <w:sz w:val="18"/>
                <w:szCs w:val="18"/>
                <w:color w:val="auto"/>
              </w:rPr>
            </w:pPr>
          </w:p>
        </w:tc>
        <w:tc>
          <w:tcPr>
            <w:tcW w:w="520" w:type="dxa"/>
            <w:vAlign w:val="bottom"/>
            <w:shd w:val="clear" w:color="auto" w:fill="ECEBEB"/>
          </w:tcPr>
          <w:p>
            <w:pPr>
              <w:spacing w:after="0"/>
              <w:rPr>
                <w:sz w:val="18"/>
                <w:szCs w:val="18"/>
                <w:color w:val="auto"/>
              </w:rPr>
            </w:pPr>
          </w:p>
        </w:tc>
        <w:tc>
          <w:tcPr>
            <w:tcW w:w="1520" w:type="dxa"/>
            <w:vAlign w:val="bottom"/>
            <w:shd w:val="clear" w:color="auto" w:fill="ECEBEB"/>
          </w:tcPr>
          <w:p>
            <w:pPr>
              <w:spacing w:after="0"/>
              <w:rPr>
                <w:sz w:val="18"/>
                <w:szCs w:val="18"/>
                <w:color w:val="auto"/>
              </w:rPr>
            </w:pPr>
          </w:p>
        </w:tc>
        <w:tc>
          <w:tcPr>
            <w:tcW w:w="1860" w:type="dxa"/>
            <w:vAlign w:val="bottom"/>
            <w:gridSpan w:val="2"/>
            <w:shd w:val="clear" w:color="auto" w:fill="ECEBEB"/>
          </w:tcPr>
          <w:p>
            <w:pPr>
              <w:ind w:left="180"/>
              <w:spacing w:after="0"/>
              <w:rPr>
                <w:sz w:val="20"/>
                <w:szCs w:val="20"/>
                <w:color w:val="auto"/>
              </w:rPr>
            </w:pPr>
            <w:r>
              <w:rPr>
                <w:rFonts w:ascii="Arial" w:cs="Arial" w:eastAsia="Arial" w:hAnsi="Arial"/>
                <w:sz w:val="14"/>
                <w:szCs w:val="14"/>
                <w:b w:val="1"/>
                <w:bCs w:val="1"/>
                <w:color w:val="auto"/>
              </w:rPr>
              <w:t>Performance Measures</w:t>
            </w:r>
          </w:p>
        </w:tc>
        <w:tc>
          <w:tcPr>
            <w:tcW w:w="1120" w:type="dxa"/>
            <w:vAlign w:val="bottom"/>
            <w:shd w:val="clear" w:color="auto" w:fill="ECEBEB"/>
          </w:tcPr>
          <w:p>
            <w:pPr>
              <w:ind w:left="100"/>
              <w:spacing w:after="0"/>
              <w:rPr>
                <w:sz w:val="20"/>
                <w:szCs w:val="20"/>
                <w:color w:val="auto"/>
              </w:rPr>
            </w:pPr>
            <w:r>
              <w:rPr>
                <w:rFonts w:ascii="Arial" w:cs="Arial" w:eastAsia="Arial" w:hAnsi="Arial"/>
                <w:sz w:val="14"/>
                <w:szCs w:val="14"/>
                <w:b w:val="1"/>
                <w:bCs w:val="1"/>
                <w:color w:val="auto"/>
              </w:rPr>
              <w:t>Potential</w:t>
            </w:r>
          </w:p>
        </w:tc>
        <w:tc>
          <w:tcPr>
            <w:tcW w:w="600" w:type="dxa"/>
            <w:vAlign w:val="bottom"/>
            <w:tcBorders>
              <w:right w:val="single" w:sz="8" w:color="ECEBEB"/>
            </w:tcBorders>
            <w:shd w:val="clear" w:color="auto" w:fill="ECEBEB"/>
          </w:tcPr>
          <w:p>
            <w:pPr>
              <w:spacing w:after="0"/>
              <w:rPr>
                <w:sz w:val="18"/>
                <w:szCs w:val="18"/>
                <w:color w:val="auto"/>
              </w:rPr>
            </w:pPr>
          </w:p>
        </w:tc>
        <w:tc>
          <w:tcPr>
            <w:tcW w:w="400" w:type="dxa"/>
            <w:vAlign w:val="bottom"/>
            <w:shd w:val="clear" w:color="auto" w:fill="ECEBEB"/>
          </w:tcPr>
          <w:p>
            <w:pPr>
              <w:spacing w:after="0"/>
              <w:rPr>
                <w:sz w:val="18"/>
                <w:szCs w:val="18"/>
                <w:color w:val="auto"/>
              </w:rPr>
            </w:pPr>
          </w:p>
        </w:tc>
        <w:tc>
          <w:tcPr>
            <w:tcW w:w="200" w:type="dxa"/>
            <w:vAlign w:val="bottom"/>
            <w:shd w:val="clear" w:color="auto" w:fill="ECEBEB"/>
          </w:tcPr>
          <w:p>
            <w:pPr>
              <w:spacing w:after="0"/>
              <w:rPr>
                <w:sz w:val="18"/>
                <w:szCs w:val="18"/>
                <w:color w:val="auto"/>
              </w:rPr>
            </w:pPr>
          </w:p>
        </w:tc>
        <w:tc>
          <w:tcPr>
            <w:tcW w:w="380" w:type="dxa"/>
            <w:vAlign w:val="bottom"/>
            <w:tcBorders>
              <w:right w:val="single" w:sz="8" w:color="ECEBEB"/>
            </w:tcBorders>
            <w:shd w:val="clear" w:color="auto" w:fill="ECEBEB"/>
          </w:tcPr>
          <w:p>
            <w:pPr>
              <w:spacing w:after="0"/>
              <w:rPr>
                <w:sz w:val="18"/>
                <w:szCs w:val="18"/>
                <w:color w:val="auto"/>
              </w:rPr>
            </w:pPr>
          </w:p>
        </w:tc>
        <w:tc>
          <w:tcPr>
            <w:tcW w:w="180" w:type="dxa"/>
            <w:vAlign w:val="bottom"/>
            <w:shd w:val="clear" w:color="auto" w:fill="ECEBEB"/>
          </w:tcPr>
          <w:p>
            <w:pPr>
              <w:spacing w:after="0"/>
              <w:rPr>
                <w:sz w:val="18"/>
                <w:szCs w:val="18"/>
                <w:color w:val="auto"/>
              </w:rPr>
            </w:pPr>
          </w:p>
        </w:tc>
        <w:tc>
          <w:tcPr>
            <w:tcW w:w="160" w:type="dxa"/>
            <w:vAlign w:val="bottom"/>
            <w:shd w:val="clear" w:color="auto" w:fill="ECEBEB"/>
          </w:tcPr>
          <w:p>
            <w:pPr>
              <w:spacing w:after="0"/>
              <w:rPr>
                <w:sz w:val="18"/>
                <w:szCs w:val="18"/>
                <w:color w:val="auto"/>
              </w:rPr>
            </w:pPr>
          </w:p>
        </w:tc>
        <w:tc>
          <w:tcPr>
            <w:tcW w:w="340" w:type="dxa"/>
            <w:vAlign w:val="bottom"/>
            <w:tcBorders>
              <w:right w:val="single" w:sz="8" w:color="ECEBEB"/>
            </w:tcBorders>
            <w:shd w:val="clear" w:color="auto" w:fill="ECEBEB"/>
          </w:tcPr>
          <w:p>
            <w:pPr>
              <w:spacing w:after="0"/>
              <w:rPr>
                <w:sz w:val="18"/>
                <w:szCs w:val="18"/>
                <w:color w:val="auto"/>
              </w:rPr>
            </w:pPr>
          </w:p>
        </w:tc>
        <w:tc>
          <w:tcPr>
            <w:tcW w:w="340" w:type="dxa"/>
            <w:vAlign w:val="bottom"/>
            <w:shd w:val="clear" w:color="auto" w:fill="ECEBEB"/>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460" w:type="dxa"/>
            <w:vAlign w:val="bottom"/>
            <w:tcBorders>
              <w:bottom w:val="single" w:sz="8" w:color="0956FF"/>
            </w:tcBorders>
            <w:shd w:val="clear" w:color="auto" w:fill="ECEBEB"/>
          </w:tcPr>
          <w:p>
            <w:pPr>
              <w:jc w:val="center"/>
              <w:spacing w:after="0"/>
              <w:rPr>
                <w:sz w:val="20"/>
                <w:szCs w:val="20"/>
                <w:color w:val="auto"/>
              </w:rPr>
            </w:pPr>
            <w:r>
              <w:rPr>
                <w:rFonts w:ascii="Arial" w:cs="Arial" w:eastAsia="Arial" w:hAnsi="Arial"/>
                <w:sz w:val="14"/>
                <w:szCs w:val="14"/>
                <w:b w:val="1"/>
                <w:bCs w:val="1"/>
                <w:color w:val="auto"/>
              </w:rPr>
              <w:t>Award</w:t>
            </w:r>
          </w:p>
        </w:tc>
        <w:tc>
          <w:tcPr>
            <w:tcW w:w="2040" w:type="dxa"/>
            <w:vAlign w:val="bottom"/>
            <w:tcBorders>
              <w:bottom w:val="single" w:sz="8" w:color="0956FF"/>
            </w:tcBorders>
            <w:gridSpan w:val="2"/>
            <w:shd w:val="clear" w:color="auto" w:fill="ECEBEB"/>
          </w:tcPr>
          <w:p>
            <w:pPr>
              <w:ind w:left="40"/>
              <w:spacing w:after="0"/>
              <w:rPr>
                <w:sz w:val="20"/>
                <w:szCs w:val="20"/>
                <w:color w:val="auto"/>
              </w:rPr>
            </w:pPr>
            <w:r>
              <w:rPr>
                <w:rFonts w:ascii="Arial" w:cs="Arial" w:eastAsia="Arial" w:hAnsi="Arial"/>
                <w:sz w:val="14"/>
                <w:szCs w:val="14"/>
                <w:b w:val="1"/>
                <w:bCs w:val="1"/>
                <w:color w:val="auto"/>
              </w:rPr>
              <w:t>Performance Period</w:t>
            </w:r>
          </w:p>
        </w:tc>
        <w:tc>
          <w:tcPr>
            <w:tcW w:w="1860" w:type="dxa"/>
            <w:vAlign w:val="bottom"/>
            <w:tcBorders>
              <w:bottom w:val="single" w:sz="8" w:color="0956FF"/>
            </w:tcBorders>
            <w:gridSpan w:val="2"/>
            <w:shd w:val="clear" w:color="auto" w:fill="ECEBEB"/>
          </w:tcPr>
          <w:p>
            <w:pPr>
              <w:ind w:left="180"/>
              <w:spacing w:after="0"/>
              <w:rPr>
                <w:sz w:val="20"/>
                <w:szCs w:val="20"/>
                <w:color w:val="auto"/>
              </w:rPr>
            </w:pPr>
            <w:r>
              <w:rPr>
                <w:rFonts w:ascii="Arial" w:cs="Arial" w:eastAsia="Arial" w:hAnsi="Arial"/>
                <w:sz w:val="14"/>
                <w:szCs w:val="14"/>
                <w:b w:val="1"/>
                <w:bCs w:val="1"/>
                <w:color w:val="auto"/>
              </w:rPr>
              <w:t>and Weights</w:t>
            </w:r>
          </w:p>
        </w:tc>
        <w:tc>
          <w:tcPr>
            <w:tcW w:w="1120" w:type="dxa"/>
            <w:vAlign w:val="bottom"/>
            <w:tcBorders>
              <w:bottom w:val="single" w:sz="8" w:color="0956FF"/>
            </w:tcBorders>
            <w:shd w:val="clear" w:color="auto" w:fill="ECEBEB"/>
          </w:tcPr>
          <w:p>
            <w:pPr>
              <w:ind w:left="100"/>
              <w:spacing w:after="0" w:line="201" w:lineRule="exact"/>
              <w:rPr>
                <w:sz w:val="20"/>
                <w:szCs w:val="20"/>
                <w:color w:val="auto"/>
              </w:rPr>
            </w:pPr>
            <w:r>
              <w:rPr>
                <w:rFonts w:ascii="Arial" w:cs="Arial" w:eastAsia="Arial" w:hAnsi="Arial"/>
                <w:sz w:val="14"/>
                <w:szCs w:val="14"/>
                <w:b w:val="1"/>
                <w:bCs w:val="1"/>
                <w:color w:val="auto"/>
              </w:rPr>
              <w:t>Payouts</w:t>
            </w:r>
            <w:r>
              <w:rPr>
                <w:rFonts w:ascii="Arial" w:cs="Arial" w:eastAsia="Arial" w:hAnsi="Arial"/>
                <w:sz w:val="18"/>
                <w:szCs w:val="18"/>
                <w:b w:val="1"/>
                <w:bCs w:val="1"/>
                <w:color w:val="auto"/>
                <w:vertAlign w:val="superscript"/>
              </w:rPr>
              <w:t>(1)</w:t>
            </w:r>
          </w:p>
        </w:tc>
        <w:tc>
          <w:tcPr>
            <w:tcW w:w="600" w:type="dxa"/>
            <w:vAlign w:val="bottom"/>
            <w:tcBorders>
              <w:bottom w:val="single" w:sz="8" w:color="0956FF"/>
              <w:right w:val="single" w:sz="8" w:color="ECEBEB"/>
            </w:tcBorders>
            <w:shd w:val="clear" w:color="auto" w:fill="ECEBEB"/>
          </w:tcPr>
          <w:p>
            <w:pPr>
              <w:spacing w:after="0"/>
              <w:rPr>
                <w:sz w:val="17"/>
                <w:szCs w:val="17"/>
                <w:color w:val="auto"/>
              </w:rPr>
            </w:pPr>
          </w:p>
        </w:tc>
        <w:tc>
          <w:tcPr>
            <w:tcW w:w="400" w:type="dxa"/>
            <w:vAlign w:val="bottom"/>
            <w:tcBorders>
              <w:bottom w:val="single" w:sz="8" w:color="0956FF"/>
            </w:tcBorders>
            <w:shd w:val="clear" w:color="auto" w:fill="ECEBEB"/>
          </w:tcPr>
          <w:p>
            <w:pPr>
              <w:spacing w:after="0"/>
              <w:rPr>
                <w:sz w:val="17"/>
                <w:szCs w:val="17"/>
                <w:color w:val="auto"/>
              </w:rPr>
            </w:pPr>
          </w:p>
        </w:tc>
        <w:tc>
          <w:tcPr>
            <w:tcW w:w="760" w:type="dxa"/>
            <w:vAlign w:val="bottom"/>
            <w:tcBorders>
              <w:bottom w:val="single" w:sz="8" w:color="0956FF"/>
            </w:tcBorders>
            <w:gridSpan w:val="3"/>
            <w:shd w:val="clear" w:color="auto" w:fill="ECEBEB"/>
          </w:tcPr>
          <w:p>
            <w:pPr>
              <w:jc w:val="right"/>
              <w:ind w:right="100"/>
              <w:spacing w:after="0"/>
              <w:rPr>
                <w:sz w:val="20"/>
                <w:szCs w:val="20"/>
                <w:color w:val="auto"/>
              </w:rPr>
            </w:pPr>
            <w:r>
              <w:rPr>
                <w:rFonts w:ascii="Arial" w:cs="Arial" w:eastAsia="Arial" w:hAnsi="Arial"/>
                <w:sz w:val="14"/>
                <w:szCs w:val="14"/>
                <w:b w:val="1"/>
                <w:bCs w:val="1"/>
                <w:color w:val="auto"/>
              </w:rPr>
              <w:t>Vest Date</w:t>
            </w:r>
          </w:p>
        </w:tc>
        <w:tc>
          <w:tcPr>
            <w:tcW w:w="160" w:type="dxa"/>
            <w:vAlign w:val="bottom"/>
            <w:tcBorders>
              <w:bottom w:val="single" w:sz="8" w:color="0956FF"/>
            </w:tcBorders>
            <w:shd w:val="clear" w:color="auto" w:fill="ECEBEB"/>
          </w:tcPr>
          <w:p>
            <w:pPr>
              <w:spacing w:after="0"/>
              <w:rPr>
                <w:sz w:val="17"/>
                <w:szCs w:val="17"/>
                <w:color w:val="auto"/>
              </w:rPr>
            </w:pPr>
          </w:p>
        </w:tc>
        <w:tc>
          <w:tcPr>
            <w:tcW w:w="340" w:type="dxa"/>
            <w:vAlign w:val="bottom"/>
            <w:tcBorders>
              <w:bottom w:val="single" w:sz="8" w:color="0956FF"/>
              <w:right w:val="single" w:sz="8" w:color="ECEBEB"/>
            </w:tcBorders>
            <w:shd w:val="clear" w:color="auto" w:fill="ECEBEB"/>
          </w:tcPr>
          <w:p>
            <w:pPr>
              <w:spacing w:after="0"/>
              <w:rPr>
                <w:sz w:val="17"/>
                <w:szCs w:val="17"/>
                <w:color w:val="auto"/>
              </w:rPr>
            </w:pPr>
          </w:p>
        </w:tc>
        <w:tc>
          <w:tcPr>
            <w:tcW w:w="340" w:type="dxa"/>
            <w:vAlign w:val="bottom"/>
            <w:tcBorders>
              <w:bottom w:val="single" w:sz="8" w:color="0956FF"/>
            </w:tcBorders>
            <w:shd w:val="clear" w:color="auto" w:fill="ECEBE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2026</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2027</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460" w:type="dxa"/>
            <w:vAlign w:val="bottom"/>
            <w:vMerge w:val="restart"/>
          </w:tcPr>
          <w:p>
            <w:pPr>
              <w:jc w:val="right"/>
              <w:ind w:right="348"/>
              <w:spacing w:after="0"/>
              <w:rPr>
                <w:sz w:val="20"/>
                <w:szCs w:val="20"/>
                <w:color w:val="auto"/>
              </w:rPr>
            </w:pPr>
            <w:r>
              <w:rPr>
                <w:rFonts w:ascii="Arial" w:cs="Arial" w:eastAsia="Arial" w:hAnsi="Arial"/>
                <w:sz w:val="14"/>
                <w:szCs w:val="14"/>
                <w:color w:val="auto"/>
              </w:rPr>
              <w:t>2023-2025</w:t>
            </w:r>
          </w:p>
        </w:tc>
        <w:tc>
          <w:tcPr>
            <w:tcW w:w="2040" w:type="dxa"/>
            <w:vAlign w:val="bottom"/>
            <w:gridSpan w:val="2"/>
            <w:shd w:val="clear" w:color="auto" w:fill="88B9FF"/>
          </w:tcPr>
          <w:p>
            <w:pPr>
              <w:ind w:left="100"/>
              <w:spacing w:after="0"/>
              <w:rPr>
                <w:sz w:val="20"/>
                <w:szCs w:val="20"/>
                <w:color w:val="auto"/>
              </w:rPr>
            </w:pPr>
            <w:r>
              <w:rPr>
                <w:rFonts w:ascii="Arial" w:cs="Arial" w:eastAsia="Arial" w:hAnsi="Arial"/>
                <w:sz w:val="14"/>
                <w:szCs w:val="14"/>
                <w:color w:val="auto"/>
              </w:rPr>
              <w:t>3 Years</w:t>
            </w:r>
          </w:p>
        </w:tc>
        <w:tc>
          <w:tcPr>
            <w:tcW w:w="480" w:type="dxa"/>
            <w:vAlign w:val="bottom"/>
            <w:shd w:val="clear" w:color="auto" w:fill="88B9FF"/>
          </w:tcPr>
          <w:p>
            <w:pPr>
              <w:ind w:left="180"/>
              <w:spacing w:after="0"/>
              <w:rPr>
                <w:sz w:val="20"/>
                <w:szCs w:val="20"/>
                <w:color w:val="auto"/>
              </w:rPr>
            </w:pPr>
            <w:r>
              <w:rPr>
                <w:rFonts w:ascii="Arial" w:cs="Arial" w:eastAsia="Arial" w:hAnsi="Arial"/>
                <w:sz w:val="14"/>
                <w:szCs w:val="14"/>
                <w:color w:val="auto"/>
                <w:w w:val="99"/>
              </w:rPr>
              <w:t>40%</w:t>
            </w:r>
          </w:p>
        </w:tc>
        <w:tc>
          <w:tcPr>
            <w:tcW w:w="1380" w:type="dxa"/>
            <w:vAlign w:val="bottom"/>
            <w:shd w:val="clear" w:color="auto" w:fill="88B9FF"/>
          </w:tcPr>
          <w:p>
            <w:pPr>
              <w:ind w:left="20"/>
              <w:spacing w:after="0"/>
              <w:rPr>
                <w:sz w:val="20"/>
                <w:szCs w:val="20"/>
                <w:color w:val="auto"/>
              </w:rPr>
            </w:pPr>
            <w:r>
              <w:rPr>
                <w:rFonts w:ascii="Arial" w:cs="Arial" w:eastAsia="Arial" w:hAnsi="Arial"/>
                <w:sz w:val="14"/>
                <w:szCs w:val="14"/>
                <w:color w:val="auto"/>
              </w:rPr>
              <w:t>EBIT-adj Margin</w:t>
            </w:r>
          </w:p>
        </w:tc>
        <w:tc>
          <w:tcPr>
            <w:tcW w:w="1120" w:type="dxa"/>
            <w:vAlign w:val="bottom"/>
            <w:vMerge w:val="restart"/>
            <w:shd w:val="clear" w:color="auto" w:fill="88B9FF"/>
          </w:tcPr>
          <w:p>
            <w:pPr>
              <w:ind w:left="100"/>
              <w:spacing w:after="0"/>
              <w:rPr>
                <w:sz w:val="20"/>
                <w:szCs w:val="20"/>
                <w:color w:val="auto"/>
              </w:rPr>
            </w:pPr>
            <w:r>
              <w:rPr>
                <w:rFonts w:ascii="Arial" w:cs="Arial" w:eastAsia="Arial" w:hAnsi="Arial"/>
                <w:sz w:val="14"/>
                <w:szCs w:val="14"/>
                <w:color w:val="auto"/>
              </w:rPr>
              <w:t>0-200% with</w:t>
            </w:r>
          </w:p>
        </w:tc>
        <w:tc>
          <w:tcPr>
            <w:tcW w:w="1000" w:type="dxa"/>
            <w:vAlign w:val="bottom"/>
            <w:gridSpan w:val="2"/>
            <w:vMerge w:val="restart"/>
            <w:shd w:val="clear" w:color="auto" w:fill="88B9FF"/>
          </w:tcPr>
          <w:p>
            <w:pPr>
              <w:jc w:val="right"/>
              <w:ind w:right="20"/>
              <w:spacing w:after="0"/>
              <w:rPr>
                <w:sz w:val="20"/>
                <w:szCs w:val="20"/>
                <w:color w:val="auto"/>
              </w:rPr>
            </w:pPr>
            <w:r>
              <w:rPr>
                <w:rFonts w:ascii="Arial" w:cs="Arial" w:eastAsia="Arial" w:hAnsi="Arial"/>
                <w:sz w:val="14"/>
                <w:szCs w:val="14"/>
                <w:color w:val="auto"/>
              </w:rPr>
              <w:t>2/7/2026</w:t>
            </w:r>
          </w:p>
        </w:tc>
        <w:tc>
          <w:tcPr>
            <w:tcW w:w="200" w:type="dxa"/>
            <w:vAlign w:val="bottom"/>
            <w:shd w:val="clear" w:color="auto" w:fill="88B9FF"/>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1460" w:type="dxa"/>
            <w:vAlign w:val="bottom"/>
            <w:vMerge w:val="continue"/>
          </w:tcPr>
          <w:p>
            <w:pPr>
              <w:spacing w:after="0"/>
              <w:rPr>
                <w:sz w:val="8"/>
                <w:szCs w:val="8"/>
                <w:color w:val="auto"/>
              </w:rPr>
            </w:pPr>
          </w:p>
        </w:tc>
        <w:tc>
          <w:tcPr>
            <w:tcW w:w="2040" w:type="dxa"/>
            <w:vAlign w:val="bottom"/>
            <w:gridSpan w:val="2"/>
            <w:vMerge w:val="restart"/>
            <w:shd w:val="clear" w:color="auto" w:fill="88B9FF"/>
          </w:tcPr>
          <w:p>
            <w:pPr>
              <w:ind w:left="100"/>
              <w:spacing w:after="0"/>
              <w:rPr>
                <w:sz w:val="20"/>
                <w:szCs w:val="20"/>
                <w:color w:val="auto"/>
              </w:rPr>
            </w:pPr>
            <w:r>
              <w:rPr>
                <w:rFonts w:ascii="Arial" w:cs="Arial" w:eastAsia="Arial" w:hAnsi="Arial"/>
                <w:sz w:val="14"/>
                <w:szCs w:val="14"/>
                <w:color w:val="auto"/>
              </w:rPr>
              <w:t>1/1/2023 to</w:t>
            </w:r>
          </w:p>
        </w:tc>
        <w:tc>
          <w:tcPr>
            <w:tcW w:w="480" w:type="dxa"/>
            <w:vAlign w:val="bottom"/>
            <w:vMerge w:val="restart"/>
            <w:shd w:val="clear" w:color="auto" w:fill="88B9FF"/>
          </w:tcPr>
          <w:p>
            <w:pPr>
              <w:ind w:left="180"/>
              <w:spacing w:after="0"/>
              <w:rPr>
                <w:sz w:val="20"/>
                <w:szCs w:val="20"/>
                <w:color w:val="auto"/>
              </w:rPr>
            </w:pPr>
            <w:r>
              <w:rPr>
                <w:rFonts w:ascii="Arial" w:cs="Arial" w:eastAsia="Arial" w:hAnsi="Arial"/>
                <w:sz w:val="14"/>
                <w:szCs w:val="14"/>
                <w:color w:val="auto"/>
                <w:w w:val="99"/>
              </w:rPr>
              <w:t>40%</w:t>
            </w:r>
          </w:p>
        </w:tc>
        <w:tc>
          <w:tcPr>
            <w:tcW w:w="1380" w:type="dxa"/>
            <w:vAlign w:val="bottom"/>
            <w:vMerge w:val="restart"/>
            <w:shd w:val="clear" w:color="auto" w:fill="88B9FF"/>
          </w:tcPr>
          <w:p>
            <w:pPr>
              <w:ind w:left="20"/>
              <w:spacing w:after="0"/>
              <w:rPr>
                <w:sz w:val="20"/>
                <w:szCs w:val="20"/>
                <w:color w:val="auto"/>
              </w:rPr>
            </w:pPr>
            <w:r>
              <w:rPr>
                <w:rFonts w:ascii="Arial" w:cs="Arial" w:eastAsia="Arial" w:hAnsi="Arial"/>
                <w:sz w:val="14"/>
                <w:szCs w:val="14"/>
                <w:color w:val="auto"/>
              </w:rPr>
              <w:t>Relative TSR</w:t>
            </w:r>
          </w:p>
        </w:tc>
        <w:tc>
          <w:tcPr>
            <w:tcW w:w="1120" w:type="dxa"/>
            <w:vAlign w:val="bottom"/>
            <w:vMerge w:val="continue"/>
            <w:shd w:val="clear" w:color="auto" w:fill="88B9FF"/>
          </w:tcPr>
          <w:p>
            <w:pPr>
              <w:spacing w:after="0"/>
              <w:rPr>
                <w:sz w:val="8"/>
                <w:szCs w:val="8"/>
                <w:color w:val="auto"/>
              </w:rPr>
            </w:pPr>
          </w:p>
        </w:tc>
        <w:tc>
          <w:tcPr>
            <w:tcW w:w="1000" w:type="dxa"/>
            <w:vAlign w:val="bottom"/>
            <w:gridSpan w:val="2"/>
            <w:vMerge w:val="continue"/>
            <w:shd w:val="clear" w:color="auto" w:fill="88B9FF"/>
          </w:tcPr>
          <w:p>
            <w:pPr>
              <w:spacing w:after="0"/>
              <w:rPr>
                <w:sz w:val="8"/>
                <w:szCs w:val="8"/>
                <w:color w:val="auto"/>
              </w:rPr>
            </w:pPr>
          </w:p>
        </w:tc>
        <w:tc>
          <w:tcPr>
            <w:tcW w:w="200" w:type="dxa"/>
            <w:vAlign w:val="bottom"/>
            <w:shd w:val="clear" w:color="auto" w:fill="88B9FF"/>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PSUs</w:t>
            </w:r>
          </w:p>
        </w:tc>
        <w:tc>
          <w:tcPr>
            <w:tcW w:w="2040" w:type="dxa"/>
            <w:vAlign w:val="bottom"/>
            <w:gridSpan w:val="2"/>
            <w:vMerge w:val="continue"/>
            <w:shd w:val="clear" w:color="auto" w:fill="88B9FF"/>
          </w:tcPr>
          <w:p>
            <w:pPr>
              <w:spacing w:after="0"/>
              <w:rPr>
                <w:sz w:val="8"/>
                <w:szCs w:val="8"/>
                <w:color w:val="auto"/>
              </w:rPr>
            </w:pPr>
          </w:p>
        </w:tc>
        <w:tc>
          <w:tcPr>
            <w:tcW w:w="480" w:type="dxa"/>
            <w:vAlign w:val="bottom"/>
            <w:vMerge w:val="continue"/>
            <w:shd w:val="clear" w:color="auto" w:fill="88B9FF"/>
          </w:tcPr>
          <w:p>
            <w:pPr>
              <w:spacing w:after="0"/>
              <w:rPr>
                <w:sz w:val="8"/>
                <w:szCs w:val="8"/>
                <w:color w:val="auto"/>
              </w:rPr>
            </w:pPr>
          </w:p>
        </w:tc>
        <w:tc>
          <w:tcPr>
            <w:tcW w:w="1380" w:type="dxa"/>
            <w:vAlign w:val="bottom"/>
            <w:vMerge w:val="continue"/>
            <w:shd w:val="clear" w:color="auto" w:fill="88B9FF"/>
          </w:tcPr>
          <w:p>
            <w:pPr>
              <w:spacing w:after="0"/>
              <w:rPr>
                <w:sz w:val="8"/>
                <w:szCs w:val="8"/>
                <w:color w:val="auto"/>
              </w:rPr>
            </w:pPr>
          </w:p>
        </w:tc>
        <w:tc>
          <w:tcPr>
            <w:tcW w:w="1120" w:type="dxa"/>
            <w:vAlign w:val="bottom"/>
            <w:vMerge w:val="restart"/>
            <w:shd w:val="clear" w:color="auto" w:fill="88B9FF"/>
          </w:tcPr>
          <w:p>
            <w:pPr>
              <w:ind w:left="100"/>
              <w:spacing w:after="0"/>
              <w:rPr>
                <w:sz w:val="20"/>
                <w:szCs w:val="20"/>
                <w:color w:val="auto"/>
              </w:rPr>
            </w:pPr>
            <w:r>
              <w:rPr>
                <w:rFonts w:ascii="Arial" w:cs="Arial" w:eastAsia="Arial" w:hAnsi="Arial"/>
                <w:sz w:val="14"/>
                <w:szCs w:val="14"/>
                <w:color w:val="auto"/>
              </w:rPr>
              <w:t>Payout Cap</w:t>
            </w:r>
            <w:r>
              <w:rPr>
                <w:rFonts w:ascii="Arial" w:cs="Arial" w:eastAsia="Arial" w:hAnsi="Arial"/>
                <w:sz w:val="18"/>
                <w:szCs w:val="18"/>
                <w:color w:val="auto"/>
                <w:vertAlign w:val="superscript"/>
              </w:rPr>
              <w:t>(3)</w:t>
            </w:r>
          </w:p>
        </w:tc>
        <w:tc>
          <w:tcPr>
            <w:tcW w:w="1200" w:type="dxa"/>
            <w:vAlign w:val="bottom"/>
            <w:gridSpan w:val="3"/>
            <w:vMerge w:val="restart"/>
            <w:shd w:val="clear" w:color="auto" w:fill="88B9FF"/>
          </w:tcPr>
          <w:p>
            <w:pPr>
              <w:jc w:val="center"/>
              <w:spacing w:after="0"/>
              <w:rPr>
                <w:sz w:val="20"/>
                <w:szCs w:val="20"/>
                <w:color w:val="auto"/>
              </w:rPr>
            </w:pPr>
            <w:r>
              <w:rPr>
                <w:rFonts w:ascii="Arial" w:cs="Arial" w:eastAsia="Arial" w:hAnsi="Arial"/>
                <w:sz w:val="14"/>
                <w:szCs w:val="14"/>
                <w:color w:val="auto"/>
              </w:rPr>
              <w:t>(162% payout)</w:t>
            </w:r>
          </w:p>
        </w:tc>
        <w:tc>
          <w:tcPr>
            <w:tcW w:w="38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460" w:type="dxa"/>
            <w:vAlign w:val="bottom"/>
            <w:vMerge w:val="continue"/>
          </w:tcPr>
          <w:p>
            <w:pPr>
              <w:spacing w:after="0"/>
              <w:rPr>
                <w:sz w:val="16"/>
                <w:szCs w:val="16"/>
                <w:color w:val="auto"/>
              </w:rPr>
            </w:pPr>
          </w:p>
        </w:tc>
        <w:tc>
          <w:tcPr>
            <w:tcW w:w="2040" w:type="dxa"/>
            <w:vAlign w:val="bottom"/>
            <w:tcBorders>
              <w:bottom w:val="single" w:sz="8" w:color="88B9FF"/>
            </w:tcBorders>
            <w:gridSpan w:val="2"/>
            <w:shd w:val="clear" w:color="auto" w:fill="88B9FF"/>
          </w:tcPr>
          <w:p>
            <w:pPr>
              <w:ind w:left="100"/>
              <w:spacing w:after="0"/>
              <w:rPr>
                <w:sz w:val="20"/>
                <w:szCs w:val="20"/>
                <w:color w:val="auto"/>
              </w:rPr>
            </w:pPr>
            <w:r>
              <w:rPr>
                <w:rFonts w:ascii="Arial" w:cs="Arial" w:eastAsia="Arial" w:hAnsi="Arial"/>
                <w:sz w:val="14"/>
                <w:szCs w:val="14"/>
                <w:color w:val="auto"/>
              </w:rPr>
              <w:t>12/31/2025</w:t>
            </w:r>
          </w:p>
        </w:tc>
        <w:tc>
          <w:tcPr>
            <w:tcW w:w="480" w:type="dxa"/>
            <w:vAlign w:val="bottom"/>
            <w:tcBorders>
              <w:bottom w:val="single" w:sz="8" w:color="88B9FF"/>
            </w:tcBorders>
            <w:shd w:val="clear" w:color="auto" w:fill="88B9FF"/>
          </w:tcPr>
          <w:p>
            <w:pPr>
              <w:ind w:left="180"/>
              <w:spacing w:after="0"/>
              <w:rPr>
                <w:sz w:val="20"/>
                <w:szCs w:val="20"/>
                <w:color w:val="auto"/>
              </w:rPr>
            </w:pPr>
            <w:r>
              <w:rPr>
                <w:rFonts w:ascii="Arial" w:cs="Arial" w:eastAsia="Arial" w:hAnsi="Arial"/>
                <w:sz w:val="14"/>
                <w:szCs w:val="14"/>
                <w:color w:val="auto"/>
                <w:w w:val="99"/>
              </w:rPr>
              <w:t>20%</w:t>
            </w:r>
          </w:p>
        </w:tc>
        <w:tc>
          <w:tcPr>
            <w:tcW w:w="1380" w:type="dxa"/>
            <w:vAlign w:val="bottom"/>
            <w:tcBorders>
              <w:bottom w:val="single" w:sz="8" w:color="88B9FF"/>
            </w:tcBorders>
            <w:shd w:val="clear" w:color="auto" w:fill="88B9FF"/>
          </w:tcPr>
          <w:p>
            <w:pPr>
              <w:ind w:left="20"/>
              <w:spacing w:after="0" w:line="195" w:lineRule="exact"/>
              <w:rPr>
                <w:sz w:val="20"/>
                <w:szCs w:val="20"/>
                <w:color w:val="auto"/>
              </w:rPr>
            </w:pPr>
            <w:r>
              <w:rPr>
                <w:rFonts w:ascii="Arial" w:cs="Arial" w:eastAsia="Arial" w:hAnsi="Arial"/>
                <w:sz w:val="14"/>
                <w:szCs w:val="14"/>
                <w:color w:val="auto"/>
              </w:rPr>
              <w:t>EV Measures</w:t>
            </w:r>
            <w:r>
              <w:rPr>
                <w:rFonts w:ascii="Arial" w:cs="Arial" w:eastAsia="Arial" w:hAnsi="Arial"/>
                <w:sz w:val="18"/>
                <w:szCs w:val="18"/>
                <w:color w:val="auto"/>
                <w:vertAlign w:val="superscript"/>
              </w:rPr>
              <w:t>(2)</w:t>
            </w:r>
          </w:p>
        </w:tc>
        <w:tc>
          <w:tcPr>
            <w:tcW w:w="1120" w:type="dxa"/>
            <w:vAlign w:val="bottom"/>
            <w:tcBorders>
              <w:bottom w:val="single" w:sz="8" w:color="88B9FF"/>
            </w:tcBorders>
            <w:vMerge w:val="continue"/>
            <w:shd w:val="clear" w:color="auto" w:fill="88B9FF"/>
          </w:tcPr>
          <w:p>
            <w:pPr>
              <w:spacing w:after="0"/>
              <w:rPr>
                <w:sz w:val="16"/>
                <w:szCs w:val="16"/>
                <w:color w:val="auto"/>
              </w:rPr>
            </w:pPr>
          </w:p>
        </w:tc>
        <w:tc>
          <w:tcPr>
            <w:tcW w:w="1200" w:type="dxa"/>
            <w:vAlign w:val="bottom"/>
            <w:tcBorders>
              <w:bottom w:val="single" w:sz="8" w:color="88B9FF"/>
            </w:tcBorders>
            <w:gridSpan w:val="3"/>
            <w:vMerge w:val="continue"/>
            <w:shd w:val="clear" w:color="auto" w:fill="88B9FF"/>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60" w:type="dxa"/>
            <w:vAlign w:val="bottom"/>
            <w:gridSpan w:val="2"/>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460" w:type="dxa"/>
            <w:vAlign w:val="bottom"/>
            <w:vMerge w:val="restart"/>
          </w:tcPr>
          <w:p>
            <w:pPr>
              <w:jc w:val="right"/>
              <w:ind w:right="348"/>
              <w:spacing w:after="0"/>
              <w:rPr>
                <w:sz w:val="20"/>
                <w:szCs w:val="20"/>
                <w:color w:val="auto"/>
              </w:rPr>
            </w:pPr>
            <w:r>
              <w:rPr>
                <w:rFonts w:ascii="Arial" w:cs="Arial" w:eastAsia="Arial" w:hAnsi="Arial"/>
                <w:sz w:val="14"/>
                <w:szCs w:val="14"/>
                <w:color w:val="auto"/>
              </w:rPr>
              <w:t>2024-2026</w:t>
            </w:r>
          </w:p>
        </w:tc>
        <w:tc>
          <w:tcPr>
            <w:tcW w:w="520" w:type="dxa"/>
            <w:vAlign w:val="bottom"/>
          </w:tcPr>
          <w:p>
            <w:pPr>
              <w:spacing w:after="0"/>
              <w:rPr>
                <w:sz w:val="20"/>
                <w:szCs w:val="20"/>
                <w:color w:val="auto"/>
              </w:rPr>
            </w:pPr>
          </w:p>
        </w:tc>
        <w:tc>
          <w:tcPr>
            <w:tcW w:w="1520" w:type="dxa"/>
            <w:vAlign w:val="bottom"/>
            <w:shd w:val="clear" w:color="auto" w:fill="388BFF"/>
          </w:tcPr>
          <w:p>
            <w:pPr>
              <w:ind w:left="120"/>
              <w:spacing w:after="0"/>
              <w:rPr>
                <w:sz w:val="20"/>
                <w:szCs w:val="20"/>
                <w:color w:val="auto"/>
              </w:rPr>
            </w:pPr>
            <w:r>
              <w:rPr>
                <w:rFonts w:ascii="Arial" w:cs="Arial" w:eastAsia="Arial" w:hAnsi="Arial"/>
                <w:sz w:val="14"/>
                <w:szCs w:val="14"/>
                <w:color w:val="auto"/>
              </w:rPr>
              <w:t>3 Years</w:t>
            </w:r>
          </w:p>
        </w:tc>
        <w:tc>
          <w:tcPr>
            <w:tcW w:w="1860" w:type="dxa"/>
            <w:vAlign w:val="bottom"/>
            <w:gridSpan w:val="2"/>
            <w:shd w:val="clear" w:color="auto" w:fill="388BFF"/>
          </w:tcPr>
          <w:p>
            <w:pPr>
              <w:ind w:left="180"/>
              <w:spacing w:after="0"/>
              <w:rPr>
                <w:sz w:val="20"/>
                <w:szCs w:val="20"/>
                <w:color w:val="auto"/>
              </w:rPr>
            </w:pPr>
            <w:r>
              <w:rPr>
                <w:rFonts w:ascii="Arial" w:cs="Arial" w:eastAsia="Arial" w:hAnsi="Arial"/>
                <w:sz w:val="14"/>
                <w:szCs w:val="14"/>
                <w:color w:val="auto"/>
              </w:rPr>
              <w:t>40% Cumulative AAOCF</w:t>
            </w:r>
          </w:p>
        </w:tc>
        <w:tc>
          <w:tcPr>
            <w:tcW w:w="1120" w:type="dxa"/>
            <w:vAlign w:val="bottom"/>
            <w:vMerge w:val="restart"/>
            <w:shd w:val="clear" w:color="auto" w:fill="388BFF"/>
          </w:tcPr>
          <w:p>
            <w:pPr>
              <w:ind w:left="100"/>
              <w:spacing w:after="0"/>
              <w:rPr>
                <w:sz w:val="20"/>
                <w:szCs w:val="20"/>
                <w:color w:val="auto"/>
              </w:rPr>
            </w:pPr>
            <w:r>
              <w:rPr>
                <w:rFonts w:ascii="Arial" w:cs="Arial" w:eastAsia="Arial" w:hAnsi="Arial"/>
                <w:sz w:val="14"/>
                <w:szCs w:val="14"/>
                <w:color w:val="auto"/>
              </w:rPr>
              <w:t>0-200% with</w:t>
            </w:r>
          </w:p>
        </w:tc>
        <w:tc>
          <w:tcPr>
            <w:tcW w:w="600" w:type="dxa"/>
            <w:vAlign w:val="bottom"/>
            <w:tcBorders>
              <w:right w:val="single" w:sz="8" w:color="388BFF"/>
            </w:tcBorders>
            <w:shd w:val="clear" w:color="auto" w:fill="388BFF"/>
          </w:tcPr>
          <w:p>
            <w:pPr>
              <w:spacing w:after="0"/>
              <w:rPr>
                <w:sz w:val="20"/>
                <w:szCs w:val="20"/>
                <w:color w:val="auto"/>
              </w:rPr>
            </w:pPr>
          </w:p>
        </w:tc>
        <w:tc>
          <w:tcPr>
            <w:tcW w:w="400" w:type="dxa"/>
            <w:vAlign w:val="bottom"/>
            <w:shd w:val="clear" w:color="auto" w:fill="388BFF"/>
          </w:tcPr>
          <w:p>
            <w:pPr>
              <w:spacing w:after="0"/>
              <w:rPr>
                <w:sz w:val="20"/>
                <w:szCs w:val="20"/>
                <w:color w:val="auto"/>
              </w:rPr>
            </w:pPr>
          </w:p>
        </w:tc>
        <w:tc>
          <w:tcPr>
            <w:tcW w:w="200" w:type="dxa"/>
            <w:vAlign w:val="bottom"/>
            <w:shd w:val="clear" w:color="auto" w:fill="388BFF"/>
          </w:tcPr>
          <w:p>
            <w:pPr>
              <w:spacing w:after="0"/>
              <w:rPr>
                <w:sz w:val="20"/>
                <w:szCs w:val="20"/>
                <w:color w:val="auto"/>
              </w:rPr>
            </w:pPr>
          </w:p>
        </w:tc>
        <w:tc>
          <w:tcPr>
            <w:tcW w:w="380" w:type="dxa"/>
            <w:vAlign w:val="bottom"/>
            <w:tcBorders>
              <w:right w:val="single" w:sz="8" w:color="388BFF"/>
            </w:tcBorders>
            <w:shd w:val="clear" w:color="auto" w:fill="388BFF"/>
          </w:tcPr>
          <w:p>
            <w:pPr>
              <w:spacing w:after="0"/>
              <w:rPr>
                <w:sz w:val="20"/>
                <w:szCs w:val="20"/>
                <w:color w:val="auto"/>
              </w:rPr>
            </w:pPr>
          </w:p>
        </w:tc>
        <w:tc>
          <w:tcPr>
            <w:tcW w:w="180" w:type="dxa"/>
            <w:vAlign w:val="bottom"/>
            <w:shd w:val="clear" w:color="auto" w:fill="388BFF"/>
          </w:tcPr>
          <w:p>
            <w:pPr>
              <w:spacing w:after="0"/>
              <w:rPr>
                <w:sz w:val="20"/>
                <w:szCs w:val="20"/>
                <w:color w:val="auto"/>
              </w:rPr>
            </w:pPr>
          </w:p>
        </w:tc>
        <w:tc>
          <w:tcPr>
            <w:tcW w:w="160" w:type="dxa"/>
            <w:vAlign w:val="bottom"/>
            <w:shd w:val="clear" w:color="auto" w:fill="388BFF"/>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14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520" w:type="dxa"/>
            <w:vAlign w:val="bottom"/>
            <w:vMerge w:val="restart"/>
            <w:shd w:val="clear" w:color="auto" w:fill="388BFF"/>
          </w:tcPr>
          <w:p>
            <w:pPr>
              <w:ind w:left="120"/>
              <w:spacing w:after="0"/>
              <w:rPr>
                <w:sz w:val="20"/>
                <w:szCs w:val="20"/>
                <w:color w:val="auto"/>
              </w:rPr>
            </w:pPr>
            <w:r>
              <w:rPr>
                <w:rFonts w:ascii="Arial" w:cs="Arial" w:eastAsia="Arial" w:hAnsi="Arial"/>
                <w:sz w:val="14"/>
                <w:szCs w:val="14"/>
                <w:color w:val="auto"/>
              </w:rPr>
              <w:t>1/1/2024 to</w:t>
            </w:r>
          </w:p>
        </w:tc>
        <w:tc>
          <w:tcPr>
            <w:tcW w:w="480" w:type="dxa"/>
            <w:vAlign w:val="bottom"/>
            <w:vMerge w:val="restart"/>
            <w:shd w:val="clear" w:color="auto" w:fill="388BFF"/>
          </w:tcPr>
          <w:p>
            <w:pPr>
              <w:ind w:left="180"/>
              <w:spacing w:after="0"/>
              <w:rPr>
                <w:sz w:val="20"/>
                <w:szCs w:val="20"/>
                <w:color w:val="auto"/>
              </w:rPr>
            </w:pPr>
            <w:r>
              <w:rPr>
                <w:rFonts w:ascii="Arial" w:cs="Arial" w:eastAsia="Arial" w:hAnsi="Arial"/>
                <w:sz w:val="14"/>
                <w:szCs w:val="14"/>
                <w:color w:val="auto"/>
                <w:w w:val="99"/>
              </w:rPr>
              <w:t>40%</w:t>
            </w:r>
          </w:p>
        </w:tc>
        <w:tc>
          <w:tcPr>
            <w:tcW w:w="1380" w:type="dxa"/>
            <w:vAlign w:val="bottom"/>
            <w:vMerge w:val="restart"/>
            <w:shd w:val="clear" w:color="auto" w:fill="388BFF"/>
          </w:tcPr>
          <w:p>
            <w:pPr>
              <w:ind w:left="20"/>
              <w:spacing w:after="0"/>
              <w:rPr>
                <w:sz w:val="20"/>
                <w:szCs w:val="20"/>
                <w:color w:val="auto"/>
              </w:rPr>
            </w:pPr>
            <w:r>
              <w:rPr>
                <w:rFonts w:ascii="Arial" w:cs="Arial" w:eastAsia="Arial" w:hAnsi="Arial"/>
                <w:sz w:val="14"/>
                <w:szCs w:val="14"/>
                <w:color w:val="auto"/>
              </w:rPr>
              <w:t>Relative TSR</w:t>
            </w:r>
          </w:p>
        </w:tc>
        <w:tc>
          <w:tcPr>
            <w:tcW w:w="1120" w:type="dxa"/>
            <w:vAlign w:val="bottom"/>
            <w:vMerge w:val="continue"/>
            <w:shd w:val="clear" w:color="auto" w:fill="388BFF"/>
          </w:tcPr>
          <w:p>
            <w:pPr>
              <w:spacing w:after="0"/>
              <w:rPr>
                <w:sz w:val="8"/>
                <w:szCs w:val="8"/>
                <w:color w:val="auto"/>
              </w:rPr>
            </w:pPr>
          </w:p>
        </w:tc>
        <w:tc>
          <w:tcPr>
            <w:tcW w:w="600" w:type="dxa"/>
            <w:vAlign w:val="bottom"/>
            <w:tcBorders>
              <w:right w:val="single" w:sz="8" w:color="388BFF"/>
            </w:tcBorders>
            <w:shd w:val="clear" w:color="auto" w:fill="388BFF"/>
          </w:tcPr>
          <w:p>
            <w:pPr>
              <w:spacing w:after="0"/>
              <w:rPr>
                <w:sz w:val="8"/>
                <w:szCs w:val="8"/>
                <w:color w:val="auto"/>
              </w:rPr>
            </w:pPr>
          </w:p>
        </w:tc>
        <w:tc>
          <w:tcPr>
            <w:tcW w:w="400" w:type="dxa"/>
            <w:vAlign w:val="bottom"/>
            <w:shd w:val="clear" w:color="auto" w:fill="388BFF"/>
          </w:tcPr>
          <w:p>
            <w:pPr>
              <w:spacing w:after="0"/>
              <w:rPr>
                <w:sz w:val="8"/>
                <w:szCs w:val="8"/>
                <w:color w:val="auto"/>
              </w:rPr>
            </w:pPr>
          </w:p>
        </w:tc>
        <w:tc>
          <w:tcPr>
            <w:tcW w:w="760" w:type="dxa"/>
            <w:vAlign w:val="bottom"/>
            <w:gridSpan w:val="3"/>
            <w:vMerge w:val="restart"/>
            <w:shd w:val="clear" w:color="auto" w:fill="388BFF"/>
          </w:tcPr>
          <w:p>
            <w:pPr>
              <w:jc w:val="right"/>
              <w:ind w:right="60"/>
              <w:spacing w:after="0"/>
              <w:rPr>
                <w:sz w:val="20"/>
                <w:szCs w:val="20"/>
                <w:color w:val="auto"/>
              </w:rPr>
            </w:pPr>
            <w:r>
              <w:rPr>
                <w:rFonts w:ascii="Arial" w:cs="Arial" w:eastAsia="Arial" w:hAnsi="Arial"/>
                <w:sz w:val="14"/>
                <w:szCs w:val="14"/>
                <w:color w:val="auto"/>
              </w:rPr>
              <w:t>2/6/2027</w:t>
            </w:r>
          </w:p>
        </w:tc>
        <w:tc>
          <w:tcPr>
            <w:tcW w:w="160" w:type="dxa"/>
            <w:vAlign w:val="bottom"/>
            <w:shd w:val="clear" w:color="auto" w:fill="388BFF"/>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PSUs</w:t>
            </w:r>
          </w:p>
        </w:tc>
        <w:tc>
          <w:tcPr>
            <w:tcW w:w="520" w:type="dxa"/>
            <w:vAlign w:val="bottom"/>
          </w:tcPr>
          <w:p>
            <w:pPr>
              <w:spacing w:after="0"/>
              <w:rPr>
                <w:sz w:val="8"/>
                <w:szCs w:val="8"/>
                <w:color w:val="auto"/>
              </w:rPr>
            </w:pPr>
          </w:p>
        </w:tc>
        <w:tc>
          <w:tcPr>
            <w:tcW w:w="1520" w:type="dxa"/>
            <w:vAlign w:val="bottom"/>
            <w:vMerge w:val="continue"/>
            <w:shd w:val="clear" w:color="auto" w:fill="388BFF"/>
          </w:tcPr>
          <w:p>
            <w:pPr>
              <w:spacing w:after="0"/>
              <w:rPr>
                <w:sz w:val="8"/>
                <w:szCs w:val="8"/>
                <w:color w:val="auto"/>
              </w:rPr>
            </w:pPr>
          </w:p>
        </w:tc>
        <w:tc>
          <w:tcPr>
            <w:tcW w:w="480" w:type="dxa"/>
            <w:vAlign w:val="bottom"/>
            <w:vMerge w:val="continue"/>
            <w:shd w:val="clear" w:color="auto" w:fill="388BFF"/>
          </w:tcPr>
          <w:p>
            <w:pPr>
              <w:spacing w:after="0"/>
              <w:rPr>
                <w:sz w:val="8"/>
                <w:szCs w:val="8"/>
                <w:color w:val="auto"/>
              </w:rPr>
            </w:pPr>
          </w:p>
        </w:tc>
        <w:tc>
          <w:tcPr>
            <w:tcW w:w="1380" w:type="dxa"/>
            <w:vAlign w:val="bottom"/>
            <w:vMerge w:val="continue"/>
            <w:shd w:val="clear" w:color="auto" w:fill="388BFF"/>
          </w:tcPr>
          <w:p>
            <w:pPr>
              <w:spacing w:after="0"/>
              <w:rPr>
                <w:sz w:val="8"/>
                <w:szCs w:val="8"/>
                <w:color w:val="auto"/>
              </w:rPr>
            </w:pPr>
          </w:p>
        </w:tc>
        <w:tc>
          <w:tcPr>
            <w:tcW w:w="1120" w:type="dxa"/>
            <w:vAlign w:val="bottom"/>
            <w:vMerge w:val="restart"/>
            <w:shd w:val="clear" w:color="auto" w:fill="388BFF"/>
          </w:tcPr>
          <w:p>
            <w:pPr>
              <w:ind w:left="100"/>
              <w:spacing w:after="0"/>
              <w:rPr>
                <w:sz w:val="20"/>
                <w:szCs w:val="20"/>
                <w:color w:val="auto"/>
              </w:rPr>
            </w:pPr>
            <w:r>
              <w:rPr>
                <w:rFonts w:ascii="Arial" w:cs="Arial" w:eastAsia="Arial" w:hAnsi="Arial"/>
                <w:sz w:val="14"/>
                <w:szCs w:val="14"/>
                <w:color w:val="auto"/>
              </w:rPr>
              <w:t>Payout Cap</w:t>
            </w:r>
            <w:r>
              <w:rPr>
                <w:rFonts w:ascii="Arial" w:cs="Arial" w:eastAsia="Arial" w:hAnsi="Arial"/>
                <w:sz w:val="18"/>
                <w:szCs w:val="18"/>
                <w:color w:val="auto"/>
                <w:vertAlign w:val="superscript"/>
              </w:rPr>
              <w:t>(3)</w:t>
            </w:r>
          </w:p>
        </w:tc>
        <w:tc>
          <w:tcPr>
            <w:tcW w:w="600" w:type="dxa"/>
            <w:vAlign w:val="bottom"/>
            <w:tcBorders>
              <w:right w:val="single" w:sz="8" w:color="388BFF"/>
            </w:tcBorders>
            <w:shd w:val="clear" w:color="auto" w:fill="388BFF"/>
          </w:tcPr>
          <w:p>
            <w:pPr>
              <w:spacing w:after="0"/>
              <w:rPr>
                <w:sz w:val="8"/>
                <w:szCs w:val="8"/>
                <w:color w:val="auto"/>
              </w:rPr>
            </w:pPr>
          </w:p>
        </w:tc>
        <w:tc>
          <w:tcPr>
            <w:tcW w:w="400" w:type="dxa"/>
            <w:vAlign w:val="bottom"/>
            <w:shd w:val="clear" w:color="auto" w:fill="388BFF"/>
          </w:tcPr>
          <w:p>
            <w:pPr>
              <w:spacing w:after="0"/>
              <w:rPr>
                <w:sz w:val="8"/>
                <w:szCs w:val="8"/>
                <w:color w:val="auto"/>
              </w:rPr>
            </w:pPr>
          </w:p>
        </w:tc>
        <w:tc>
          <w:tcPr>
            <w:tcW w:w="760" w:type="dxa"/>
            <w:vAlign w:val="bottom"/>
            <w:gridSpan w:val="3"/>
            <w:vMerge w:val="continue"/>
            <w:shd w:val="clear" w:color="auto" w:fill="388BFF"/>
          </w:tcPr>
          <w:p>
            <w:pPr>
              <w:spacing w:after="0"/>
              <w:rPr>
                <w:sz w:val="8"/>
                <w:szCs w:val="8"/>
                <w:color w:val="auto"/>
              </w:rPr>
            </w:pPr>
          </w:p>
        </w:tc>
        <w:tc>
          <w:tcPr>
            <w:tcW w:w="160" w:type="dxa"/>
            <w:vAlign w:val="bottom"/>
            <w:shd w:val="clear" w:color="auto" w:fill="388BFF"/>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Borders>
              <w:bottom w:val="single" w:sz="8" w:color="388BFF"/>
            </w:tcBorders>
            <w:shd w:val="clear" w:color="auto" w:fill="388BFF"/>
          </w:tcPr>
          <w:p>
            <w:pPr>
              <w:ind w:left="120"/>
              <w:spacing w:after="0"/>
              <w:rPr>
                <w:sz w:val="20"/>
                <w:szCs w:val="20"/>
                <w:color w:val="auto"/>
              </w:rPr>
            </w:pPr>
            <w:r>
              <w:rPr>
                <w:rFonts w:ascii="Arial" w:cs="Arial" w:eastAsia="Arial" w:hAnsi="Arial"/>
                <w:sz w:val="14"/>
                <w:szCs w:val="14"/>
                <w:color w:val="auto"/>
              </w:rPr>
              <w:t>12/31/2026</w:t>
            </w:r>
          </w:p>
        </w:tc>
        <w:tc>
          <w:tcPr>
            <w:tcW w:w="480" w:type="dxa"/>
            <w:vAlign w:val="bottom"/>
            <w:tcBorders>
              <w:bottom w:val="single" w:sz="8" w:color="388BFF"/>
            </w:tcBorders>
            <w:shd w:val="clear" w:color="auto" w:fill="388BFF"/>
          </w:tcPr>
          <w:p>
            <w:pPr>
              <w:ind w:left="180"/>
              <w:spacing w:after="0"/>
              <w:rPr>
                <w:sz w:val="20"/>
                <w:szCs w:val="20"/>
                <w:color w:val="auto"/>
              </w:rPr>
            </w:pPr>
            <w:r>
              <w:rPr>
                <w:rFonts w:ascii="Arial" w:cs="Arial" w:eastAsia="Arial" w:hAnsi="Arial"/>
                <w:sz w:val="14"/>
                <w:szCs w:val="14"/>
                <w:color w:val="auto"/>
                <w:w w:val="99"/>
              </w:rPr>
              <w:t>20%</w:t>
            </w:r>
          </w:p>
        </w:tc>
        <w:tc>
          <w:tcPr>
            <w:tcW w:w="1380" w:type="dxa"/>
            <w:vAlign w:val="bottom"/>
            <w:tcBorders>
              <w:bottom w:val="single" w:sz="8" w:color="388BFF"/>
            </w:tcBorders>
            <w:shd w:val="clear" w:color="auto" w:fill="388BFF"/>
          </w:tcPr>
          <w:p>
            <w:pPr>
              <w:ind w:left="20"/>
              <w:spacing w:after="0"/>
              <w:rPr>
                <w:sz w:val="20"/>
                <w:szCs w:val="20"/>
                <w:color w:val="auto"/>
              </w:rPr>
            </w:pPr>
            <w:r>
              <w:rPr>
                <w:rFonts w:ascii="Arial" w:cs="Arial" w:eastAsia="Arial" w:hAnsi="Arial"/>
                <w:sz w:val="14"/>
                <w:szCs w:val="14"/>
                <w:color w:val="auto"/>
              </w:rPr>
              <w:t>EBIT-adj Margin</w:t>
            </w:r>
          </w:p>
        </w:tc>
        <w:tc>
          <w:tcPr>
            <w:tcW w:w="1120" w:type="dxa"/>
            <w:vAlign w:val="bottom"/>
            <w:tcBorders>
              <w:bottom w:val="single" w:sz="8" w:color="388BFF"/>
            </w:tcBorders>
            <w:vMerge w:val="continue"/>
            <w:shd w:val="clear" w:color="auto" w:fill="388BFF"/>
          </w:tcPr>
          <w:p>
            <w:pPr>
              <w:spacing w:after="0"/>
              <w:rPr>
                <w:sz w:val="16"/>
                <w:szCs w:val="16"/>
                <w:color w:val="auto"/>
              </w:rPr>
            </w:pPr>
          </w:p>
        </w:tc>
        <w:tc>
          <w:tcPr>
            <w:tcW w:w="600" w:type="dxa"/>
            <w:vAlign w:val="bottom"/>
            <w:tcBorders>
              <w:bottom w:val="single" w:sz="8" w:color="388BFF"/>
              <w:right w:val="single" w:sz="8" w:color="388BFF"/>
            </w:tcBorders>
            <w:shd w:val="clear" w:color="auto" w:fill="388BFF"/>
          </w:tcPr>
          <w:p>
            <w:pPr>
              <w:spacing w:after="0"/>
              <w:rPr>
                <w:sz w:val="16"/>
                <w:szCs w:val="16"/>
                <w:color w:val="auto"/>
              </w:rPr>
            </w:pPr>
          </w:p>
        </w:tc>
        <w:tc>
          <w:tcPr>
            <w:tcW w:w="400" w:type="dxa"/>
            <w:vAlign w:val="bottom"/>
            <w:tcBorders>
              <w:bottom w:val="single" w:sz="8" w:color="388BFF"/>
            </w:tcBorders>
            <w:shd w:val="clear" w:color="auto" w:fill="388BFF"/>
          </w:tcPr>
          <w:p>
            <w:pPr>
              <w:spacing w:after="0"/>
              <w:rPr>
                <w:sz w:val="16"/>
                <w:szCs w:val="16"/>
                <w:color w:val="auto"/>
              </w:rPr>
            </w:pPr>
          </w:p>
        </w:tc>
        <w:tc>
          <w:tcPr>
            <w:tcW w:w="200" w:type="dxa"/>
            <w:vAlign w:val="bottom"/>
            <w:tcBorders>
              <w:bottom w:val="single" w:sz="8" w:color="388BFF"/>
            </w:tcBorders>
            <w:shd w:val="clear" w:color="auto" w:fill="388BFF"/>
          </w:tcPr>
          <w:p>
            <w:pPr>
              <w:spacing w:after="0"/>
              <w:rPr>
                <w:sz w:val="16"/>
                <w:szCs w:val="16"/>
                <w:color w:val="auto"/>
              </w:rPr>
            </w:pPr>
          </w:p>
        </w:tc>
        <w:tc>
          <w:tcPr>
            <w:tcW w:w="380" w:type="dxa"/>
            <w:vAlign w:val="bottom"/>
            <w:tcBorders>
              <w:bottom w:val="single" w:sz="8" w:color="388BFF"/>
              <w:right w:val="single" w:sz="8" w:color="388BFF"/>
            </w:tcBorders>
            <w:shd w:val="clear" w:color="auto" w:fill="388BFF"/>
          </w:tcPr>
          <w:p>
            <w:pPr>
              <w:spacing w:after="0"/>
              <w:rPr>
                <w:sz w:val="16"/>
                <w:szCs w:val="16"/>
                <w:color w:val="auto"/>
              </w:rPr>
            </w:pPr>
          </w:p>
        </w:tc>
        <w:tc>
          <w:tcPr>
            <w:tcW w:w="180" w:type="dxa"/>
            <w:vAlign w:val="bottom"/>
            <w:tcBorders>
              <w:bottom w:val="single" w:sz="8" w:color="388BFF"/>
            </w:tcBorders>
            <w:shd w:val="clear" w:color="auto" w:fill="388BFF"/>
          </w:tcPr>
          <w:p>
            <w:pPr>
              <w:spacing w:after="0"/>
              <w:rPr>
                <w:sz w:val="16"/>
                <w:szCs w:val="16"/>
                <w:color w:val="auto"/>
              </w:rPr>
            </w:pPr>
          </w:p>
        </w:tc>
        <w:tc>
          <w:tcPr>
            <w:tcW w:w="160" w:type="dxa"/>
            <w:vAlign w:val="bottom"/>
            <w:tcBorders>
              <w:bottom w:val="single" w:sz="8" w:color="388BFF"/>
            </w:tcBorders>
            <w:shd w:val="clear" w:color="auto" w:fill="388BFF"/>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80" w:type="dxa"/>
            <w:vAlign w:val="bottom"/>
            <w:vMerge w:val="restart"/>
          </w:tcPr>
          <w:p>
            <w:pPr>
              <w:ind w:left="180"/>
              <w:spacing w:after="0"/>
              <w:rPr>
                <w:sz w:val="20"/>
                <w:szCs w:val="20"/>
                <w:color w:val="auto"/>
              </w:rPr>
            </w:pPr>
            <w:r>
              <w:rPr>
                <w:rFonts w:ascii="Arial" w:cs="Arial" w:eastAsia="Arial" w:hAnsi="Arial"/>
                <w:sz w:val="14"/>
                <w:szCs w:val="14"/>
                <w:color w:val="FFFFFF"/>
                <w:w w:val="99"/>
              </w:rPr>
              <w:t>40%</w:t>
            </w:r>
          </w:p>
        </w:tc>
        <w:tc>
          <w:tcPr>
            <w:tcW w:w="1380" w:type="dxa"/>
            <w:vAlign w:val="bottom"/>
            <w:vMerge w:val="restart"/>
          </w:tcPr>
          <w:p>
            <w:pPr>
              <w:ind w:left="20"/>
              <w:spacing w:after="0"/>
              <w:rPr>
                <w:sz w:val="20"/>
                <w:szCs w:val="20"/>
                <w:color w:val="auto"/>
              </w:rPr>
            </w:pPr>
            <w:r>
              <w:rPr>
                <w:rFonts w:ascii="Arial" w:cs="Arial" w:eastAsia="Arial" w:hAnsi="Arial"/>
                <w:sz w:val="14"/>
                <w:szCs w:val="14"/>
                <w:color w:val="FFFFFF"/>
              </w:rPr>
              <w:t>Relative TSR</w:t>
            </w: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vMerge w:val="restart"/>
          </w:tcPr>
          <w:p>
            <w:pPr>
              <w:ind w:left="640"/>
              <w:spacing w:after="0"/>
              <w:rPr>
                <w:sz w:val="20"/>
                <w:szCs w:val="20"/>
                <w:color w:val="auto"/>
              </w:rPr>
            </w:pPr>
            <w:r>
              <w:rPr>
                <w:rFonts w:ascii="Arial" w:cs="Arial" w:eastAsia="Arial" w:hAnsi="Arial"/>
                <w:sz w:val="14"/>
                <w:szCs w:val="14"/>
                <w:color w:val="FFFFFF"/>
              </w:rPr>
              <w:t>3 Years</w:t>
            </w:r>
          </w:p>
        </w:tc>
        <w:tc>
          <w:tcPr>
            <w:tcW w:w="480" w:type="dxa"/>
            <w:vAlign w:val="bottom"/>
          </w:tcPr>
          <w:p>
            <w:pPr>
              <w:ind w:left="180"/>
              <w:spacing w:after="0"/>
              <w:rPr>
                <w:sz w:val="20"/>
                <w:szCs w:val="20"/>
                <w:color w:val="auto"/>
              </w:rPr>
            </w:pPr>
            <w:r>
              <w:rPr>
                <w:rFonts w:ascii="Arial" w:cs="Arial" w:eastAsia="Arial" w:hAnsi="Arial"/>
                <w:sz w:val="14"/>
                <w:szCs w:val="14"/>
                <w:color w:val="FFFFFF"/>
                <w:w w:val="99"/>
              </w:rPr>
              <w:t>30%</w:t>
            </w:r>
          </w:p>
        </w:tc>
        <w:tc>
          <w:tcPr>
            <w:tcW w:w="1380" w:type="dxa"/>
            <w:vAlign w:val="bottom"/>
          </w:tcPr>
          <w:p>
            <w:pPr>
              <w:ind w:left="20"/>
              <w:spacing w:after="0"/>
              <w:rPr>
                <w:sz w:val="20"/>
                <w:szCs w:val="20"/>
                <w:color w:val="auto"/>
              </w:rPr>
            </w:pPr>
            <w:r>
              <w:rPr>
                <w:rFonts w:ascii="Arial" w:cs="Arial" w:eastAsia="Arial" w:hAnsi="Arial"/>
                <w:sz w:val="14"/>
                <w:szCs w:val="14"/>
                <w:color w:val="FFFFFF"/>
              </w:rPr>
              <w:t>Relative Operating</w:t>
            </w: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460" w:type="dxa"/>
            <w:vAlign w:val="bottom"/>
            <w:vMerge w:val="restart"/>
          </w:tcPr>
          <w:p>
            <w:pPr>
              <w:jc w:val="right"/>
              <w:ind w:right="328"/>
              <w:spacing w:after="0"/>
              <w:rPr>
                <w:sz w:val="20"/>
                <w:szCs w:val="20"/>
                <w:color w:val="auto"/>
              </w:rPr>
            </w:pPr>
            <w:r>
              <w:rPr>
                <w:rFonts w:ascii="Arial" w:cs="Arial" w:eastAsia="Arial" w:hAnsi="Arial"/>
                <w:sz w:val="14"/>
                <w:szCs w:val="14"/>
                <w:color w:val="auto"/>
              </w:rPr>
              <w:t>2025-2027</w:t>
            </w:r>
          </w:p>
        </w:tc>
        <w:tc>
          <w:tcPr>
            <w:tcW w:w="5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860" w:type="dxa"/>
            <w:vAlign w:val="bottom"/>
            <w:gridSpan w:val="2"/>
            <w:vMerge w:val="restart"/>
          </w:tcPr>
          <w:p>
            <w:pPr>
              <w:ind w:left="180"/>
              <w:spacing w:after="0"/>
              <w:rPr>
                <w:sz w:val="20"/>
                <w:szCs w:val="20"/>
                <w:color w:val="auto"/>
              </w:rPr>
            </w:pPr>
            <w:r>
              <w:rPr>
                <w:rFonts w:ascii="Arial" w:cs="Arial" w:eastAsia="Arial" w:hAnsi="Arial"/>
                <w:sz w:val="14"/>
                <w:szCs w:val="14"/>
                <w:color w:val="FFFFFF"/>
              </w:rPr>
              <w:t>Cash Flow as a</w:t>
            </w:r>
          </w:p>
        </w:tc>
        <w:tc>
          <w:tcPr>
            <w:tcW w:w="1120" w:type="dxa"/>
            <w:vAlign w:val="bottom"/>
            <w:vMerge w:val="restart"/>
          </w:tcPr>
          <w:p>
            <w:pPr>
              <w:ind w:left="100"/>
              <w:spacing w:after="0"/>
              <w:rPr>
                <w:sz w:val="20"/>
                <w:szCs w:val="20"/>
                <w:color w:val="auto"/>
              </w:rPr>
            </w:pPr>
            <w:r>
              <w:rPr>
                <w:rFonts w:ascii="Arial" w:cs="Arial" w:eastAsia="Arial" w:hAnsi="Arial"/>
                <w:sz w:val="14"/>
                <w:szCs w:val="14"/>
                <w:color w:val="FFFFFF"/>
              </w:rPr>
              <w:t>0-200% with</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4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520" w:type="dxa"/>
            <w:vAlign w:val="bottom"/>
            <w:vMerge w:val="restart"/>
          </w:tcPr>
          <w:p>
            <w:pPr>
              <w:ind w:left="640"/>
              <w:spacing w:after="0"/>
              <w:rPr>
                <w:sz w:val="20"/>
                <w:szCs w:val="20"/>
                <w:color w:val="auto"/>
              </w:rPr>
            </w:pPr>
            <w:r>
              <w:rPr>
                <w:rFonts w:ascii="Arial" w:cs="Arial" w:eastAsia="Arial" w:hAnsi="Arial"/>
                <w:sz w:val="14"/>
                <w:szCs w:val="14"/>
                <w:color w:val="FFFFFF"/>
              </w:rPr>
              <w:t>1/1/2025 to</w:t>
            </w:r>
          </w:p>
        </w:tc>
        <w:tc>
          <w:tcPr>
            <w:tcW w:w="186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FFFFFF"/>
              </w:rPr>
              <w:t>2/4/2028</w:t>
            </w:r>
          </w:p>
        </w:tc>
        <w:tc>
          <w:tcPr>
            <w:tcW w:w="0" w:type="dxa"/>
            <w:vAlign w:val="bottom"/>
          </w:tcPr>
          <w:p>
            <w:pPr>
              <w:spacing w:after="0"/>
              <w:rPr>
                <w:sz w:val="1"/>
                <w:szCs w:val="1"/>
                <w:color w:val="auto"/>
              </w:rPr>
            </w:pPr>
          </w:p>
        </w:tc>
      </w:tr>
      <w:tr>
        <w:trPr>
          <w:trHeight w:val="98"/>
        </w:trPr>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PSUs</w:t>
            </w:r>
          </w:p>
        </w:tc>
        <w:tc>
          <w:tcPr>
            <w:tcW w:w="52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1860" w:type="dxa"/>
            <w:vAlign w:val="bottom"/>
            <w:gridSpan w:val="2"/>
            <w:vMerge w:val="restart"/>
          </w:tcPr>
          <w:p>
            <w:pPr>
              <w:ind w:left="180"/>
              <w:spacing w:after="0"/>
              <w:rPr>
                <w:sz w:val="20"/>
                <w:szCs w:val="20"/>
                <w:color w:val="auto"/>
              </w:rPr>
            </w:pPr>
            <w:r>
              <w:rPr>
                <w:rFonts w:ascii="Arial" w:cs="Arial" w:eastAsia="Arial" w:hAnsi="Arial"/>
                <w:sz w:val="14"/>
                <w:szCs w:val="14"/>
                <w:color w:val="FFFFFF"/>
              </w:rPr>
              <w:t>Percentage of Revenue</w:t>
            </w:r>
          </w:p>
        </w:tc>
        <w:tc>
          <w:tcPr>
            <w:tcW w:w="1120" w:type="dxa"/>
            <w:vAlign w:val="bottom"/>
            <w:vMerge w:val="restart"/>
          </w:tcPr>
          <w:p>
            <w:pPr>
              <w:ind w:left="100"/>
              <w:spacing w:after="0" w:line="205" w:lineRule="exact"/>
              <w:rPr>
                <w:sz w:val="20"/>
                <w:szCs w:val="20"/>
                <w:color w:val="auto"/>
              </w:rPr>
            </w:pPr>
            <w:r>
              <w:rPr>
                <w:rFonts w:ascii="Arial" w:cs="Arial" w:eastAsia="Arial" w:hAnsi="Arial"/>
                <w:sz w:val="14"/>
                <w:szCs w:val="14"/>
                <w:color w:val="FFFFFF"/>
              </w:rPr>
              <w:t>Payout Cap</w:t>
            </w:r>
            <w:r>
              <w:rPr>
                <w:rFonts w:ascii="Arial" w:cs="Arial" w:eastAsia="Arial" w:hAnsi="Arial"/>
                <w:sz w:val="18"/>
                <w:szCs w:val="18"/>
                <w:color w:val="FFFFFF"/>
                <w:vertAlign w:val="superscript"/>
              </w:rPr>
              <w:t>(3)</w:t>
            </w: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60" w:type="dxa"/>
            <w:vAlign w:val="bottom"/>
            <w:vMerge w:val="continue"/>
          </w:tcPr>
          <w:p>
            <w:pPr>
              <w:spacing w:after="0"/>
              <w:rPr>
                <w:sz w:val="9"/>
                <w:szCs w:val="9"/>
                <w:color w:val="auto"/>
              </w:rPr>
            </w:pPr>
          </w:p>
        </w:tc>
        <w:tc>
          <w:tcPr>
            <w:tcW w:w="2040" w:type="dxa"/>
            <w:vAlign w:val="bottom"/>
            <w:gridSpan w:val="2"/>
            <w:vMerge w:val="restart"/>
          </w:tcPr>
          <w:p>
            <w:pPr>
              <w:ind w:left="1160"/>
              <w:spacing w:after="0"/>
              <w:rPr>
                <w:sz w:val="20"/>
                <w:szCs w:val="20"/>
                <w:color w:val="auto"/>
              </w:rPr>
            </w:pPr>
            <w:r>
              <w:rPr>
                <w:rFonts w:ascii="Arial" w:cs="Arial" w:eastAsia="Arial" w:hAnsi="Arial"/>
                <w:sz w:val="14"/>
                <w:szCs w:val="14"/>
                <w:color w:val="FFFFFF"/>
              </w:rPr>
              <w:t>12/31/2027</w:t>
            </w:r>
          </w:p>
        </w:tc>
        <w:tc>
          <w:tcPr>
            <w:tcW w:w="186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46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480" w:type="dxa"/>
            <w:vAlign w:val="bottom"/>
            <w:vMerge w:val="restart"/>
          </w:tcPr>
          <w:p>
            <w:pPr>
              <w:ind w:left="180"/>
              <w:spacing w:after="0"/>
              <w:rPr>
                <w:sz w:val="20"/>
                <w:szCs w:val="20"/>
                <w:color w:val="auto"/>
              </w:rPr>
            </w:pPr>
            <w:r>
              <w:rPr>
                <w:rFonts w:ascii="Arial" w:cs="Arial" w:eastAsia="Arial" w:hAnsi="Arial"/>
                <w:sz w:val="14"/>
                <w:szCs w:val="14"/>
                <w:color w:val="FFFFFF"/>
                <w:w w:val="99"/>
              </w:rPr>
              <w:t>30%</w:t>
            </w:r>
          </w:p>
        </w:tc>
        <w:tc>
          <w:tcPr>
            <w:tcW w:w="1380" w:type="dxa"/>
            <w:vAlign w:val="bottom"/>
            <w:vMerge w:val="restart"/>
          </w:tcPr>
          <w:p>
            <w:pPr>
              <w:ind w:left="20"/>
              <w:spacing w:after="0"/>
              <w:rPr>
                <w:sz w:val="20"/>
                <w:szCs w:val="20"/>
                <w:color w:val="auto"/>
              </w:rPr>
            </w:pPr>
            <w:r>
              <w:rPr>
                <w:rFonts w:ascii="Arial" w:cs="Arial" w:eastAsia="Arial" w:hAnsi="Arial"/>
                <w:sz w:val="14"/>
                <w:szCs w:val="14"/>
                <w:color w:val="FFFFFF"/>
              </w:rPr>
              <w:t>Relative EBIT-adj</w:t>
            </w: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680"/>
        <w:spacing w:after="0"/>
        <w:rPr>
          <w:sz w:val="20"/>
          <w:szCs w:val="20"/>
          <w:color w:val="auto"/>
        </w:rPr>
      </w:pPr>
      <w:r>
        <w:rPr>
          <w:rFonts w:ascii="Arial" w:cs="Arial" w:eastAsia="Arial" w:hAnsi="Arial"/>
          <w:sz w:val="14"/>
          <w:szCs w:val="14"/>
          <w:color w:val="FFFFFF"/>
        </w:rPr>
        <w:t>Margin</w:t>
      </w:r>
    </w:p>
    <w:p>
      <w:pPr>
        <w:spacing w:after="0" w:line="174" w:lineRule="exact"/>
        <w:rPr>
          <w:sz w:val="20"/>
          <w:szCs w:val="20"/>
          <w:color w:val="auto"/>
        </w:rPr>
      </w:pPr>
    </w:p>
    <w:p>
      <w:pPr>
        <w:ind w:left="200" w:hanging="192"/>
        <w:spacing w:after="0"/>
        <w:tabs>
          <w:tab w:leader="none" w:pos="20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The performance of each PSU award will be measured and determined at the end of the applicable performance period.</w:t>
      </w:r>
    </w:p>
    <w:p>
      <w:pPr>
        <w:spacing w:after="0" w:line="43"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EV Measures are comprised of GMNA EV Volume, GMNA EV Launch Timing, and GMNA EV Launch Quality (modifier).</w:t>
      </w:r>
    </w:p>
    <w:p>
      <w:pPr>
        <w:spacing w:after="0" w:line="43"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Relative TSR is capped at target if GM’s absolute TSR is negative over the performance period.</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Perquisites and Other Compensation</w:t>
      </w:r>
    </w:p>
    <w:p>
      <w:pPr>
        <w:spacing w:after="0" w:line="128"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We provide perquisites and other compensation to our NEOs consistent with market practices. The following perquisites and other compensation were provided in 2025:</w:t>
      </w:r>
    </w:p>
    <w:p>
      <w:pPr>
        <w:spacing w:after="0" w:line="7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b w:val="1"/>
          <w:bCs w:val="1"/>
          <w:color w:val="0956FF"/>
        </w:rPr>
        <w:t xml:space="preserve">Personal Air Travel </w:t>
      </w:r>
      <w:r>
        <w:rPr>
          <w:rFonts w:ascii="Arial" w:cs="Arial" w:eastAsia="Arial" w:hAnsi="Arial"/>
          <w:sz w:val="16"/>
          <w:szCs w:val="16"/>
          <w:color w:val="000000"/>
        </w:rPr>
        <w:t>– Due to security concerns identified by an independent, third-party security consultant who was</w:t>
      </w:r>
      <w:r>
        <w:rPr>
          <w:rFonts w:ascii="Arial" w:cs="Arial" w:eastAsia="Arial" w:hAnsi="Arial"/>
          <w:sz w:val="16"/>
          <w:szCs w:val="16"/>
          <w:b w:val="1"/>
          <w:bCs w:val="1"/>
          <w:color w:val="0956FF"/>
        </w:rPr>
        <w:t xml:space="preserve"> </w:t>
      </w:r>
      <w:r>
        <w:rPr>
          <w:rFonts w:ascii="Arial" w:cs="Arial" w:eastAsia="Arial" w:hAnsi="Arial"/>
          <w:sz w:val="16"/>
          <w:szCs w:val="16"/>
          <w:color w:val="000000"/>
        </w:rPr>
        <w:t>engaged by the Board, Company policy prohibits Ms. Barra and Mr. Reuss from using commercial air travel for business or personal use. As a result, the Company pays the costs associated with both business and personal use of Company aircraft. Other NEOs may travel on Company aircraft in certain circumstances with prior approval from the CEO or the Senior Vice President and Chief People Officer. All NEOs, including our CEO, incur imputed income when Company aircraft is used for personal travel and do not receive any tax gross-up payments. Aircraft travel by NEOs for an annual executive physical through the Executive Physical Program (described below) is included under Personal Travel in the “Perquisites and Other Personal Benefits” table. Certain NEOs, including our CEO, have personal travel caps and are eligible for reimbursement of personal travel pursuant to time-sharing agreements that the Company may enter into from time to time, subject to Federal Aviation Administration regulations. Our Board of Directors regularly reviews executive officers’ air travel usage and compliance with the Company’s air travel policies and approves any revisions to the air travel policies as needed.</w:t>
      </w:r>
    </w:p>
    <w:p>
      <w:pPr>
        <w:spacing w:after="0" w:line="8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color w:val="0956FF"/>
        </w:rPr>
        <w:t xml:space="preserve">Security </w:t>
      </w:r>
      <w:r>
        <w:rPr>
          <w:rFonts w:ascii="Arial" w:cs="Arial" w:eastAsia="Arial" w:hAnsi="Arial"/>
          <w:sz w:val="16"/>
          <w:szCs w:val="16"/>
          <w:color w:val="000000"/>
        </w:rPr>
        <w:t>– NEOs may receive security services, including home security systems and monitoring, to address specific</w:t>
      </w:r>
      <w:r>
        <w:rPr>
          <w:rFonts w:ascii="Arial" w:cs="Arial" w:eastAsia="Arial" w:hAnsi="Arial"/>
          <w:sz w:val="16"/>
          <w:szCs w:val="16"/>
          <w:b w:val="1"/>
          <w:bCs w:val="1"/>
          <w:color w:val="0956FF"/>
        </w:rPr>
        <w:t xml:space="preserve"> </w:t>
      </w:r>
      <w:r>
        <w:rPr>
          <w:rFonts w:ascii="Arial" w:cs="Arial" w:eastAsia="Arial" w:hAnsi="Arial"/>
          <w:sz w:val="16"/>
          <w:szCs w:val="16"/>
          <w:color w:val="000000"/>
        </w:rPr>
        <w:t>security-related concerns identified by an independent, third-party security consultant engaged by the Board or our security team. We maintain security staff to help provide all employees with a safe and secure environment, which aligns to and reinforces our safety culture. Our Board of Directors regularly evaluates executive officers’ security policies. An updated security assessment was performed in early 2025 for Ms. Barra and Mr. Reuss, and as a result, heightened security services are expected to be provided in future years.</w:t>
      </w:r>
    </w:p>
    <w:p>
      <w:pPr>
        <w:spacing w:after="0" w:line="10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b w:val="1"/>
          <w:bCs w:val="1"/>
          <w:color w:val="0956FF"/>
        </w:rPr>
        <w:t xml:space="preserve">Company Vehicle Programs </w:t>
      </w:r>
      <w:r>
        <w:rPr>
          <w:rFonts w:ascii="Arial" w:cs="Arial" w:eastAsia="Arial" w:hAnsi="Arial"/>
          <w:sz w:val="16"/>
          <w:szCs w:val="16"/>
          <w:color w:val="000000"/>
        </w:rPr>
        <w:t>– NEOs are eligible to participate in the Executive Company Vehicle Program and may use</w:t>
      </w:r>
      <w:r>
        <w:rPr>
          <w:rFonts w:ascii="Arial" w:cs="Arial" w:eastAsia="Arial" w:hAnsi="Arial"/>
          <w:sz w:val="16"/>
          <w:szCs w:val="16"/>
          <w:b w:val="1"/>
          <w:bCs w:val="1"/>
          <w:color w:val="0956FF"/>
        </w:rPr>
        <w:t xml:space="preserve"> </w:t>
      </w:r>
      <w:r>
        <w:rPr>
          <w:rFonts w:ascii="Arial" w:cs="Arial" w:eastAsia="Arial" w:hAnsi="Arial"/>
          <w:sz w:val="16"/>
          <w:szCs w:val="16"/>
          <w:color w:val="000000"/>
        </w:rPr>
        <w:t>evaluation vehicles for the purpose of providing feedback on Company products. In addition, NEOs are eligible to use driver services provided by the Company in accordance with Company policies.</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9080"/>
          </w:cols>
          <w:pgMar w:left="1400" w:top="657" w:right="141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b w:val="1"/>
          <w:bCs w:val="1"/>
          <w:color w:val="0956FF"/>
        </w:rPr>
        <w:t xml:space="preserve">Executive Physicals </w:t>
      </w:r>
      <w:r>
        <w:rPr>
          <w:rFonts w:ascii="Arial" w:cs="Arial" w:eastAsia="Arial" w:hAnsi="Arial"/>
          <w:sz w:val="16"/>
          <w:szCs w:val="16"/>
          <w:color w:val="000000"/>
        </w:rPr>
        <w:t>– The health and wellness of our workforce is a priority, and all employees are encouraged to complete</w:t>
      </w:r>
      <w:r>
        <w:rPr>
          <w:rFonts w:ascii="Arial" w:cs="Arial" w:eastAsia="Arial" w:hAnsi="Arial"/>
          <w:sz w:val="16"/>
          <w:szCs w:val="16"/>
          <w:b w:val="1"/>
          <w:bCs w:val="1"/>
          <w:color w:val="0956FF"/>
        </w:rPr>
        <w:t xml:space="preserve"> </w:t>
      </w:r>
      <w:r>
        <w:rPr>
          <w:rFonts w:ascii="Arial" w:cs="Arial" w:eastAsia="Arial" w:hAnsi="Arial"/>
          <w:sz w:val="16"/>
          <w:szCs w:val="16"/>
          <w:color w:val="000000"/>
        </w:rPr>
        <w:t>an annual physical. NEOs are eligible to receive a comprehensive wellness examination with an approved provider. The cost of meals, lodging, commercial air travel, and ground transportation for NEOs who traveled for an annual executive physical through the Executive Physical Program is included under Executive Physicals in the “Perquisites and Other Personal Benefits” table. These wellness visits promote employee well-being and enable employees to take appropriate steps in the event of illness or a medical condition that may impact their ability to perform their duties.</w:t>
      </w:r>
    </w:p>
    <w:p>
      <w:pPr>
        <w:spacing w:after="0" w:line="102"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b w:val="1"/>
          <w:bCs w:val="1"/>
          <w:color w:val="0956FF"/>
        </w:rPr>
        <w:t xml:space="preserve">Financial Counseling </w:t>
      </w:r>
      <w:r>
        <w:rPr>
          <w:rFonts w:ascii="Arial" w:cs="Arial" w:eastAsia="Arial" w:hAnsi="Arial"/>
          <w:sz w:val="16"/>
          <w:szCs w:val="16"/>
          <w:color w:val="000000"/>
        </w:rPr>
        <w:t>– NEOs are eligible to receive financial counseling, estate planning, and tax preparation services</w:t>
      </w:r>
      <w:r>
        <w:rPr>
          <w:rFonts w:ascii="Arial" w:cs="Arial" w:eastAsia="Arial" w:hAnsi="Arial"/>
          <w:sz w:val="16"/>
          <w:szCs w:val="16"/>
          <w:b w:val="1"/>
          <w:bCs w:val="1"/>
          <w:color w:val="0956FF"/>
        </w:rPr>
        <w:t xml:space="preserve"> </w:t>
      </w:r>
      <w:r>
        <w:rPr>
          <w:rFonts w:ascii="Arial" w:cs="Arial" w:eastAsia="Arial" w:hAnsi="Arial"/>
          <w:sz w:val="16"/>
          <w:szCs w:val="16"/>
          <w:color w:val="000000"/>
        </w:rPr>
        <w:t>through an approved provider. These services allow our NEOs to focus on Company business and ensure accurate personal tax reporting.</w:t>
      </w:r>
    </w:p>
    <w:p>
      <w:pPr>
        <w:spacing w:after="0" w:line="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Decision-Making Process</w:t>
      </w:r>
    </w:p>
    <w:p>
      <w:pPr>
        <w:sectPr>
          <w:pgSz w:w="11900" w:h="16838" w:orient="portrait"/>
          <w:cols w:equalWidth="0" w:num="1">
            <w:col w:w="9220"/>
          </w:cols>
          <w:pgMar w:left="1400" w:top="657" w:right="127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Roles and Responsibilities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How We Plan Compensation</w:t>
      </w:r>
    </w:p>
    <w:p>
      <w:pPr>
        <w:spacing w:after="0" w:line="200" w:lineRule="exact"/>
        <w:rPr>
          <w:sz w:val="20"/>
          <w:szCs w:val="20"/>
          <w:color w:val="auto"/>
        </w:rPr>
      </w:pPr>
    </w:p>
    <w:p>
      <w:pPr>
        <w:spacing w:after="0" w:line="30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0956FF"/>
        </w:rPr>
        <w:t>GM</w:t>
      </w:r>
    </w:p>
    <w:p>
      <w:pPr>
        <w:spacing w:after="0" w:line="40"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0956FF"/>
        </w:rPr>
        <w:t>Management</w:t>
      </w:r>
    </w:p>
    <w:p>
      <w:pPr>
        <w:spacing w:after="0" w:line="131" w:lineRule="exact"/>
        <w:rPr>
          <w:sz w:val="20"/>
          <w:szCs w:val="20"/>
          <w:color w:val="auto"/>
        </w:rPr>
      </w:pPr>
    </w:p>
    <w:p>
      <w:pPr>
        <w:ind w:left="460" w:right="940" w:hanging="189"/>
        <w:spacing w:after="0" w:line="301" w:lineRule="auto"/>
        <w:tabs>
          <w:tab w:leader="none" w:pos="460" w:val="left"/>
        </w:tabs>
        <w:numPr>
          <w:ilvl w:val="0"/>
          <w:numId w:val="77"/>
        </w:numPr>
        <w:rPr>
          <w:rFonts w:ascii="Arial" w:cs="Arial" w:eastAsia="Arial" w:hAnsi="Arial"/>
          <w:sz w:val="16"/>
          <w:szCs w:val="16"/>
          <w:color w:val="0956FF"/>
        </w:rPr>
      </w:pPr>
      <w:r>
        <w:rPr>
          <w:rFonts w:ascii="Arial" w:cs="Arial" w:eastAsia="Arial" w:hAnsi="Arial"/>
          <w:sz w:val="16"/>
          <w:szCs w:val="16"/>
          <w:color w:val="auto"/>
        </w:rPr>
        <w:t>Makes recommendations regarding compensation structure and design</w:t>
      </w:r>
    </w:p>
    <w:p>
      <w:pPr>
        <w:spacing w:after="0" w:line="9" w:lineRule="exact"/>
        <w:rPr>
          <w:rFonts w:ascii="Arial" w:cs="Arial" w:eastAsia="Arial" w:hAnsi="Arial"/>
          <w:sz w:val="16"/>
          <w:szCs w:val="16"/>
          <w:color w:val="0956FF"/>
        </w:rPr>
      </w:pPr>
    </w:p>
    <w:p>
      <w:pPr>
        <w:ind w:left="460" w:right="820" w:hanging="189"/>
        <w:spacing w:after="0" w:line="301" w:lineRule="auto"/>
        <w:tabs>
          <w:tab w:leader="none" w:pos="460" w:val="left"/>
        </w:tabs>
        <w:numPr>
          <w:ilvl w:val="0"/>
          <w:numId w:val="77"/>
        </w:numPr>
        <w:rPr>
          <w:rFonts w:ascii="Arial" w:cs="Arial" w:eastAsia="Arial" w:hAnsi="Arial"/>
          <w:sz w:val="16"/>
          <w:szCs w:val="16"/>
          <w:color w:val="0956FF"/>
        </w:rPr>
      </w:pPr>
      <w:r>
        <w:rPr>
          <w:rFonts w:ascii="Arial" w:cs="Arial" w:eastAsia="Arial" w:hAnsi="Arial"/>
          <w:sz w:val="16"/>
          <w:szCs w:val="16"/>
          <w:color w:val="auto"/>
        </w:rPr>
        <w:t>Provides input on performance results against key business goals</w:t>
      </w:r>
    </w:p>
    <w:p>
      <w:pPr>
        <w:spacing w:after="0" w:line="9" w:lineRule="exact"/>
        <w:rPr>
          <w:rFonts w:ascii="Arial" w:cs="Arial" w:eastAsia="Arial" w:hAnsi="Arial"/>
          <w:sz w:val="16"/>
          <w:szCs w:val="16"/>
          <w:color w:val="0956FF"/>
        </w:rPr>
      </w:pPr>
    </w:p>
    <w:p>
      <w:pPr>
        <w:ind w:left="460" w:right="980" w:hanging="189"/>
        <w:spacing w:after="0" w:line="295" w:lineRule="auto"/>
        <w:tabs>
          <w:tab w:leader="none" w:pos="460" w:val="left"/>
        </w:tabs>
        <w:numPr>
          <w:ilvl w:val="0"/>
          <w:numId w:val="77"/>
        </w:numPr>
        <w:rPr>
          <w:rFonts w:ascii="Arial" w:cs="Arial" w:eastAsia="Arial" w:hAnsi="Arial"/>
          <w:sz w:val="16"/>
          <w:szCs w:val="16"/>
          <w:color w:val="0956FF"/>
        </w:rPr>
      </w:pPr>
      <w:r>
        <w:rPr>
          <w:rFonts w:ascii="Arial" w:cs="Arial" w:eastAsia="Arial" w:hAnsi="Arial"/>
          <w:sz w:val="16"/>
          <w:szCs w:val="16"/>
          <w:color w:val="auto"/>
        </w:rPr>
        <w:t>Provides additional information as requested by the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0"/>
        <w:spacing w:after="0"/>
        <w:rPr>
          <w:sz w:val="20"/>
          <w:szCs w:val="20"/>
          <w:color w:val="auto"/>
        </w:rPr>
      </w:pPr>
      <w:r>
        <w:rPr>
          <w:rFonts w:ascii="Arial" w:cs="Arial" w:eastAsia="Arial" w:hAnsi="Arial"/>
          <w:sz w:val="18"/>
          <w:szCs w:val="18"/>
          <w:b w:val="1"/>
          <w:bCs w:val="1"/>
          <w:color w:val="0956FF"/>
        </w:rPr>
        <w:t>Compensation</w:t>
      </w:r>
    </w:p>
    <w:p>
      <w:pPr>
        <w:spacing w:after="0" w:line="40" w:lineRule="exact"/>
        <w:rPr>
          <w:sz w:val="20"/>
          <w:szCs w:val="20"/>
          <w:color w:val="auto"/>
        </w:rPr>
      </w:pPr>
    </w:p>
    <w:p>
      <w:pPr>
        <w:ind w:left="610"/>
        <w:spacing w:after="0"/>
        <w:rPr>
          <w:sz w:val="20"/>
          <w:szCs w:val="20"/>
          <w:color w:val="auto"/>
        </w:rPr>
      </w:pPr>
      <w:r>
        <w:rPr>
          <w:rFonts w:ascii="Arial" w:cs="Arial" w:eastAsia="Arial" w:hAnsi="Arial"/>
          <w:sz w:val="18"/>
          <w:szCs w:val="18"/>
          <w:b w:val="1"/>
          <w:bCs w:val="1"/>
          <w:color w:val="0956FF"/>
        </w:rPr>
        <w:t>Committee</w:t>
      </w:r>
    </w:p>
    <w:p>
      <w:pPr>
        <w:spacing w:after="0" w:line="131" w:lineRule="exact"/>
        <w:rPr>
          <w:sz w:val="20"/>
          <w:szCs w:val="20"/>
          <w:color w:val="auto"/>
        </w:rPr>
      </w:pPr>
    </w:p>
    <w:p>
      <w:pPr>
        <w:ind w:left="190" w:right="280" w:hanging="190"/>
        <w:spacing w:after="0" w:line="281" w:lineRule="auto"/>
        <w:tabs>
          <w:tab w:leader="none" w:pos="190" w:val="left"/>
        </w:tabs>
        <w:numPr>
          <w:ilvl w:val="0"/>
          <w:numId w:val="78"/>
        </w:numPr>
        <w:rPr>
          <w:rFonts w:ascii="Arial" w:cs="Arial" w:eastAsia="Arial" w:hAnsi="Arial"/>
          <w:sz w:val="16"/>
          <w:szCs w:val="16"/>
          <w:color w:val="0956FF"/>
        </w:rPr>
      </w:pPr>
      <w:r>
        <w:rPr>
          <w:rFonts w:ascii="Arial" w:cs="Arial" w:eastAsia="Arial" w:hAnsi="Arial"/>
          <w:sz w:val="16"/>
          <w:szCs w:val="16"/>
          <w:color w:val="auto"/>
        </w:rPr>
        <w:t>Reviews and approves plan design, metrics, goals, and overall incentive compensation</w:t>
      </w:r>
    </w:p>
    <w:p>
      <w:pPr>
        <w:spacing w:after="0" w:line="2" w:lineRule="exact"/>
        <w:rPr>
          <w:rFonts w:ascii="Arial" w:cs="Arial" w:eastAsia="Arial" w:hAnsi="Arial"/>
          <w:sz w:val="16"/>
          <w:szCs w:val="16"/>
          <w:color w:val="0956FF"/>
        </w:rPr>
      </w:pPr>
    </w:p>
    <w:p>
      <w:pPr>
        <w:ind w:left="190"/>
        <w:spacing w:after="0"/>
        <w:rPr>
          <w:rFonts w:ascii="Arial" w:cs="Arial" w:eastAsia="Arial" w:hAnsi="Arial"/>
          <w:sz w:val="16"/>
          <w:szCs w:val="16"/>
          <w:color w:val="0956FF"/>
        </w:rPr>
      </w:pPr>
      <w:r>
        <w:rPr>
          <w:rFonts w:ascii="Arial" w:cs="Arial" w:eastAsia="Arial" w:hAnsi="Arial"/>
          <w:sz w:val="16"/>
          <w:szCs w:val="16"/>
          <w:color w:val="auto"/>
        </w:rPr>
        <w:t>funding levels</w:t>
      </w:r>
    </w:p>
    <w:p>
      <w:pPr>
        <w:spacing w:after="0" w:line="86" w:lineRule="exact"/>
        <w:rPr>
          <w:rFonts w:ascii="Arial" w:cs="Arial" w:eastAsia="Arial" w:hAnsi="Arial"/>
          <w:sz w:val="16"/>
          <w:szCs w:val="16"/>
          <w:color w:val="0956FF"/>
        </w:rPr>
      </w:pPr>
    </w:p>
    <w:p>
      <w:pPr>
        <w:ind w:left="190" w:right="520" w:hanging="190"/>
        <w:spacing w:after="0" w:line="295" w:lineRule="auto"/>
        <w:tabs>
          <w:tab w:leader="none" w:pos="190" w:val="left"/>
        </w:tabs>
        <w:numPr>
          <w:ilvl w:val="0"/>
          <w:numId w:val="78"/>
        </w:numPr>
        <w:rPr>
          <w:rFonts w:ascii="Arial" w:cs="Arial" w:eastAsia="Arial" w:hAnsi="Arial"/>
          <w:sz w:val="16"/>
          <w:szCs w:val="16"/>
          <w:color w:val="0956FF"/>
        </w:rPr>
      </w:pPr>
      <w:r>
        <w:rPr>
          <w:rFonts w:ascii="Arial" w:cs="Arial" w:eastAsia="Arial" w:hAnsi="Arial"/>
          <w:sz w:val="16"/>
          <w:szCs w:val="16"/>
          <w:color w:val="auto"/>
        </w:rPr>
        <w:t>Reviews and approves individual targets and actual compensation for our most senior leaders</w:t>
      </w:r>
    </w:p>
    <w:p>
      <w:pPr>
        <w:spacing w:after="0" w:line="13" w:lineRule="exact"/>
        <w:rPr>
          <w:rFonts w:ascii="Arial" w:cs="Arial" w:eastAsia="Arial" w:hAnsi="Arial"/>
          <w:sz w:val="16"/>
          <w:szCs w:val="16"/>
          <w:color w:val="0956FF"/>
        </w:rPr>
      </w:pPr>
    </w:p>
    <w:p>
      <w:pPr>
        <w:ind w:left="190" w:right="360" w:hanging="190"/>
        <w:spacing w:after="0" w:line="281" w:lineRule="auto"/>
        <w:tabs>
          <w:tab w:leader="none" w:pos="190" w:val="left"/>
        </w:tabs>
        <w:numPr>
          <w:ilvl w:val="0"/>
          <w:numId w:val="78"/>
        </w:numPr>
        <w:rPr>
          <w:rFonts w:ascii="Arial" w:cs="Arial" w:eastAsia="Arial" w:hAnsi="Arial"/>
          <w:sz w:val="16"/>
          <w:szCs w:val="16"/>
          <w:color w:val="0956FF"/>
        </w:rPr>
      </w:pPr>
      <w:r>
        <w:rPr>
          <w:rFonts w:ascii="Arial" w:cs="Arial" w:eastAsia="Arial" w:hAnsi="Arial"/>
          <w:sz w:val="16"/>
          <w:szCs w:val="16"/>
          <w:color w:val="auto"/>
        </w:rPr>
        <w:t>Ensures compensation aligns with the Company’s corporate goals</w:t>
      </w:r>
    </w:p>
    <w:p>
      <w:pPr>
        <w:spacing w:after="0" w:line="1" w:lineRule="exact"/>
        <w:rPr>
          <w:rFonts w:ascii="Arial" w:cs="Arial" w:eastAsia="Arial" w:hAnsi="Arial"/>
          <w:sz w:val="16"/>
          <w:szCs w:val="16"/>
          <w:color w:val="0956FF"/>
        </w:rPr>
      </w:pPr>
    </w:p>
    <w:p>
      <w:pPr>
        <w:ind w:left="190"/>
        <w:spacing w:after="0"/>
        <w:rPr>
          <w:rFonts w:ascii="Arial" w:cs="Arial" w:eastAsia="Arial" w:hAnsi="Arial"/>
          <w:sz w:val="16"/>
          <w:szCs w:val="16"/>
          <w:color w:val="0956FF"/>
        </w:rPr>
      </w:pPr>
      <w:r>
        <w:rPr>
          <w:rFonts w:ascii="Arial" w:cs="Arial" w:eastAsia="Arial" w:hAnsi="Arial"/>
          <w:sz w:val="16"/>
          <w:szCs w:val="16"/>
          <w:color w:val="auto"/>
        </w:rPr>
        <w:t>and objectives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color w:val="0956FF"/>
        </w:rPr>
        <w:t>Committee Compensation</w:t>
      </w:r>
    </w:p>
    <w:p>
      <w:pPr>
        <w:spacing w:after="0" w:line="5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0956FF"/>
        </w:rPr>
        <w:t>Consultant</w:t>
      </w:r>
    </w:p>
    <w:p>
      <w:pPr>
        <w:spacing w:after="0" w:line="131" w:lineRule="exact"/>
        <w:rPr>
          <w:sz w:val="20"/>
          <w:szCs w:val="20"/>
          <w:color w:val="auto"/>
        </w:rPr>
      </w:pPr>
    </w:p>
    <w:p>
      <w:pPr>
        <w:ind w:left="200" w:right="760" w:hanging="191"/>
        <w:spacing w:after="0" w:line="316" w:lineRule="auto"/>
        <w:tabs>
          <w:tab w:leader="none" w:pos="200" w:val="left"/>
        </w:tabs>
        <w:numPr>
          <w:ilvl w:val="0"/>
          <w:numId w:val="79"/>
        </w:numPr>
        <w:rPr>
          <w:rFonts w:ascii="Arial" w:cs="Arial" w:eastAsia="Arial" w:hAnsi="Arial"/>
          <w:sz w:val="16"/>
          <w:szCs w:val="16"/>
          <w:color w:val="0956FF"/>
        </w:rPr>
      </w:pPr>
      <w:r>
        <w:rPr>
          <w:rFonts w:ascii="Arial" w:cs="Arial" w:eastAsia="Arial" w:hAnsi="Arial"/>
          <w:sz w:val="16"/>
          <w:szCs w:val="16"/>
          <w:color w:val="auto"/>
        </w:rPr>
        <w:t>Assists with peer group selection and analysis</w:t>
      </w:r>
    </w:p>
    <w:p>
      <w:pPr>
        <w:spacing w:after="0" w:line="1" w:lineRule="exact"/>
        <w:rPr>
          <w:rFonts w:ascii="Arial" w:cs="Arial" w:eastAsia="Arial" w:hAnsi="Arial"/>
          <w:sz w:val="16"/>
          <w:szCs w:val="16"/>
          <w:color w:val="0956FF"/>
        </w:rPr>
      </w:pPr>
    </w:p>
    <w:p>
      <w:pPr>
        <w:ind w:left="200" w:right="500" w:hanging="191"/>
        <w:spacing w:after="0" w:line="291" w:lineRule="auto"/>
        <w:tabs>
          <w:tab w:leader="none" w:pos="200" w:val="left"/>
        </w:tabs>
        <w:numPr>
          <w:ilvl w:val="0"/>
          <w:numId w:val="79"/>
        </w:numPr>
        <w:rPr>
          <w:rFonts w:ascii="Arial" w:cs="Arial" w:eastAsia="Arial" w:hAnsi="Arial"/>
          <w:sz w:val="16"/>
          <w:szCs w:val="16"/>
          <w:color w:val="0956FF"/>
        </w:rPr>
      </w:pPr>
      <w:r>
        <w:rPr>
          <w:rFonts w:ascii="Arial" w:cs="Arial" w:eastAsia="Arial" w:hAnsi="Arial"/>
          <w:sz w:val="16"/>
          <w:szCs w:val="16"/>
          <w:color w:val="auto"/>
        </w:rPr>
        <w:t>Advises the Compensation Committee on competitive benchmarking for pay levels, practices, and governance trends</w:t>
      </w:r>
    </w:p>
    <w:p>
      <w:pPr>
        <w:spacing w:after="0" w:line="18" w:lineRule="exact"/>
        <w:rPr>
          <w:rFonts w:ascii="Arial" w:cs="Arial" w:eastAsia="Arial" w:hAnsi="Arial"/>
          <w:sz w:val="16"/>
          <w:szCs w:val="16"/>
          <w:color w:val="0956FF"/>
        </w:rPr>
      </w:pPr>
    </w:p>
    <w:p>
      <w:pPr>
        <w:ind w:left="200" w:right="680" w:hanging="191"/>
        <w:spacing w:after="0" w:line="301" w:lineRule="auto"/>
        <w:tabs>
          <w:tab w:leader="none" w:pos="200" w:val="left"/>
        </w:tabs>
        <w:numPr>
          <w:ilvl w:val="0"/>
          <w:numId w:val="79"/>
        </w:numPr>
        <w:rPr>
          <w:rFonts w:ascii="Arial" w:cs="Arial" w:eastAsia="Arial" w:hAnsi="Arial"/>
          <w:sz w:val="16"/>
          <w:szCs w:val="16"/>
          <w:color w:val="0956FF"/>
        </w:rPr>
      </w:pPr>
      <w:r>
        <w:rPr>
          <w:rFonts w:ascii="Arial" w:cs="Arial" w:eastAsia="Arial" w:hAnsi="Arial"/>
          <w:sz w:val="16"/>
          <w:szCs w:val="16"/>
          <w:color w:val="auto"/>
        </w:rPr>
        <w:t>Reviews and advises on recommendations, plan design, and measures</w:t>
      </w:r>
    </w:p>
    <w:p>
      <w:pPr>
        <w:spacing w:after="0" w:line="771" w:lineRule="exact"/>
        <w:rPr>
          <w:sz w:val="20"/>
          <w:szCs w:val="20"/>
          <w:color w:val="auto"/>
        </w:rPr>
      </w:pPr>
    </w:p>
    <w:p>
      <w:pPr>
        <w:sectPr>
          <w:pgSz w:w="11900" w:h="16838" w:orient="portrait"/>
          <w:cols w:equalWidth="0" w:num="3">
            <w:col w:w="3220" w:space="210"/>
            <w:col w:w="2430" w:space="720"/>
            <w:col w:w="2640"/>
          </w:cols>
          <w:pgMar w:left="1400" w:top="657" w:right="1279" w:bottom="1440" w:gutter="0" w:footer="0" w:header="0"/>
          <w:type w:val="continuous"/>
        </w:sect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and Consultant Independence</w:t>
      </w:r>
    </w:p>
    <w:p>
      <w:pPr>
        <w:spacing w:after="0" w:line="99"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Our Compensation Committee is composed entirely of independent directors as determined by the Board under NYSE and SEC rules, and as defined for various regulatory purposes. Under its charter, the Compensation Committee has the authority to hire outside consultants and advisors at the Company’s expense.</w:t>
      </w:r>
    </w:p>
    <w:p>
      <w:pPr>
        <w:spacing w:after="0" w:line="91"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For 2025, the Committee retained the services of Semler Brossy Consulting Group LLC (“Semler Brossy”), for advice related to the compensation of NEOs and other executive compensation-related matters. Semler Brossy takes direction from, and is solely responsible to, the Committee and does not provide services to management. In 2025, a representative from Semler Brossy attended all Committee meetings, either in person or virtually, consulted with and advised the Compensation Committee members on executive compensation, including the structure and amounts of various pay elements, and developed executive benchmarking data. The Committee is also aided in its deliberations by in-house legal counsel.</w:t>
      </w:r>
    </w:p>
    <w:p>
      <w:pPr>
        <w:sectPr>
          <w:pgSz w:w="11900" w:h="16838" w:orient="portrait"/>
          <w:cols w:equalWidth="0" w:num="1">
            <w:col w:w="9220"/>
          </w:cols>
          <w:pgMar w:left="1400" w:top="65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55</w:t>
      </w:r>
    </w:p>
    <w:p>
      <w:pPr>
        <w:sectPr>
          <w:pgSz w:w="11900" w:h="16838" w:orient="portrait"/>
          <w:cols w:equalWidth="0" w:num="1">
            <w:col w:w="9220"/>
          </w:cols>
          <w:pgMar w:left="1400" w:top="657" w:right="127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The Committee annually reviews the performance of its compensation consultant and considers the following factors when assessing consultant independence in accordance with NYSE standards:</w:t>
      </w:r>
    </w:p>
    <w:p>
      <w:pPr>
        <w:spacing w:after="0" w:line="88" w:lineRule="exact"/>
        <w:rPr>
          <w:sz w:val="20"/>
          <w:szCs w:val="20"/>
          <w:color w:val="auto"/>
        </w:rPr>
      </w:pPr>
    </w:p>
    <w:p>
      <w:pPr>
        <w:ind w:left="200" w:hanging="192"/>
        <w:spacing w:after="0"/>
        <w:tabs>
          <w:tab w:leader="none" w:pos="200" w:val="left"/>
        </w:tabs>
        <w:numPr>
          <w:ilvl w:val="0"/>
          <w:numId w:val="80"/>
        </w:numPr>
        <w:rPr>
          <w:rFonts w:ascii="Arial" w:cs="Arial" w:eastAsia="Arial" w:hAnsi="Arial"/>
          <w:sz w:val="16"/>
          <w:szCs w:val="16"/>
          <w:color w:val="0956FF"/>
        </w:rPr>
      </w:pPr>
      <w:r>
        <w:rPr>
          <w:rFonts w:ascii="Arial" w:cs="Arial" w:eastAsia="Arial" w:hAnsi="Arial"/>
          <w:sz w:val="16"/>
          <w:szCs w:val="16"/>
          <w:color w:val="auto"/>
        </w:rPr>
        <w:t>Services provided to GM management outside the services provided to the Committee;</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80"/>
        </w:numPr>
        <w:rPr>
          <w:rFonts w:ascii="Arial" w:cs="Arial" w:eastAsia="Arial" w:hAnsi="Arial"/>
          <w:sz w:val="16"/>
          <w:szCs w:val="16"/>
          <w:color w:val="0956FF"/>
        </w:rPr>
      </w:pPr>
      <w:r>
        <w:rPr>
          <w:rFonts w:ascii="Arial" w:cs="Arial" w:eastAsia="Arial" w:hAnsi="Arial"/>
          <w:sz w:val="16"/>
          <w:szCs w:val="16"/>
          <w:color w:val="auto"/>
        </w:rPr>
        <w:t>Fees paid as a percentage of the compensation consultant’s total revenue;</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80"/>
        </w:numPr>
        <w:rPr>
          <w:rFonts w:ascii="Arial" w:cs="Arial" w:eastAsia="Arial" w:hAnsi="Arial"/>
          <w:sz w:val="16"/>
          <w:szCs w:val="16"/>
          <w:color w:val="0956FF"/>
        </w:rPr>
      </w:pPr>
      <w:r>
        <w:rPr>
          <w:rFonts w:ascii="Arial" w:cs="Arial" w:eastAsia="Arial" w:hAnsi="Arial"/>
          <w:sz w:val="16"/>
          <w:szCs w:val="16"/>
          <w:color w:val="auto"/>
        </w:rPr>
        <w:t>Policies and procedures designed to prevent conflicts of interest;</w:t>
      </w:r>
    </w:p>
    <w:p>
      <w:pPr>
        <w:spacing w:after="0" w:line="72" w:lineRule="exact"/>
        <w:rPr>
          <w:rFonts w:ascii="Arial" w:cs="Arial" w:eastAsia="Arial" w:hAnsi="Arial"/>
          <w:sz w:val="16"/>
          <w:szCs w:val="16"/>
          <w:color w:val="0956FF"/>
        </w:rPr>
      </w:pPr>
    </w:p>
    <w:p>
      <w:pPr>
        <w:ind w:left="200" w:hanging="192"/>
        <w:spacing w:after="0"/>
        <w:tabs>
          <w:tab w:leader="none" w:pos="200" w:val="left"/>
        </w:tabs>
        <w:numPr>
          <w:ilvl w:val="0"/>
          <w:numId w:val="80"/>
        </w:numPr>
        <w:rPr>
          <w:rFonts w:ascii="Arial" w:cs="Arial" w:eastAsia="Arial" w:hAnsi="Arial"/>
          <w:sz w:val="16"/>
          <w:szCs w:val="16"/>
          <w:color w:val="0956FF"/>
        </w:rPr>
      </w:pPr>
      <w:r>
        <w:rPr>
          <w:rFonts w:ascii="Arial" w:cs="Arial" w:eastAsia="Arial" w:hAnsi="Arial"/>
          <w:sz w:val="16"/>
          <w:szCs w:val="16"/>
          <w:color w:val="auto"/>
        </w:rPr>
        <w:t>Any business or personal relationships between members of the Committee and the compensation consultant;</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80"/>
        </w:numPr>
        <w:rPr>
          <w:rFonts w:ascii="Arial" w:cs="Arial" w:eastAsia="Arial" w:hAnsi="Arial"/>
          <w:sz w:val="16"/>
          <w:szCs w:val="16"/>
          <w:color w:val="0956FF"/>
        </w:rPr>
      </w:pPr>
      <w:r>
        <w:rPr>
          <w:rFonts w:ascii="Arial" w:cs="Arial" w:eastAsia="Arial" w:hAnsi="Arial"/>
          <w:sz w:val="16"/>
          <w:szCs w:val="16"/>
          <w:color w:val="auto"/>
        </w:rPr>
        <w:t>GM stock ownership by employees of the compensation consultant; and</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80"/>
        </w:numPr>
        <w:rPr>
          <w:rFonts w:ascii="Arial" w:cs="Arial" w:eastAsia="Arial" w:hAnsi="Arial"/>
          <w:sz w:val="16"/>
          <w:szCs w:val="16"/>
          <w:color w:val="0956FF"/>
        </w:rPr>
      </w:pPr>
      <w:r>
        <w:rPr>
          <w:rFonts w:ascii="Arial" w:cs="Arial" w:eastAsia="Arial" w:hAnsi="Arial"/>
          <w:sz w:val="16"/>
          <w:szCs w:val="16"/>
          <w:color w:val="auto"/>
        </w:rPr>
        <w:t>Any business or personal relationships between GM and the compensation consultant.</w:t>
      </w:r>
    </w:p>
    <w:p>
      <w:pPr>
        <w:spacing w:after="0" w:line="181" w:lineRule="exact"/>
        <w:rPr>
          <w:sz w:val="20"/>
          <w:szCs w:val="20"/>
          <w:color w:val="auto"/>
        </w:rPr>
      </w:pPr>
    </w:p>
    <w:p>
      <w:pPr>
        <w:ind w:right="800"/>
        <w:spacing w:after="0" w:line="321" w:lineRule="auto"/>
        <w:rPr>
          <w:sz w:val="20"/>
          <w:szCs w:val="20"/>
          <w:color w:val="auto"/>
        </w:rPr>
      </w:pPr>
      <w:r>
        <w:rPr>
          <w:rFonts w:ascii="Arial" w:cs="Arial" w:eastAsia="Arial" w:hAnsi="Arial"/>
          <w:sz w:val="16"/>
          <w:szCs w:val="16"/>
          <w:color w:val="auto"/>
        </w:rPr>
        <w:t>After reviewing the performance and independence of its consultant, the Committee determined Semler Brossy was independent based on the standards above.</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Peer Group</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Peer Group for 2025-2027 LTIP Performance</w:t>
      </w:r>
    </w:p>
    <w:p>
      <w:pPr>
        <w:spacing w:after="0" w:line="99"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The Compensation Committee uses the following OEMs in the Dow Jones Automobiles &amp; Parts Titans 30 Index as the peer group for evaluating performance under the 2025–2027 PSU awards. These companies represent our global competition and are subject to similar macroeconomic and industry forces. For the 2025–2027 performance period, the Company’s performance under each PSU performance measure is evaluated on a relative basis against this peer group.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shd w:val="clear" w:color="auto" w:fill="ECEBEB"/>
          </w:tcPr>
          <w:p>
            <w:pPr>
              <w:spacing w:after="0"/>
              <w:rPr>
                <w:sz w:val="14"/>
                <w:szCs w:val="14"/>
                <w:color w:val="auto"/>
              </w:rPr>
            </w:pPr>
          </w:p>
        </w:tc>
        <w:tc>
          <w:tcPr>
            <w:tcW w:w="2860" w:type="dxa"/>
            <w:vAlign w:val="bottom"/>
            <w:shd w:val="clear" w:color="auto" w:fill="ECEBEB"/>
          </w:tcPr>
          <w:p>
            <w:pPr>
              <w:ind w:left="1880"/>
              <w:spacing w:after="0"/>
              <w:rPr>
                <w:sz w:val="20"/>
                <w:szCs w:val="20"/>
                <w:color w:val="auto"/>
              </w:rPr>
            </w:pPr>
            <w:r>
              <w:rPr>
                <w:rFonts w:ascii="Arial" w:cs="Arial" w:eastAsia="Arial" w:hAnsi="Arial"/>
                <w:sz w:val="9"/>
                <w:szCs w:val="9"/>
                <w:color w:val="auto"/>
              </w:rPr>
              <w:t>(1)</w:t>
            </w:r>
          </w:p>
        </w:tc>
        <w:tc>
          <w:tcPr>
            <w:tcW w:w="3540" w:type="dxa"/>
            <w:vAlign w:val="bottom"/>
            <w:shd w:val="clear" w:color="auto" w:fill="ECEBEB"/>
          </w:tcPr>
          <w:p>
            <w:pPr>
              <w:spacing w:after="0"/>
              <w:rPr>
                <w:sz w:val="14"/>
                <w:szCs w:val="14"/>
                <w:color w:val="auto"/>
              </w:rPr>
            </w:pPr>
          </w:p>
        </w:tc>
      </w:tr>
      <w:tr>
        <w:trPr>
          <w:trHeight w:val="148"/>
        </w:trPr>
        <w:tc>
          <w:tcPr>
            <w:tcW w:w="5540" w:type="dxa"/>
            <w:vAlign w:val="bottom"/>
            <w:tcBorders>
              <w:bottom w:val="single" w:sz="8" w:color="0956FF"/>
            </w:tcBorders>
            <w:gridSpan w:val="2"/>
            <w:shd w:val="clear" w:color="auto" w:fill="ECEBEB"/>
          </w:tcPr>
          <w:p>
            <w:pPr>
              <w:ind w:left="60"/>
              <w:spacing w:after="0" w:line="149" w:lineRule="exact"/>
              <w:rPr>
                <w:sz w:val="20"/>
                <w:szCs w:val="20"/>
                <w:color w:val="auto"/>
              </w:rPr>
            </w:pPr>
            <w:r>
              <w:rPr>
                <w:rFonts w:ascii="Arial" w:cs="Arial" w:eastAsia="Arial" w:hAnsi="Arial"/>
                <w:sz w:val="14"/>
                <w:szCs w:val="14"/>
                <w:b w:val="1"/>
                <w:bCs w:val="1"/>
                <w:color w:val="auto"/>
              </w:rPr>
              <w:t>Dow Jones Automobiles &amp; Parts Titans 30 Index – OEM Peer Group</w:t>
            </w:r>
          </w:p>
        </w:tc>
        <w:tc>
          <w:tcPr>
            <w:tcW w:w="3540" w:type="dxa"/>
            <w:vAlign w:val="bottom"/>
            <w:tcBorders>
              <w:bottom w:val="single" w:sz="8" w:color="0956FF"/>
            </w:tcBorders>
            <w:shd w:val="clear" w:color="auto" w:fill="ECEBEB"/>
          </w:tcPr>
          <w:p>
            <w:pPr>
              <w:spacing w:after="0"/>
              <w:rPr>
                <w:sz w:val="12"/>
                <w:szCs w:val="12"/>
                <w:color w:val="auto"/>
              </w:rPr>
            </w:pPr>
          </w:p>
        </w:tc>
      </w:tr>
      <w:tr>
        <w:trPr>
          <w:trHeight w:val="288"/>
        </w:trPr>
        <w:tc>
          <w:tcPr>
            <w:tcW w:w="2680" w:type="dxa"/>
            <w:vAlign w:val="bottom"/>
          </w:tcPr>
          <w:p>
            <w:pPr>
              <w:ind w:left="60"/>
              <w:spacing w:after="0"/>
              <w:rPr>
                <w:sz w:val="20"/>
                <w:szCs w:val="20"/>
                <w:color w:val="auto"/>
              </w:rPr>
            </w:pPr>
            <w:r>
              <w:rPr>
                <w:rFonts w:ascii="Arial" w:cs="Arial" w:eastAsia="Arial" w:hAnsi="Arial"/>
                <w:sz w:val="16"/>
                <w:szCs w:val="16"/>
                <w:color w:val="auto"/>
              </w:rPr>
              <w:t>Bayerische Motoren Werke AG</w:t>
            </w:r>
          </w:p>
        </w:tc>
        <w:tc>
          <w:tcPr>
            <w:tcW w:w="2860" w:type="dxa"/>
            <w:vAlign w:val="bottom"/>
          </w:tcPr>
          <w:p>
            <w:pPr>
              <w:ind w:left="400"/>
              <w:spacing w:after="0"/>
              <w:rPr>
                <w:sz w:val="20"/>
                <w:szCs w:val="20"/>
                <w:color w:val="auto"/>
              </w:rPr>
            </w:pPr>
            <w:r>
              <w:rPr>
                <w:rFonts w:ascii="Arial" w:cs="Arial" w:eastAsia="Arial" w:hAnsi="Arial"/>
                <w:sz w:val="16"/>
                <w:szCs w:val="16"/>
                <w:color w:val="auto"/>
              </w:rPr>
              <w:t>Mercedes-Benz Group AG</w:t>
            </w:r>
          </w:p>
        </w:tc>
        <w:tc>
          <w:tcPr>
            <w:tcW w:w="3540" w:type="dxa"/>
            <w:vAlign w:val="bottom"/>
          </w:tcPr>
          <w:p>
            <w:pPr>
              <w:ind w:left="560"/>
              <w:spacing w:after="0"/>
              <w:rPr>
                <w:sz w:val="20"/>
                <w:szCs w:val="20"/>
                <w:color w:val="auto"/>
              </w:rPr>
            </w:pPr>
            <w:r>
              <w:rPr>
                <w:rFonts w:ascii="Arial" w:cs="Arial" w:eastAsia="Arial" w:hAnsi="Arial"/>
                <w:sz w:val="16"/>
                <w:szCs w:val="16"/>
                <w:color w:val="auto"/>
              </w:rPr>
              <w:t>Suzuki Motor Corporation</w:t>
            </w:r>
          </w:p>
        </w:tc>
      </w:tr>
      <w:tr>
        <w:trPr>
          <w:trHeight w:val="56"/>
        </w:trPr>
        <w:tc>
          <w:tcPr>
            <w:tcW w:w="2680" w:type="dxa"/>
            <w:vAlign w:val="bottom"/>
            <w:tcBorders>
              <w:bottom w:val="single" w:sz="8" w:color="D8D7D7"/>
            </w:tcBorders>
          </w:tcPr>
          <w:p>
            <w:pPr>
              <w:spacing w:after="0"/>
              <w:rPr>
                <w:sz w:val="4"/>
                <w:szCs w:val="4"/>
                <w:color w:val="auto"/>
              </w:rPr>
            </w:pPr>
          </w:p>
        </w:tc>
        <w:tc>
          <w:tcPr>
            <w:tcW w:w="2860" w:type="dxa"/>
            <w:vAlign w:val="bottom"/>
            <w:tcBorders>
              <w:bottom w:val="single" w:sz="8" w:color="D8D7D7"/>
            </w:tcBorders>
          </w:tcPr>
          <w:p>
            <w:pPr>
              <w:spacing w:after="0"/>
              <w:rPr>
                <w:sz w:val="4"/>
                <w:szCs w:val="4"/>
                <w:color w:val="auto"/>
              </w:rPr>
            </w:pPr>
          </w:p>
        </w:tc>
        <w:tc>
          <w:tcPr>
            <w:tcW w:w="3540" w:type="dxa"/>
            <w:vAlign w:val="bottom"/>
            <w:tcBorders>
              <w:bottom w:val="single" w:sz="8" w:color="D8D7D7"/>
            </w:tcBorders>
          </w:tcPr>
          <w:p>
            <w:pPr>
              <w:spacing w:after="0"/>
              <w:rPr>
                <w:sz w:val="4"/>
                <w:szCs w:val="4"/>
                <w:color w:val="auto"/>
              </w:rPr>
            </w:pPr>
          </w:p>
        </w:tc>
      </w:tr>
      <w:tr>
        <w:trPr>
          <w:trHeight w:val="288"/>
        </w:trPr>
        <w:tc>
          <w:tcPr>
            <w:tcW w:w="2680" w:type="dxa"/>
            <w:vAlign w:val="bottom"/>
          </w:tcPr>
          <w:p>
            <w:pPr>
              <w:ind w:left="60"/>
              <w:spacing w:after="0"/>
              <w:rPr>
                <w:sz w:val="20"/>
                <w:szCs w:val="20"/>
                <w:color w:val="auto"/>
              </w:rPr>
            </w:pPr>
            <w:r>
              <w:rPr>
                <w:rFonts w:ascii="Arial" w:cs="Arial" w:eastAsia="Arial" w:hAnsi="Arial"/>
                <w:sz w:val="16"/>
                <w:szCs w:val="16"/>
                <w:color w:val="auto"/>
              </w:rPr>
              <w:t>Ford Motor Company</w:t>
            </w:r>
          </w:p>
        </w:tc>
        <w:tc>
          <w:tcPr>
            <w:tcW w:w="2860" w:type="dxa"/>
            <w:vAlign w:val="bottom"/>
          </w:tcPr>
          <w:p>
            <w:pPr>
              <w:ind w:left="400"/>
              <w:spacing w:after="0"/>
              <w:rPr>
                <w:sz w:val="20"/>
                <w:szCs w:val="20"/>
                <w:color w:val="auto"/>
              </w:rPr>
            </w:pPr>
            <w:r>
              <w:rPr>
                <w:rFonts w:ascii="Arial" w:cs="Arial" w:eastAsia="Arial" w:hAnsi="Arial"/>
                <w:sz w:val="16"/>
                <w:szCs w:val="16"/>
                <w:color w:val="auto"/>
              </w:rPr>
              <w:t>Nissan Motor Co., Ltd.</w:t>
            </w:r>
          </w:p>
        </w:tc>
        <w:tc>
          <w:tcPr>
            <w:tcW w:w="3540" w:type="dxa"/>
            <w:vAlign w:val="bottom"/>
          </w:tcPr>
          <w:p>
            <w:pPr>
              <w:ind w:left="560"/>
              <w:spacing w:after="0"/>
              <w:rPr>
                <w:sz w:val="20"/>
                <w:szCs w:val="20"/>
                <w:color w:val="auto"/>
              </w:rPr>
            </w:pPr>
            <w:r>
              <w:rPr>
                <w:rFonts w:ascii="Arial" w:cs="Arial" w:eastAsia="Arial" w:hAnsi="Arial"/>
                <w:sz w:val="16"/>
                <w:szCs w:val="16"/>
                <w:color w:val="auto"/>
              </w:rPr>
              <w:t>Tesla, Inc.</w:t>
            </w:r>
          </w:p>
        </w:tc>
      </w:tr>
      <w:tr>
        <w:trPr>
          <w:trHeight w:val="56"/>
        </w:trPr>
        <w:tc>
          <w:tcPr>
            <w:tcW w:w="2680" w:type="dxa"/>
            <w:vAlign w:val="bottom"/>
            <w:tcBorders>
              <w:bottom w:val="single" w:sz="8" w:color="D8D7D7"/>
            </w:tcBorders>
          </w:tcPr>
          <w:p>
            <w:pPr>
              <w:spacing w:after="0"/>
              <w:rPr>
                <w:sz w:val="4"/>
                <w:szCs w:val="4"/>
                <w:color w:val="auto"/>
              </w:rPr>
            </w:pPr>
          </w:p>
        </w:tc>
        <w:tc>
          <w:tcPr>
            <w:tcW w:w="2860" w:type="dxa"/>
            <w:vAlign w:val="bottom"/>
            <w:tcBorders>
              <w:bottom w:val="single" w:sz="8" w:color="D8D7D7"/>
            </w:tcBorders>
          </w:tcPr>
          <w:p>
            <w:pPr>
              <w:spacing w:after="0"/>
              <w:rPr>
                <w:sz w:val="4"/>
                <w:szCs w:val="4"/>
                <w:color w:val="auto"/>
              </w:rPr>
            </w:pPr>
          </w:p>
        </w:tc>
        <w:tc>
          <w:tcPr>
            <w:tcW w:w="3540" w:type="dxa"/>
            <w:vAlign w:val="bottom"/>
            <w:tcBorders>
              <w:bottom w:val="single" w:sz="8" w:color="D8D7D7"/>
            </w:tcBorders>
          </w:tcPr>
          <w:p>
            <w:pPr>
              <w:spacing w:after="0"/>
              <w:rPr>
                <w:sz w:val="4"/>
                <w:szCs w:val="4"/>
                <w:color w:val="auto"/>
              </w:rPr>
            </w:pPr>
          </w:p>
        </w:tc>
      </w:tr>
      <w:tr>
        <w:trPr>
          <w:trHeight w:val="289"/>
        </w:trPr>
        <w:tc>
          <w:tcPr>
            <w:tcW w:w="2680" w:type="dxa"/>
            <w:vAlign w:val="bottom"/>
          </w:tcPr>
          <w:p>
            <w:pPr>
              <w:ind w:left="60"/>
              <w:spacing w:after="0"/>
              <w:rPr>
                <w:sz w:val="20"/>
                <w:szCs w:val="20"/>
                <w:color w:val="auto"/>
              </w:rPr>
            </w:pPr>
            <w:r>
              <w:rPr>
                <w:rFonts w:ascii="Arial" w:cs="Arial" w:eastAsia="Arial" w:hAnsi="Arial"/>
                <w:sz w:val="16"/>
                <w:szCs w:val="16"/>
                <w:color w:val="auto"/>
              </w:rPr>
              <w:t>Honda Motor Co., Ltd.</w:t>
            </w:r>
          </w:p>
        </w:tc>
        <w:tc>
          <w:tcPr>
            <w:tcW w:w="2860" w:type="dxa"/>
            <w:vAlign w:val="bottom"/>
          </w:tcPr>
          <w:p>
            <w:pPr>
              <w:ind w:left="400"/>
              <w:spacing w:after="0"/>
              <w:rPr>
                <w:sz w:val="20"/>
                <w:szCs w:val="20"/>
                <w:color w:val="auto"/>
              </w:rPr>
            </w:pPr>
            <w:r>
              <w:rPr>
                <w:rFonts w:ascii="Arial" w:cs="Arial" w:eastAsia="Arial" w:hAnsi="Arial"/>
                <w:sz w:val="16"/>
                <w:szCs w:val="16"/>
                <w:color w:val="auto"/>
              </w:rPr>
              <w:t>Renault SA</w:t>
            </w:r>
          </w:p>
        </w:tc>
        <w:tc>
          <w:tcPr>
            <w:tcW w:w="3540" w:type="dxa"/>
            <w:vAlign w:val="bottom"/>
          </w:tcPr>
          <w:p>
            <w:pPr>
              <w:ind w:left="560"/>
              <w:spacing w:after="0"/>
              <w:rPr>
                <w:sz w:val="20"/>
                <w:szCs w:val="20"/>
                <w:color w:val="auto"/>
              </w:rPr>
            </w:pPr>
            <w:r>
              <w:rPr>
                <w:rFonts w:ascii="Arial" w:cs="Arial" w:eastAsia="Arial" w:hAnsi="Arial"/>
                <w:sz w:val="16"/>
                <w:szCs w:val="16"/>
                <w:color w:val="auto"/>
              </w:rPr>
              <w:t>Toyota Motor Corporation</w:t>
            </w:r>
          </w:p>
        </w:tc>
      </w:tr>
      <w:tr>
        <w:trPr>
          <w:trHeight w:val="56"/>
        </w:trPr>
        <w:tc>
          <w:tcPr>
            <w:tcW w:w="2680" w:type="dxa"/>
            <w:vAlign w:val="bottom"/>
            <w:tcBorders>
              <w:bottom w:val="single" w:sz="8" w:color="D8D7D7"/>
            </w:tcBorders>
          </w:tcPr>
          <w:p>
            <w:pPr>
              <w:spacing w:after="0"/>
              <w:rPr>
                <w:sz w:val="4"/>
                <w:szCs w:val="4"/>
                <w:color w:val="auto"/>
              </w:rPr>
            </w:pPr>
          </w:p>
        </w:tc>
        <w:tc>
          <w:tcPr>
            <w:tcW w:w="2860" w:type="dxa"/>
            <w:vAlign w:val="bottom"/>
            <w:tcBorders>
              <w:bottom w:val="single" w:sz="8" w:color="D8D7D7"/>
            </w:tcBorders>
          </w:tcPr>
          <w:p>
            <w:pPr>
              <w:spacing w:after="0"/>
              <w:rPr>
                <w:sz w:val="4"/>
                <w:szCs w:val="4"/>
                <w:color w:val="auto"/>
              </w:rPr>
            </w:pPr>
          </w:p>
        </w:tc>
        <w:tc>
          <w:tcPr>
            <w:tcW w:w="3540" w:type="dxa"/>
            <w:vAlign w:val="bottom"/>
            <w:tcBorders>
              <w:bottom w:val="single" w:sz="8" w:color="D8D7D7"/>
            </w:tcBorders>
          </w:tcPr>
          <w:p>
            <w:pPr>
              <w:spacing w:after="0"/>
              <w:rPr>
                <w:sz w:val="4"/>
                <w:szCs w:val="4"/>
                <w:color w:val="auto"/>
              </w:rPr>
            </w:pPr>
          </w:p>
        </w:tc>
      </w:tr>
      <w:tr>
        <w:trPr>
          <w:trHeight w:val="289"/>
        </w:trPr>
        <w:tc>
          <w:tcPr>
            <w:tcW w:w="2680" w:type="dxa"/>
            <w:vAlign w:val="bottom"/>
          </w:tcPr>
          <w:p>
            <w:pPr>
              <w:ind w:left="60"/>
              <w:spacing w:after="0"/>
              <w:rPr>
                <w:sz w:val="20"/>
                <w:szCs w:val="20"/>
                <w:color w:val="auto"/>
              </w:rPr>
            </w:pPr>
            <w:r>
              <w:rPr>
                <w:rFonts w:ascii="Arial" w:cs="Arial" w:eastAsia="Arial" w:hAnsi="Arial"/>
                <w:sz w:val="16"/>
                <w:szCs w:val="16"/>
                <w:color w:val="auto"/>
              </w:rPr>
              <w:t>Hyundai Motor Company</w:t>
            </w:r>
          </w:p>
        </w:tc>
        <w:tc>
          <w:tcPr>
            <w:tcW w:w="2860" w:type="dxa"/>
            <w:vAlign w:val="bottom"/>
          </w:tcPr>
          <w:p>
            <w:pPr>
              <w:ind w:left="400"/>
              <w:spacing w:after="0"/>
              <w:rPr>
                <w:sz w:val="20"/>
                <w:szCs w:val="20"/>
                <w:color w:val="auto"/>
              </w:rPr>
            </w:pPr>
            <w:r>
              <w:rPr>
                <w:rFonts w:ascii="Arial" w:cs="Arial" w:eastAsia="Arial" w:hAnsi="Arial"/>
                <w:sz w:val="16"/>
                <w:szCs w:val="16"/>
                <w:color w:val="auto"/>
              </w:rPr>
              <w:t>Stellantis NV</w:t>
            </w:r>
          </w:p>
        </w:tc>
        <w:tc>
          <w:tcPr>
            <w:tcW w:w="3540" w:type="dxa"/>
            <w:vAlign w:val="bottom"/>
          </w:tcPr>
          <w:p>
            <w:pPr>
              <w:ind w:left="560"/>
              <w:spacing w:after="0"/>
              <w:rPr>
                <w:sz w:val="20"/>
                <w:szCs w:val="20"/>
                <w:color w:val="auto"/>
              </w:rPr>
            </w:pPr>
            <w:r>
              <w:rPr>
                <w:rFonts w:ascii="Arial" w:cs="Arial" w:eastAsia="Arial" w:hAnsi="Arial"/>
                <w:sz w:val="16"/>
                <w:szCs w:val="16"/>
                <w:color w:val="auto"/>
              </w:rPr>
              <w:t>Volkswagen AG</w:t>
            </w:r>
          </w:p>
        </w:tc>
      </w:tr>
      <w:tr>
        <w:trPr>
          <w:trHeight w:val="56"/>
        </w:trPr>
        <w:tc>
          <w:tcPr>
            <w:tcW w:w="2680" w:type="dxa"/>
            <w:vAlign w:val="bottom"/>
            <w:tcBorders>
              <w:bottom w:val="single" w:sz="8" w:color="D8D7D7"/>
            </w:tcBorders>
          </w:tcPr>
          <w:p>
            <w:pPr>
              <w:spacing w:after="0"/>
              <w:rPr>
                <w:sz w:val="4"/>
                <w:szCs w:val="4"/>
                <w:color w:val="auto"/>
              </w:rPr>
            </w:pPr>
          </w:p>
        </w:tc>
        <w:tc>
          <w:tcPr>
            <w:tcW w:w="2860" w:type="dxa"/>
            <w:vAlign w:val="bottom"/>
            <w:tcBorders>
              <w:bottom w:val="single" w:sz="8" w:color="D8D7D7"/>
            </w:tcBorders>
          </w:tcPr>
          <w:p>
            <w:pPr>
              <w:spacing w:after="0"/>
              <w:rPr>
                <w:sz w:val="4"/>
                <w:szCs w:val="4"/>
                <w:color w:val="auto"/>
              </w:rPr>
            </w:pPr>
          </w:p>
        </w:tc>
        <w:tc>
          <w:tcPr>
            <w:tcW w:w="3540" w:type="dxa"/>
            <w:vAlign w:val="bottom"/>
            <w:tcBorders>
              <w:bottom w:val="single" w:sz="8" w:color="D8D7D7"/>
            </w:tcBorders>
          </w:tcPr>
          <w:p>
            <w:pPr>
              <w:spacing w:after="0"/>
              <w:rPr>
                <w:sz w:val="4"/>
                <w:szCs w:val="4"/>
                <w:color w:val="auto"/>
              </w:rPr>
            </w:pPr>
          </w:p>
        </w:tc>
      </w:tr>
      <w:tr>
        <w:trPr>
          <w:trHeight w:val="288"/>
        </w:trPr>
        <w:tc>
          <w:tcPr>
            <w:tcW w:w="2680" w:type="dxa"/>
            <w:vAlign w:val="bottom"/>
          </w:tcPr>
          <w:p>
            <w:pPr>
              <w:ind w:left="60"/>
              <w:spacing w:after="0"/>
              <w:rPr>
                <w:sz w:val="20"/>
                <w:szCs w:val="20"/>
                <w:color w:val="auto"/>
              </w:rPr>
            </w:pPr>
            <w:r>
              <w:rPr>
                <w:rFonts w:ascii="Arial" w:cs="Arial" w:eastAsia="Arial" w:hAnsi="Arial"/>
                <w:sz w:val="16"/>
                <w:szCs w:val="16"/>
                <w:color w:val="auto"/>
              </w:rPr>
              <w:t>Kia Corporation</w:t>
            </w:r>
          </w:p>
        </w:tc>
        <w:tc>
          <w:tcPr>
            <w:tcW w:w="2860" w:type="dxa"/>
            <w:vAlign w:val="bottom"/>
          </w:tcPr>
          <w:p>
            <w:pPr>
              <w:ind w:left="400"/>
              <w:spacing w:after="0"/>
              <w:rPr>
                <w:sz w:val="20"/>
                <w:szCs w:val="20"/>
                <w:color w:val="auto"/>
              </w:rPr>
            </w:pPr>
            <w:r>
              <w:rPr>
                <w:rFonts w:ascii="Arial" w:cs="Arial" w:eastAsia="Arial" w:hAnsi="Arial"/>
                <w:sz w:val="16"/>
                <w:szCs w:val="16"/>
                <w:color w:val="auto"/>
              </w:rPr>
              <w:t>Subaru Corporation</w:t>
            </w:r>
          </w:p>
        </w:tc>
        <w:tc>
          <w:tcPr>
            <w:tcW w:w="3540" w:type="dxa"/>
            <w:vAlign w:val="bottom"/>
          </w:tcPr>
          <w:p>
            <w:pPr>
              <w:spacing w:after="0"/>
              <w:rPr>
                <w:sz w:val="24"/>
                <w:szCs w:val="24"/>
                <w:color w:val="auto"/>
              </w:rPr>
            </w:pPr>
          </w:p>
        </w:tc>
      </w:tr>
    </w:tbl>
    <w:p>
      <w:pPr>
        <w:spacing w:after="0" w:line="155" w:lineRule="exact"/>
        <w:rPr>
          <w:sz w:val="20"/>
          <w:szCs w:val="20"/>
          <w:color w:val="auto"/>
        </w:rPr>
      </w:pPr>
    </w:p>
    <w:p>
      <w:pPr>
        <w:ind w:left="200" w:right="460" w:hanging="192"/>
        <w:spacing w:after="0" w:line="259" w:lineRule="auto"/>
        <w:tabs>
          <w:tab w:leader="none" w:pos="200" w:val="left"/>
        </w:tabs>
        <w:numPr>
          <w:ilvl w:val="0"/>
          <w:numId w:val="81"/>
        </w:numPr>
        <w:rPr>
          <w:rFonts w:ascii="Arial" w:cs="Arial" w:eastAsia="Arial" w:hAnsi="Arial"/>
          <w:sz w:val="19"/>
          <w:szCs w:val="19"/>
          <w:color w:val="auto"/>
          <w:vertAlign w:val="superscript"/>
        </w:rPr>
      </w:pPr>
      <w:r>
        <w:rPr>
          <w:rFonts w:ascii="Arial" w:cs="Arial" w:eastAsia="Arial" w:hAnsi="Arial"/>
          <w:sz w:val="14"/>
          <w:szCs w:val="14"/>
          <w:color w:val="auto"/>
        </w:rPr>
        <w:t>GM is a member of the Dow Jones Automobiles &amp; Parts Titans 30 Index. Our performance is determined on a continuous ranking for performance relative to the OEM peer group.</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Peer Group for Overall Compensation Benchmarking</w:t>
      </w:r>
    </w:p>
    <w:p>
      <w:pPr>
        <w:spacing w:after="0" w:line="112"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The Compensation Committee annually reviews its peer group for overall compensation benchmarking comparisons (see table on the following page) and makes updates as needed to align with the established criteria and the Company’s strategy. We use this peer group to gather competitive market data on executive pay levels, executive compensation program design, and evolving trends in pay practices. This peer group is intended to reflect the full spectrum of industries from which we source talent to support the execution of our transformation strategy. Advancing our strategic priorities — particularly our S&amp;S and AV strategies — increasingly demands that we recruit technology talent from outside our direct industry. As a result, our peer group includes peers from both our direct industry, as well as from the technology industry with which we increasingly compete for talent. The Committee believes that in order to remain highly competitive and to attract the best talent, it is important to consider this range of peers.</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9080"/>
          </w:cols>
          <w:pgMar w:left="1400" w:top="657" w:right="141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1100"/>
        <w:spacing w:after="0" w:line="321" w:lineRule="auto"/>
        <w:rPr>
          <w:sz w:val="20"/>
          <w:szCs w:val="20"/>
          <w:color w:val="auto"/>
        </w:rPr>
      </w:pPr>
      <w:r>
        <w:rPr>
          <w:rFonts w:ascii="Arial" w:cs="Arial" w:eastAsia="Arial" w:hAnsi="Arial"/>
          <w:sz w:val="16"/>
          <w:szCs w:val="16"/>
          <w:color w:val="auto"/>
        </w:rPr>
        <w:t>The Committee considered the following factors when selecting the peer group used to help establish 2025 target compensation levels for our NEOs:</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956FF"/>
        </w:rPr>
        <w:t>Set an Initial List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956FF"/>
        </w:rPr>
        <w:t>Companies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Attributes:</w:t>
      </w:r>
    </w:p>
    <w:p>
      <w:pPr>
        <w:spacing w:after="0" w:line="95" w:lineRule="exact"/>
        <w:rPr>
          <w:sz w:val="20"/>
          <w:szCs w:val="20"/>
          <w:color w:val="auto"/>
        </w:rPr>
      </w:pPr>
    </w:p>
    <w:p>
      <w:pPr>
        <w:ind w:left="500" w:right="580" w:hanging="188"/>
        <w:spacing w:after="0" w:line="316" w:lineRule="auto"/>
        <w:tabs>
          <w:tab w:leader="none" w:pos="500" w:val="left"/>
        </w:tabs>
        <w:numPr>
          <w:ilvl w:val="0"/>
          <w:numId w:val="82"/>
        </w:numPr>
        <w:rPr>
          <w:rFonts w:ascii="Arial" w:cs="Arial" w:eastAsia="Arial" w:hAnsi="Arial"/>
          <w:sz w:val="16"/>
          <w:szCs w:val="16"/>
          <w:color w:val="0956FF"/>
        </w:rPr>
      </w:pPr>
      <w:r>
        <w:rPr>
          <w:rFonts w:ascii="Arial" w:cs="Arial" w:eastAsia="Arial" w:hAnsi="Arial"/>
          <w:sz w:val="16"/>
          <w:szCs w:val="16"/>
          <w:color w:val="auto"/>
        </w:rPr>
        <w:t>Traded on a major U.S. stock exchange</w:t>
      </w:r>
    </w:p>
    <w:p>
      <w:pPr>
        <w:spacing w:after="0" w:line="1" w:lineRule="exact"/>
        <w:rPr>
          <w:rFonts w:ascii="Arial" w:cs="Arial" w:eastAsia="Arial" w:hAnsi="Arial"/>
          <w:sz w:val="16"/>
          <w:szCs w:val="16"/>
          <w:color w:val="0956FF"/>
        </w:rPr>
      </w:pPr>
    </w:p>
    <w:p>
      <w:pPr>
        <w:ind w:left="500" w:right="640" w:hanging="188"/>
        <w:spacing w:after="0" w:line="292" w:lineRule="auto"/>
        <w:tabs>
          <w:tab w:leader="none" w:pos="500" w:val="left"/>
        </w:tabs>
        <w:numPr>
          <w:ilvl w:val="0"/>
          <w:numId w:val="82"/>
        </w:numPr>
        <w:rPr>
          <w:rFonts w:ascii="Arial" w:cs="Arial" w:eastAsia="Arial" w:hAnsi="Arial"/>
          <w:sz w:val="16"/>
          <w:szCs w:val="16"/>
          <w:color w:val="0956FF"/>
        </w:rPr>
      </w:pPr>
      <w:r>
        <w:rPr>
          <w:rFonts w:ascii="Arial" w:cs="Arial" w:eastAsia="Arial" w:hAnsi="Arial"/>
          <w:sz w:val="16"/>
          <w:szCs w:val="16"/>
          <w:color w:val="auto"/>
        </w:rPr>
        <w:t>GICS Industry: manufacturers and technology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jc w:val="center"/>
        <w:ind w:right="357"/>
        <w:spacing w:after="0"/>
        <w:rPr>
          <w:sz w:val="20"/>
          <w:szCs w:val="20"/>
          <w:color w:val="auto"/>
        </w:rPr>
      </w:pPr>
      <w:r>
        <w:rPr>
          <w:rFonts w:ascii="Arial" w:cs="Arial" w:eastAsia="Arial" w:hAnsi="Arial"/>
          <w:sz w:val="17"/>
          <w:szCs w:val="17"/>
          <w:b w:val="1"/>
          <w:bCs w:val="1"/>
          <w:color w:val="0956FF"/>
        </w:rPr>
        <w:t>Screen Initial List with</w:t>
      </w:r>
    </w:p>
    <w:p>
      <w:pPr>
        <w:spacing w:after="0" w:line="39" w:lineRule="exact"/>
        <w:rPr>
          <w:sz w:val="20"/>
          <w:szCs w:val="20"/>
          <w:color w:val="auto"/>
        </w:rPr>
      </w:pPr>
    </w:p>
    <w:p>
      <w:pPr>
        <w:jc w:val="center"/>
        <w:ind w:right="317"/>
        <w:spacing w:after="0"/>
        <w:rPr>
          <w:sz w:val="20"/>
          <w:szCs w:val="20"/>
          <w:color w:val="auto"/>
        </w:rPr>
      </w:pPr>
      <w:r>
        <w:rPr>
          <w:rFonts w:ascii="Arial" w:cs="Arial" w:eastAsia="Arial" w:hAnsi="Arial"/>
          <w:sz w:val="18"/>
          <w:szCs w:val="18"/>
          <w:b w:val="1"/>
          <w:bCs w:val="1"/>
          <w:color w:val="0956FF"/>
        </w:rPr>
        <w:t>Established Financial</w:t>
      </w:r>
    </w:p>
    <w:p>
      <w:pPr>
        <w:spacing w:after="0" w:line="9" w:lineRule="exact"/>
        <w:rPr>
          <w:sz w:val="20"/>
          <w:szCs w:val="20"/>
          <w:color w:val="auto"/>
        </w:rPr>
      </w:pPr>
    </w:p>
    <w:p>
      <w:pPr>
        <w:jc w:val="center"/>
        <w:ind w:right="377"/>
        <w:spacing w:after="0"/>
        <w:rPr>
          <w:sz w:val="20"/>
          <w:szCs w:val="20"/>
          <w:color w:val="auto"/>
        </w:rPr>
      </w:pPr>
      <w:r>
        <w:rPr>
          <w:rFonts w:ascii="Arial" w:cs="Arial" w:eastAsia="Arial" w:hAnsi="Arial"/>
          <w:sz w:val="18"/>
          <w:szCs w:val="18"/>
          <w:b w:val="1"/>
          <w:bCs w:val="1"/>
          <w:color w:val="0956FF"/>
        </w:rPr>
        <w:t>Criteria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Screen:</w:t>
      </w:r>
    </w:p>
    <w:p>
      <w:pPr>
        <w:spacing w:after="0" w:line="95" w:lineRule="exact"/>
        <w:rPr>
          <w:sz w:val="20"/>
          <w:szCs w:val="20"/>
          <w:color w:val="auto"/>
        </w:rPr>
      </w:pPr>
    </w:p>
    <w:p>
      <w:pPr>
        <w:ind w:left="200" w:hanging="196"/>
        <w:spacing w:after="0"/>
        <w:tabs>
          <w:tab w:leader="none" w:pos="200" w:val="left"/>
        </w:tabs>
        <w:numPr>
          <w:ilvl w:val="0"/>
          <w:numId w:val="83"/>
        </w:numPr>
        <w:rPr>
          <w:rFonts w:ascii="Arial" w:cs="Arial" w:eastAsia="Arial" w:hAnsi="Arial"/>
          <w:sz w:val="16"/>
          <w:szCs w:val="16"/>
          <w:color w:val="0956FF"/>
        </w:rPr>
      </w:pPr>
      <w:r>
        <w:rPr>
          <w:rFonts w:ascii="Arial" w:cs="Arial" w:eastAsia="Arial" w:hAnsi="Arial"/>
          <w:sz w:val="16"/>
          <w:szCs w:val="16"/>
          <w:color w:val="auto"/>
        </w:rPr>
        <w:t>Revenue &gt; $25B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Screens:</w:t>
      </w:r>
    </w:p>
    <w:p>
      <w:pPr>
        <w:spacing w:after="0" w:line="108" w:lineRule="exact"/>
        <w:rPr>
          <w:sz w:val="20"/>
          <w:szCs w:val="20"/>
          <w:color w:val="auto"/>
        </w:rPr>
      </w:pPr>
    </w:p>
    <w:p>
      <w:pPr>
        <w:ind w:left="200" w:right="1057" w:hanging="196"/>
        <w:spacing w:after="0" w:line="316" w:lineRule="auto"/>
        <w:tabs>
          <w:tab w:leader="none" w:pos="200" w:val="left"/>
        </w:tabs>
        <w:numPr>
          <w:ilvl w:val="0"/>
          <w:numId w:val="84"/>
        </w:numPr>
        <w:rPr>
          <w:rFonts w:ascii="Arial" w:cs="Arial" w:eastAsia="Arial" w:hAnsi="Arial"/>
          <w:sz w:val="16"/>
          <w:szCs w:val="16"/>
          <w:color w:val="0956FF"/>
        </w:rPr>
      </w:pPr>
      <w:r>
        <w:rPr>
          <w:rFonts w:ascii="Arial" w:cs="Arial" w:eastAsia="Arial" w:hAnsi="Arial"/>
          <w:sz w:val="16"/>
          <w:szCs w:val="16"/>
          <w:color w:val="auto"/>
        </w:rPr>
        <w:t>Capital-intensive operations</w:t>
      </w:r>
    </w:p>
    <w:p>
      <w:pPr>
        <w:spacing w:after="0" w:line="1" w:lineRule="exact"/>
        <w:rPr>
          <w:rFonts w:ascii="Arial" w:cs="Arial" w:eastAsia="Arial" w:hAnsi="Arial"/>
          <w:sz w:val="16"/>
          <w:szCs w:val="16"/>
          <w:color w:val="0956FF"/>
        </w:rPr>
      </w:pPr>
    </w:p>
    <w:p>
      <w:pPr>
        <w:ind w:left="200" w:right="737" w:hanging="196"/>
        <w:spacing w:after="0" w:line="304" w:lineRule="auto"/>
        <w:tabs>
          <w:tab w:leader="none" w:pos="200" w:val="left"/>
        </w:tabs>
        <w:numPr>
          <w:ilvl w:val="0"/>
          <w:numId w:val="84"/>
        </w:numPr>
        <w:rPr>
          <w:rFonts w:ascii="Arial" w:cs="Arial" w:eastAsia="Arial" w:hAnsi="Arial"/>
          <w:sz w:val="16"/>
          <w:szCs w:val="16"/>
          <w:color w:val="0956FF"/>
        </w:rPr>
      </w:pPr>
      <w:r>
        <w:rPr>
          <w:rFonts w:ascii="Arial" w:cs="Arial" w:eastAsia="Arial" w:hAnsi="Arial"/>
          <w:sz w:val="16"/>
          <w:szCs w:val="16"/>
          <w:color w:val="auto"/>
        </w:rPr>
        <w:t>Significant international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jc w:val="center"/>
        <w:ind w:left="-82"/>
        <w:spacing w:after="0" w:line="273" w:lineRule="auto"/>
        <w:rPr>
          <w:sz w:val="20"/>
          <w:szCs w:val="20"/>
          <w:color w:val="auto"/>
        </w:rPr>
      </w:pPr>
      <w:r>
        <w:rPr>
          <w:rFonts w:ascii="Arial" w:cs="Arial" w:eastAsia="Arial" w:hAnsi="Arial"/>
          <w:sz w:val="18"/>
          <w:szCs w:val="18"/>
          <w:b w:val="1"/>
          <w:bCs w:val="1"/>
          <w:color w:val="0956FF"/>
        </w:rPr>
        <w:t>Apply Refining Criteria to Select the Final Peer Group</w:t>
      </w:r>
    </w:p>
    <w:p>
      <w:pPr>
        <w:spacing w:after="0" w:line="50" w:lineRule="exact"/>
        <w:rPr>
          <w:sz w:val="20"/>
          <w:szCs w:val="20"/>
          <w:color w:val="auto"/>
        </w:rPr>
      </w:pPr>
    </w:p>
    <w:p>
      <w:pPr>
        <w:jc w:val="center"/>
        <w:ind w:right="1097"/>
        <w:spacing w:after="0"/>
        <w:rPr>
          <w:sz w:val="20"/>
          <w:szCs w:val="20"/>
          <w:color w:val="auto"/>
        </w:rPr>
      </w:pPr>
      <w:r>
        <w:rPr>
          <w:rFonts w:ascii="Arial" w:cs="Arial" w:eastAsia="Arial" w:hAnsi="Arial"/>
          <w:sz w:val="17"/>
          <w:szCs w:val="17"/>
          <w:b w:val="1"/>
          <w:bCs w:val="1"/>
          <w:color w:val="auto"/>
        </w:rPr>
        <w:t>Refining Criteria:</w:t>
      </w:r>
    </w:p>
    <w:p>
      <w:pPr>
        <w:spacing w:after="0" w:line="106" w:lineRule="exact"/>
        <w:rPr>
          <w:sz w:val="20"/>
          <w:szCs w:val="20"/>
          <w:color w:val="auto"/>
        </w:rPr>
      </w:pPr>
    </w:p>
    <w:p>
      <w:pPr>
        <w:ind w:left="203" w:hanging="203"/>
        <w:spacing w:after="0"/>
        <w:tabs>
          <w:tab w:leader="none" w:pos="203" w:val="left"/>
        </w:tabs>
        <w:numPr>
          <w:ilvl w:val="0"/>
          <w:numId w:val="85"/>
        </w:numPr>
        <w:rPr>
          <w:rFonts w:ascii="Arial" w:cs="Arial" w:eastAsia="Arial" w:hAnsi="Arial"/>
          <w:sz w:val="16"/>
          <w:szCs w:val="16"/>
          <w:color w:val="0956FF"/>
        </w:rPr>
      </w:pPr>
      <w:r>
        <w:rPr>
          <w:rFonts w:ascii="Arial" w:cs="Arial" w:eastAsia="Arial" w:hAnsi="Arial"/>
          <w:sz w:val="16"/>
          <w:szCs w:val="16"/>
          <w:color w:val="auto"/>
        </w:rPr>
        <w:t>Technology-focused</w:t>
      </w:r>
    </w:p>
    <w:p>
      <w:pPr>
        <w:spacing w:after="0" w:line="86" w:lineRule="exact"/>
        <w:rPr>
          <w:rFonts w:ascii="Arial" w:cs="Arial" w:eastAsia="Arial" w:hAnsi="Arial"/>
          <w:sz w:val="16"/>
          <w:szCs w:val="16"/>
          <w:color w:val="0956FF"/>
        </w:rPr>
      </w:pPr>
    </w:p>
    <w:p>
      <w:pPr>
        <w:ind w:left="203" w:right="1320" w:hanging="203"/>
        <w:spacing w:after="0" w:line="338" w:lineRule="auto"/>
        <w:tabs>
          <w:tab w:leader="none" w:pos="203" w:val="left"/>
        </w:tabs>
        <w:numPr>
          <w:ilvl w:val="0"/>
          <w:numId w:val="85"/>
        </w:numPr>
        <w:rPr>
          <w:rFonts w:ascii="Arial" w:cs="Arial" w:eastAsia="Arial" w:hAnsi="Arial"/>
          <w:sz w:val="15"/>
          <w:szCs w:val="15"/>
          <w:color w:val="0956FF"/>
        </w:rPr>
      </w:pPr>
      <w:r>
        <w:rPr>
          <w:rFonts w:ascii="Arial" w:cs="Arial" w:eastAsia="Arial" w:hAnsi="Arial"/>
          <w:sz w:val="15"/>
          <w:szCs w:val="15"/>
          <w:color w:val="auto"/>
        </w:rPr>
        <w:t>Durable goods manufacturer</w:t>
      </w:r>
    </w:p>
    <w:p>
      <w:pPr>
        <w:ind w:left="203" w:right="1000" w:hanging="203"/>
        <w:spacing w:after="0" w:line="338" w:lineRule="auto"/>
        <w:tabs>
          <w:tab w:leader="none" w:pos="203" w:val="left"/>
        </w:tabs>
        <w:numPr>
          <w:ilvl w:val="0"/>
          <w:numId w:val="85"/>
        </w:numPr>
        <w:rPr>
          <w:rFonts w:ascii="Arial" w:cs="Arial" w:eastAsia="Arial" w:hAnsi="Arial"/>
          <w:sz w:val="15"/>
          <w:szCs w:val="15"/>
          <w:color w:val="0956FF"/>
        </w:rPr>
      </w:pPr>
      <w:r>
        <w:rPr>
          <w:rFonts w:ascii="Arial" w:cs="Arial" w:eastAsia="Arial" w:hAnsi="Arial"/>
          <w:sz w:val="15"/>
          <w:szCs w:val="15"/>
          <w:color w:val="auto"/>
        </w:rPr>
        <w:t>Strong branded consumer products</w:t>
      </w:r>
    </w:p>
    <w:p>
      <w:pPr>
        <w:ind w:left="203" w:hanging="203"/>
        <w:spacing w:after="0"/>
        <w:tabs>
          <w:tab w:leader="none" w:pos="203" w:val="left"/>
        </w:tabs>
        <w:numPr>
          <w:ilvl w:val="0"/>
          <w:numId w:val="85"/>
        </w:numPr>
        <w:rPr>
          <w:rFonts w:ascii="Arial" w:cs="Arial" w:eastAsia="Arial" w:hAnsi="Arial"/>
          <w:sz w:val="16"/>
          <w:szCs w:val="16"/>
          <w:color w:val="0956FF"/>
        </w:rPr>
      </w:pPr>
      <w:r>
        <w:rPr>
          <w:rFonts w:ascii="Arial" w:cs="Arial" w:eastAsia="Arial" w:hAnsi="Arial"/>
          <w:sz w:val="16"/>
          <w:szCs w:val="16"/>
          <w:color w:val="auto"/>
        </w:rPr>
        <w:t>Comparable revenue</w:t>
      </w:r>
    </w:p>
    <w:p>
      <w:pPr>
        <w:spacing w:after="0" w:line="86" w:lineRule="exact"/>
        <w:rPr>
          <w:rFonts w:ascii="Arial" w:cs="Arial" w:eastAsia="Arial" w:hAnsi="Arial"/>
          <w:sz w:val="16"/>
          <w:szCs w:val="16"/>
          <w:color w:val="0956FF"/>
        </w:rPr>
      </w:pPr>
    </w:p>
    <w:p>
      <w:pPr>
        <w:ind w:left="203" w:right="940" w:hanging="203"/>
        <w:spacing w:after="0" w:line="316" w:lineRule="auto"/>
        <w:tabs>
          <w:tab w:leader="none" w:pos="203" w:val="left"/>
        </w:tabs>
        <w:numPr>
          <w:ilvl w:val="0"/>
          <w:numId w:val="85"/>
        </w:numPr>
        <w:rPr>
          <w:rFonts w:ascii="Arial" w:cs="Arial" w:eastAsia="Arial" w:hAnsi="Arial"/>
          <w:sz w:val="16"/>
          <w:szCs w:val="16"/>
          <w:color w:val="0956FF"/>
        </w:rPr>
      </w:pPr>
      <w:r>
        <w:rPr>
          <w:rFonts w:ascii="Arial" w:cs="Arial" w:eastAsia="Arial" w:hAnsi="Arial"/>
          <w:sz w:val="16"/>
          <w:szCs w:val="16"/>
          <w:color w:val="auto"/>
        </w:rPr>
        <w:t>Comparable market capitalization</w:t>
      </w:r>
    </w:p>
    <w:p>
      <w:pPr>
        <w:spacing w:after="0" w:line="1" w:lineRule="exact"/>
        <w:rPr>
          <w:rFonts w:ascii="Arial" w:cs="Arial" w:eastAsia="Arial" w:hAnsi="Arial"/>
          <w:sz w:val="16"/>
          <w:szCs w:val="16"/>
          <w:color w:val="0956FF"/>
        </w:rPr>
      </w:pPr>
    </w:p>
    <w:p>
      <w:pPr>
        <w:jc w:val="both"/>
        <w:ind w:left="203" w:right="740" w:hanging="203"/>
        <w:spacing w:after="0" w:line="321" w:lineRule="auto"/>
        <w:tabs>
          <w:tab w:leader="none" w:pos="203" w:val="left"/>
        </w:tabs>
        <w:numPr>
          <w:ilvl w:val="0"/>
          <w:numId w:val="85"/>
        </w:numPr>
        <w:rPr>
          <w:rFonts w:ascii="Arial" w:cs="Arial" w:eastAsia="Arial" w:hAnsi="Arial"/>
          <w:sz w:val="16"/>
          <w:szCs w:val="16"/>
          <w:color w:val="0956FF"/>
        </w:rPr>
      </w:pPr>
      <w:r>
        <w:rPr>
          <w:rFonts w:ascii="Arial" w:cs="Arial" w:eastAsia="Arial" w:hAnsi="Arial"/>
          <w:sz w:val="16"/>
          <w:szCs w:val="16"/>
          <w:color w:val="auto"/>
        </w:rPr>
        <w:t>Comparable R&amp;D as a percentage of revenue</w:t>
      </w:r>
    </w:p>
    <w:p>
      <w:pPr>
        <w:spacing w:after="0" w:line="200" w:lineRule="exact"/>
        <w:rPr>
          <w:sz w:val="20"/>
          <w:szCs w:val="20"/>
          <w:color w:val="auto"/>
        </w:rPr>
      </w:pPr>
    </w:p>
    <w:p>
      <w:pPr>
        <w:sectPr>
          <w:pgSz w:w="11900" w:h="16838" w:orient="portrait"/>
          <w:cols w:equalWidth="0" w:num="3">
            <w:col w:w="2760" w:space="720"/>
            <w:col w:w="2457" w:space="720"/>
            <w:col w:w="2563"/>
          </w:cols>
          <w:pgMar w:left="1400" w:top="65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0956FF"/>
        </w:rPr>
        <w:t>Peer Group</w:t>
      </w:r>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54"/>
        </w:trPr>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40" w:type="dxa"/>
            <w:vAlign w:val="bottom"/>
            <w:shd w:val="clear" w:color="auto" w:fill="ECEBEB"/>
          </w:tcPr>
          <w:p>
            <w:pPr>
              <w:spacing w:after="0"/>
              <w:rPr>
                <w:sz w:val="4"/>
                <w:szCs w:val="4"/>
                <w:color w:val="auto"/>
              </w:rPr>
            </w:pPr>
          </w:p>
        </w:tc>
        <w:tc>
          <w:tcPr>
            <w:tcW w:w="500" w:type="dxa"/>
            <w:vAlign w:val="bottom"/>
            <w:shd w:val="clear" w:color="auto" w:fill="ECEBEB"/>
          </w:tcPr>
          <w:p>
            <w:pPr>
              <w:spacing w:after="0"/>
              <w:rPr>
                <w:sz w:val="4"/>
                <w:szCs w:val="4"/>
                <w:color w:val="auto"/>
              </w:rPr>
            </w:pPr>
          </w:p>
        </w:tc>
        <w:tc>
          <w:tcPr>
            <w:tcW w:w="2140" w:type="dxa"/>
            <w:vAlign w:val="bottom"/>
            <w:shd w:val="clear" w:color="auto" w:fill="ECEBEB"/>
          </w:tcPr>
          <w:p>
            <w:pPr>
              <w:spacing w:after="0"/>
              <w:rPr>
                <w:sz w:val="4"/>
                <w:szCs w:val="4"/>
                <w:color w:val="auto"/>
              </w:rPr>
            </w:pPr>
          </w:p>
        </w:tc>
        <w:tc>
          <w:tcPr>
            <w:tcW w:w="680" w:type="dxa"/>
            <w:vAlign w:val="bottom"/>
            <w:shd w:val="clear" w:color="auto" w:fill="ECEBEB"/>
          </w:tcPr>
          <w:p>
            <w:pPr>
              <w:spacing w:after="0"/>
              <w:rPr>
                <w:sz w:val="4"/>
                <w:szCs w:val="4"/>
                <w:color w:val="auto"/>
              </w:rPr>
            </w:pPr>
          </w:p>
        </w:tc>
        <w:tc>
          <w:tcPr>
            <w:tcW w:w="2900" w:type="dxa"/>
            <w:vAlign w:val="bottom"/>
            <w:shd w:val="clear" w:color="auto" w:fill="ECEBEB"/>
          </w:tcPr>
          <w:p>
            <w:pPr>
              <w:spacing w:after="0"/>
              <w:rPr>
                <w:sz w:val="4"/>
                <w:szCs w:val="4"/>
                <w:color w:val="auto"/>
              </w:rPr>
            </w:pPr>
          </w:p>
        </w:tc>
      </w:tr>
      <w:tr>
        <w:trPr>
          <w:trHeight w:val="255"/>
        </w:trPr>
        <w:tc>
          <w:tcPr>
            <w:tcW w:w="180" w:type="dxa"/>
            <w:vAlign w:val="bottom"/>
            <w:shd w:val="clear" w:color="auto" w:fill="ECEBEB"/>
          </w:tcPr>
          <w:p>
            <w:pPr>
              <w:ind w:left="60"/>
              <w:spacing w:after="0"/>
              <w:rPr>
                <w:sz w:val="20"/>
                <w:szCs w:val="20"/>
                <w:color w:val="auto"/>
              </w:rPr>
            </w:pPr>
            <w:r>
              <w:rPr>
                <w:rFonts w:ascii="Arial" w:cs="Arial" w:eastAsia="Arial" w:hAnsi="Arial"/>
                <w:sz w:val="16"/>
                <w:szCs w:val="16"/>
                <w:color w:val="0956FF"/>
              </w:rPr>
              <w:t>•</w:t>
            </w:r>
          </w:p>
        </w:tc>
        <w:tc>
          <w:tcPr>
            <w:tcW w:w="2420" w:type="dxa"/>
            <w:vAlign w:val="bottom"/>
            <w:gridSpan w:val="2"/>
            <w:shd w:val="clear" w:color="auto" w:fill="ECEBEB"/>
          </w:tcPr>
          <w:p>
            <w:pPr>
              <w:ind w:left="60"/>
              <w:spacing w:after="0"/>
              <w:rPr>
                <w:sz w:val="20"/>
                <w:szCs w:val="20"/>
                <w:color w:val="auto"/>
              </w:rPr>
            </w:pPr>
            <w:r>
              <w:rPr>
                <w:rFonts w:ascii="Arial" w:cs="Arial" w:eastAsia="Arial" w:hAnsi="Arial"/>
                <w:sz w:val="16"/>
                <w:szCs w:val="16"/>
                <w:color w:val="auto"/>
              </w:rPr>
              <w:t>3M Company</w:t>
            </w:r>
          </w:p>
        </w:tc>
        <w:tc>
          <w:tcPr>
            <w:tcW w:w="500" w:type="dxa"/>
            <w:vAlign w:val="bottom"/>
            <w:shd w:val="clear" w:color="auto" w:fill="ECEBEB"/>
          </w:tcPr>
          <w:p>
            <w:pPr>
              <w:ind w:left="360"/>
              <w:spacing w:after="0"/>
              <w:rPr>
                <w:sz w:val="20"/>
                <w:szCs w:val="20"/>
                <w:color w:val="auto"/>
              </w:rPr>
            </w:pPr>
            <w:r>
              <w:rPr>
                <w:rFonts w:ascii="Arial" w:cs="Arial" w:eastAsia="Arial" w:hAnsi="Arial"/>
                <w:sz w:val="16"/>
                <w:szCs w:val="16"/>
                <w:color w:val="0956FF"/>
              </w:rPr>
              <w:t>•</w:t>
            </w:r>
          </w:p>
        </w:tc>
        <w:tc>
          <w:tcPr>
            <w:tcW w:w="2140" w:type="dxa"/>
            <w:vAlign w:val="bottom"/>
            <w:shd w:val="clear" w:color="auto" w:fill="ECEBEB"/>
          </w:tcPr>
          <w:p>
            <w:pPr>
              <w:ind w:left="60"/>
              <w:spacing w:after="0"/>
              <w:rPr>
                <w:sz w:val="20"/>
                <w:szCs w:val="20"/>
                <w:color w:val="auto"/>
              </w:rPr>
            </w:pPr>
            <w:r>
              <w:rPr>
                <w:rFonts w:ascii="Arial" w:cs="Arial" w:eastAsia="Arial" w:hAnsi="Arial"/>
                <w:sz w:val="16"/>
                <w:szCs w:val="16"/>
                <w:color w:val="auto"/>
              </w:rPr>
              <w:t>HP Inc.</w:t>
            </w:r>
          </w:p>
        </w:tc>
        <w:tc>
          <w:tcPr>
            <w:tcW w:w="680" w:type="dxa"/>
            <w:vAlign w:val="bottom"/>
            <w:shd w:val="clear" w:color="auto" w:fill="ECEBEB"/>
          </w:tcPr>
          <w:p>
            <w:pPr>
              <w:ind w:left="540"/>
              <w:spacing w:after="0"/>
              <w:rPr>
                <w:sz w:val="20"/>
                <w:szCs w:val="20"/>
                <w:color w:val="auto"/>
              </w:rPr>
            </w:pPr>
            <w:r>
              <w:rPr>
                <w:rFonts w:ascii="Arial" w:cs="Arial" w:eastAsia="Arial" w:hAnsi="Arial"/>
                <w:sz w:val="16"/>
                <w:szCs w:val="16"/>
                <w:color w:val="0956FF"/>
              </w:rPr>
              <w:t>•</w:t>
            </w:r>
          </w:p>
        </w:tc>
        <w:tc>
          <w:tcPr>
            <w:tcW w:w="2900" w:type="dxa"/>
            <w:vAlign w:val="bottom"/>
            <w:shd w:val="clear" w:color="auto" w:fill="ECEBEB"/>
          </w:tcPr>
          <w:p>
            <w:pPr>
              <w:ind w:left="60"/>
              <w:spacing w:after="0"/>
              <w:rPr>
                <w:sz w:val="20"/>
                <w:szCs w:val="20"/>
                <w:color w:val="auto"/>
              </w:rPr>
            </w:pPr>
            <w:r>
              <w:rPr>
                <w:rFonts w:ascii="Arial" w:cs="Arial" w:eastAsia="Arial" w:hAnsi="Arial"/>
                <w:sz w:val="16"/>
                <w:szCs w:val="16"/>
                <w:color w:val="auto"/>
              </w:rPr>
              <w:t>Pfizer Inc.</w:t>
            </w:r>
          </w:p>
        </w:tc>
      </w:tr>
      <w:tr>
        <w:trPr>
          <w:trHeight w:val="270"/>
        </w:trPr>
        <w:tc>
          <w:tcPr>
            <w:tcW w:w="180" w:type="dxa"/>
            <w:vAlign w:val="bottom"/>
            <w:shd w:val="clear" w:color="auto" w:fill="ECEBEB"/>
          </w:tcPr>
          <w:p>
            <w:pPr>
              <w:ind w:left="60"/>
              <w:spacing w:after="0"/>
              <w:rPr>
                <w:sz w:val="20"/>
                <w:szCs w:val="20"/>
                <w:color w:val="auto"/>
              </w:rPr>
            </w:pPr>
            <w:r>
              <w:rPr>
                <w:rFonts w:ascii="Arial" w:cs="Arial" w:eastAsia="Arial" w:hAnsi="Arial"/>
                <w:sz w:val="16"/>
                <w:szCs w:val="16"/>
                <w:color w:val="0956FF"/>
              </w:rPr>
              <w:t>•</w:t>
            </w:r>
          </w:p>
        </w:tc>
        <w:tc>
          <w:tcPr>
            <w:tcW w:w="2420" w:type="dxa"/>
            <w:vAlign w:val="bottom"/>
            <w:gridSpan w:val="2"/>
            <w:shd w:val="clear" w:color="auto" w:fill="ECEBEB"/>
          </w:tcPr>
          <w:p>
            <w:pPr>
              <w:ind w:left="60"/>
              <w:spacing w:after="0"/>
              <w:rPr>
                <w:sz w:val="20"/>
                <w:szCs w:val="20"/>
                <w:color w:val="auto"/>
              </w:rPr>
            </w:pPr>
            <w:r>
              <w:rPr>
                <w:rFonts w:ascii="Arial" w:cs="Arial" w:eastAsia="Arial" w:hAnsi="Arial"/>
                <w:sz w:val="16"/>
                <w:szCs w:val="16"/>
                <w:color w:val="auto"/>
              </w:rPr>
              <w:t>The Boeing Company</w:t>
            </w:r>
          </w:p>
        </w:tc>
        <w:tc>
          <w:tcPr>
            <w:tcW w:w="500" w:type="dxa"/>
            <w:vAlign w:val="bottom"/>
            <w:shd w:val="clear" w:color="auto" w:fill="ECEBEB"/>
          </w:tcPr>
          <w:p>
            <w:pPr>
              <w:ind w:left="360"/>
              <w:spacing w:after="0"/>
              <w:rPr>
                <w:sz w:val="20"/>
                <w:szCs w:val="20"/>
                <w:color w:val="auto"/>
              </w:rPr>
            </w:pPr>
            <w:r>
              <w:rPr>
                <w:rFonts w:ascii="Arial" w:cs="Arial" w:eastAsia="Arial" w:hAnsi="Arial"/>
                <w:sz w:val="16"/>
                <w:szCs w:val="16"/>
                <w:color w:val="0956FF"/>
              </w:rPr>
              <w:t>•</w:t>
            </w:r>
          </w:p>
        </w:tc>
        <w:tc>
          <w:tcPr>
            <w:tcW w:w="2140" w:type="dxa"/>
            <w:vAlign w:val="bottom"/>
            <w:shd w:val="clear" w:color="auto" w:fill="ECEBEB"/>
          </w:tcPr>
          <w:p>
            <w:pPr>
              <w:ind w:left="60"/>
              <w:spacing w:after="0"/>
              <w:rPr>
                <w:sz w:val="20"/>
                <w:szCs w:val="20"/>
                <w:color w:val="auto"/>
              </w:rPr>
            </w:pPr>
            <w:r>
              <w:rPr>
                <w:rFonts w:ascii="Arial" w:cs="Arial" w:eastAsia="Arial" w:hAnsi="Arial"/>
                <w:sz w:val="16"/>
                <w:szCs w:val="16"/>
                <w:color w:val="auto"/>
              </w:rPr>
              <w:t>IBM Corporation</w:t>
            </w:r>
          </w:p>
        </w:tc>
        <w:tc>
          <w:tcPr>
            <w:tcW w:w="3580" w:type="dxa"/>
            <w:vAlign w:val="bottom"/>
            <w:gridSpan w:val="2"/>
            <w:shd w:val="clear" w:color="auto" w:fill="ECEBEB"/>
          </w:tcPr>
          <w:p>
            <w:pPr>
              <w:ind w:left="540"/>
              <w:spacing w:after="0"/>
              <w:rPr>
                <w:sz w:val="20"/>
                <w:szCs w:val="20"/>
                <w:color w:val="auto"/>
              </w:rPr>
            </w:pPr>
            <w:r>
              <w:rPr>
                <w:rFonts w:ascii="Arial" w:cs="Arial" w:eastAsia="Arial" w:hAnsi="Arial"/>
                <w:sz w:val="16"/>
                <w:szCs w:val="16"/>
                <w:color w:val="0956FF"/>
              </w:rPr>
              <w:t xml:space="preserve">•  </w:t>
            </w:r>
            <w:r>
              <w:rPr>
                <w:rFonts w:ascii="Arial" w:cs="Arial" w:eastAsia="Arial" w:hAnsi="Arial"/>
                <w:sz w:val="16"/>
                <w:szCs w:val="16"/>
                <w:color w:val="000000"/>
              </w:rPr>
              <w:t>The Procter &amp; Gamble Company</w:t>
            </w:r>
          </w:p>
        </w:tc>
      </w:tr>
      <w:tr>
        <w:trPr>
          <w:trHeight w:val="256"/>
        </w:trPr>
        <w:tc>
          <w:tcPr>
            <w:tcW w:w="180" w:type="dxa"/>
            <w:vAlign w:val="bottom"/>
            <w:shd w:val="clear" w:color="auto" w:fill="ECEBEB"/>
          </w:tcPr>
          <w:p>
            <w:pPr>
              <w:ind w:left="60"/>
              <w:spacing w:after="0"/>
              <w:rPr>
                <w:sz w:val="20"/>
                <w:szCs w:val="20"/>
                <w:color w:val="auto"/>
              </w:rPr>
            </w:pPr>
            <w:r>
              <w:rPr>
                <w:rFonts w:ascii="Arial" w:cs="Arial" w:eastAsia="Arial" w:hAnsi="Arial"/>
                <w:sz w:val="16"/>
                <w:szCs w:val="16"/>
                <w:color w:val="0956FF"/>
              </w:rPr>
              <w:t>•</w:t>
            </w:r>
          </w:p>
        </w:tc>
        <w:tc>
          <w:tcPr>
            <w:tcW w:w="2420" w:type="dxa"/>
            <w:vAlign w:val="bottom"/>
            <w:gridSpan w:val="2"/>
            <w:shd w:val="clear" w:color="auto" w:fill="ECEBEB"/>
          </w:tcPr>
          <w:p>
            <w:pPr>
              <w:ind w:left="60"/>
              <w:spacing w:after="0"/>
              <w:rPr>
                <w:sz w:val="20"/>
                <w:szCs w:val="20"/>
                <w:color w:val="auto"/>
              </w:rPr>
            </w:pPr>
            <w:r>
              <w:rPr>
                <w:rFonts w:ascii="Arial" w:cs="Arial" w:eastAsia="Arial" w:hAnsi="Arial"/>
                <w:sz w:val="16"/>
                <w:szCs w:val="16"/>
                <w:color w:val="auto"/>
              </w:rPr>
              <w:t>Caterpillar Inc.</w:t>
            </w:r>
          </w:p>
        </w:tc>
        <w:tc>
          <w:tcPr>
            <w:tcW w:w="500" w:type="dxa"/>
            <w:vAlign w:val="bottom"/>
            <w:shd w:val="clear" w:color="auto" w:fill="ECEBEB"/>
          </w:tcPr>
          <w:p>
            <w:pPr>
              <w:ind w:left="360"/>
              <w:spacing w:after="0"/>
              <w:rPr>
                <w:sz w:val="20"/>
                <w:szCs w:val="20"/>
                <w:color w:val="auto"/>
              </w:rPr>
            </w:pPr>
            <w:r>
              <w:rPr>
                <w:rFonts w:ascii="Arial" w:cs="Arial" w:eastAsia="Arial" w:hAnsi="Arial"/>
                <w:sz w:val="16"/>
                <w:szCs w:val="16"/>
                <w:color w:val="0956FF"/>
              </w:rPr>
              <w:t>•</w:t>
            </w:r>
          </w:p>
        </w:tc>
        <w:tc>
          <w:tcPr>
            <w:tcW w:w="2140" w:type="dxa"/>
            <w:vAlign w:val="bottom"/>
            <w:shd w:val="clear" w:color="auto" w:fill="ECEBEB"/>
          </w:tcPr>
          <w:p>
            <w:pPr>
              <w:ind w:left="60"/>
              <w:spacing w:after="0"/>
              <w:rPr>
                <w:sz w:val="20"/>
                <w:szCs w:val="20"/>
                <w:color w:val="auto"/>
              </w:rPr>
            </w:pPr>
            <w:r>
              <w:rPr>
                <w:rFonts w:ascii="Arial" w:cs="Arial" w:eastAsia="Arial" w:hAnsi="Arial"/>
                <w:sz w:val="16"/>
                <w:szCs w:val="16"/>
                <w:color w:val="auto"/>
              </w:rPr>
              <w:t>Intel Corporation</w:t>
            </w:r>
          </w:p>
        </w:tc>
        <w:tc>
          <w:tcPr>
            <w:tcW w:w="680" w:type="dxa"/>
            <w:vAlign w:val="bottom"/>
            <w:shd w:val="clear" w:color="auto" w:fill="ECEBEB"/>
          </w:tcPr>
          <w:p>
            <w:pPr>
              <w:ind w:left="540"/>
              <w:spacing w:after="0"/>
              <w:rPr>
                <w:sz w:val="20"/>
                <w:szCs w:val="20"/>
                <w:color w:val="auto"/>
              </w:rPr>
            </w:pPr>
            <w:r>
              <w:rPr>
                <w:rFonts w:ascii="Arial" w:cs="Arial" w:eastAsia="Arial" w:hAnsi="Arial"/>
                <w:sz w:val="16"/>
                <w:szCs w:val="16"/>
                <w:color w:val="0956FF"/>
              </w:rPr>
              <w:t>•</w:t>
            </w:r>
          </w:p>
        </w:tc>
        <w:tc>
          <w:tcPr>
            <w:tcW w:w="2900" w:type="dxa"/>
            <w:vAlign w:val="bottom"/>
            <w:shd w:val="clear" w:color="auto" w:fill="ECEBEB"/>
          </w:tcPr>
          <w:p>
            <w:pPr>
              <w:ind w:left="60"/>
              <w:spacing w:after="0"/>
              <w:rPr>
                <w:sz w:val="20"/>
                <w:szCs w:val="20"/>
                <w:color w:val="auto"/>
              </w:rPr>
            </w:pPr>
            <w:r>
              <w:rPr>
                <w:rFonts w:ascii="Arial" w:cs="Arial" w:eastAsia="Arial" w:hAnsi="Arial"/>
                <w:sz w:val="16"/>
                <w:szCs w:val="16"/>
                <w:color w:val="auto"/>
              </w:rPr>
              <w:t>RTX Corporation</w:t>
            </w:r>
          </w:p>
        </w:tc>
      </w:tr>
      <w:tr>
        <w:trPr>
          <w:trHeight w:val="270"/>
        </w:trPr>
        <w:tc>
          <w:tcPr>
            <w:tcW w:w="180" w:type="dxa"/>
            <w:vAlign w:val="bottom"/>
            <w:shd w:val="clear" w:color="auto" w:fill="ECEBEB"/>
          </w:tcPr>
          <w:p>
            <w:pPr>
              <w:ind w:left="60"/>
              <w:spacing w:after="0"/>
              <w:rPr>
                <w:sz w:val="20"/>
                <w:szCs w:val="20"/>
                <w:color w:val="auto"/>
              </w:rPr>
            </w:pPr>
            <w:r>
              <w:rPr>
                <w:rFonts w:ascii="Arial" w:cs="Arial" w:eastAsia="Arial" w:hAnsi="Arial"/>
                <w:sz w:val="16"/>
                <w:szCs w:val="16"/>
                <w:color w:val="0956FF"/>
              </w:rPr>
              <w:t>•</w:t>
            </w:r>
          </w:p>
        </w:tc>
        <w:tc>
          <w:tcPr>
            <w:tcW w:w="2420" w:type="dxa"/>
            <w:vAlign w:val="bottom"/>
            <w:gridSpan w:val="2"/>
            <w:shd w:val="clear" w:color="auto" w:fill="ECEBEB"/>
          </w:tcPr>
          <w:p>
            <w:pPr>
              <w:ind w:left="60"/>
              <w:spacing w:after="0"/>
              <w:rPr>
                <w:sz w:val="20"/>
                <w:szCs w:val="20"/>
                <w:color w:val="auto"/>
              </w:rPr>
            </w:pPr>
            <w:r>
              <w:rPr>
                <w:rFonts w:ascii="Arial" w:cs="Arial" w:eastAsia="Arial" w:hAnsi="Arial"/>
                <w:sz w:val="16"/>
                <w:szCs w:val="16"/>
                <w:color w:val="auto"/>
              </w:rPr>
              <w:t>Cisco Systems Inc.</w:t>
            </w:r>
          </w:p>
        </w:tc>
        <w:tc>
          <w:tcPr>
            <w:tcW w:w="500" w:type="dxa"/>
            <w:vAlign w:val="bottom"/>
            <w:shd w:val="clear" w:color="auto" w:fill="ECEBEB"/>
          </w:tcPr>
          <w:p>
            <w:pPr>
              <w:ind w:left="360"/>
              <w:spacing w:after="0"/>
              <w:rPr>
                <w:sz w:val="20"/>
                <w:szCs w:val="20"/>
                <w:color w:val="auto"/>
              </w:rPr>
            </w:pPr>
            <w:r>
              <w:rPr>
                <w:rFonts w:ascii="Arial" w:cs="Arial" w:eastAsia="Arial" w:hAnsi="Arial"/>
                <w:sz w:val="16"/>
                <w:szCs w:val="16"/>
                <w:color w:val="0956FF"/>
              </w:rPr>
              <w:t>•</w:t>
            </w:r>
          </w:p>
        </w:tc>
        <w:tc>
          <w:tcPr>
            <w:tcW w:w="2140" w:type="dxa"/>
            <w:vAlign w:val="bottom"/>
            <w:shd w:val="clear" w:color="auto" w:fill="ECEBEB"/>
          </w:tcPr>
          <w:p>
            <w:pPr>
              <w:ind w:left="60"/>
              <w:spacing w:after="0"/>
              <w:rPr>
                <w:sz w:val="20"/>
                <w:szCs w:val="20"/>
                <w:color w:val="auto"/>
              </w:rPr>
            </w:pPr>
            <w:r>
              <w:rPr>
                <w:rFonts w:ascii="Arial" w:cs="Arial" w:eastAsia="Arial" w:hAnsi="Arial"/>
                <w:sz w:val="16"/>
                <w:szCs w:val="16"/>
                <w:color w:val="auto"/>
              </w:rPr>
              <w:t>Johnson &amp; Johnson</w:t>
            </w:r>
          </w:p>
        </w:tc>
        <w:tc>
          <w:tcPr>
            <w:tcW w:w="680" w:type="dxa"/>
            <w:vAlign w:val="bottom"/>
            <w:shd w:val="clear" w:color="auto" w:fill="ECEBEB"/>
          </w:tcPr>
          <w:p>
            <w:pPr>
              <w:ind w:left="540"/>
              <w:spacing w:after="0"/>
              <w:rPr>
                <w:sz w:val="20"/>
                <w:szCs w:val="20"/>
                <w:color w:val="auto"/>
              </w:rPr>
            </w:pPr>
            <w:r>
              <w:rPr>
                <w:rFonts w:ascii="Arial" w:cs="Arial" w:eastAsia="Arial" w:hAnsi="Arial"/>
                <w:sz w:val="16"/>
                <w:szCs w:val="16"/>
                <w:color w:val="0956FF"/>
              </w:rPr>
              <w:t>•</w:t>
            </w:r>
          </w:p>
        </w:tc>
        <w:tc>
          <w:tcPr>
            <w:tcW w:w="2900" w:type="dxa"/>
            <w:vAlign w:val="bottom"/>
            <w:shd w:val="clear" w:color="auto" w:fill="ECEBEB"/>
          </w:tcPr>
          <w:p>
            <w:pPr>
              <w:ind w:left="60"/>
              <w:spacing w:after="0"/>
              <w:rPr>
                <w:sz w:val="20"/>
                <w:szCs w:val="20"/>
                <w:color w:val="auto"/>
              </w:rPr>
            </w:pPr>
            <w:r>
              <w:rPr>
                <w:rFonts w:ascii="Arial" w:cs="Arial" w:eastAsia="Arial" w:hAnsi="Arial"/>
                <w:sz w:val="16"/>
                <w:szCs w:val="16"/>
                <w:color w:val="auto"/>
              </w:rPr>
              <w:t>Tesla, Inc.</w:t>
            </w:r>
          </w:p>
        </w:tc>
      </w:tr>
      <w:tr>
        <w:trPr>
          <w:trHeight w:val="270"/>
        </w:trPr>
        <w:tc>
          <w:tcPr>
            <w:tcW w:w="180" w:type="dxa"/>
            <w:vAlign w:val="bottom"/>
            <w:shd w:val="clear" w:color="auto" w:fill="ECEBEB"/>
          </w:tcPr>
          <w:p>
            <w:pPr>
              <w:ind w:left="60"/>
              <w:spacing w:after="0"/>
              <w:rPr>
                <w:sz w:val="20"/>
                <w:szCs w:val="20"/>
                <w:color w:val="auto"/>
              </w:rPr>
            </w:pPr>
            <w:r>
              <w:rPr>
                <w:rFonts w:ascii="Arial" w:cs="Arial" w:eastAsia="Arial" w:hAnsi="Arial"/>
                <w:sz w:val="16"/>
                <w:szCs w:val="16"/>
                <w:color w:val="0956FF"/>
              </w:rPr>
              <w:t>•</w:t>
            </w:r>
          </w:p>
        </w:tc>
        <w:tc>
          <w:tcPr>
            <w:tcW w:w="2420" w:type="dxa"/>
            <w:vAlign w:val="bottom"/>
            <w:gridSpan w:val="2"/>
            <w:shd w:val="clear" w:color="auto" w:fill="ECEBEB"/>
          </w:tcPr>
          <w:p>
            <w:pPr>
              <w:ind w:left="60"/>
              <w:spacing w:after="0"/>
              <w:rPr>
                <w:sz w:val="20"/>
                <w:szCs w:val="20"/>
                <w:color w:val="auto"/>
              </w:rPr>
            </w:pPr>
            <w:r>
              <w:rPr>
                <w:rFonts w:ascii="Arial" w:cs="Arial" w:eastAsia="Arial" w:hAnsi="Arial"/>
                <w:sz w:val="16"/>
                <w:szCs w:val="16"/>
                <w:color w:val="auto"/>
              </w:rPr>
              <w:t>Ford Motor Company</w:t>
            </w:r>
          </w:p>
        </w:tc>
        <w:tc>
          <w:tcPr>
            <w:tcW w:w="500" w:type="dxa"/>
            <w:vAlign w:val="bottom"/>
            <w:shd w:val="clear" w:color="auto" w:fill="ECEBEB"/>
          </w:tcPr>
          <w:p>
            <w:pPr>
              <w:ind w:left="360"/>
              <w:spacing w:after="0"/>
              <w:rPr>
                <w:sz w:val="20"/>
                <w:szCs w:val="20"/>
                <w:color w:val="auto"/>
              </w:rPr>
            </w:pPr>
            <w:r>
              <w:rPr>
                <w:rFonts w:ascii="Arial" w:cs="Arial" w:eastAsia="Arial" w:hAnsi="Arial"/>
                <w:sz w:val="16"/>
                <w:szCs w:val="16"/>
                <w:color w:val="0956FF"/>
              </w:rPr>
              <w:t>•</w:t>
            </w:r>
          </w:p>
        </w:tc>
        <w:tc>
          <w:tcPr>
            <w:tcW w:w="2140" w:type="dxa"/>
            <w:vAlign w:val="bottom"/>
            <w:shd w:val="clear" w:color="auto" w:fill="ECEBEB"/>
          </w:tcPr>
          <w:p>
            <w:pPr>
              <w:ind w:left="60"/>
              <w:spacing w:after="0"/>
              <w:rPr>
                <w:sz w:val="20"/>
                <w:szCs w:val="20"/>
                <w:color w:val="auto"/>
              </w:rPr>
            </w:pPr>
            <w:r>
              <w:rPr>
                <w:rFonts w:ascii="Arial" w:cs="Arial" w:eastAsia="Arial" w:hAnsi="Arial"/>
                <w:sz w:val="16"/>
                <w:szCs w:val="16"/>
                <w:color w:val="auto"/>
              </w:rPr>
              <w:t>Microsoft Corporation</w:t>
            </w:r>
          </w:p>
        </w:tc>
        <w:tc>
          <w:tcPr>
            <w:tcW w:w="680" w:type="dxa"/>
            <w:vAlign w:val="bottom"/>
            <w:shd w:val="clear" w:color="auto" w:fill="ECEBEB"/>
          </w:tcPr>
          <w:p>
            <w:pPr>
              <w:spacing w:after="0"/>
              <w:rPr>
                <w:sz w:val="23"/>
                <w:szCs w:val="23"/>
                <w:color w:val="auto"/>
              </w:rPr>
            </w:pPr>
          </w:p>
        </w:tc>
        <w:tc>
          <w:tcPr>
            <w:tcW w:w="2900" w:type="dxa"/>
            <w:vAlign w:val="bottom"/>
            <w:shd w:val="clear" w:color="auto" w:fill="ECEBEB"/>
          </w:tcPr>
          <w:p>
            <w:pPr>
              <w:spacing w:after="0"/>
              <w:rPr>
                <w:sz w:val="23"/>
                <w:szCs w:val="23"/>
                <w:color w:val="auto"/>
              </w:rPr>
            </w:pPr>
          </w:p>
        </w:tc>
      </w:tr>
      <w:tr>
        <w:trPr>
          <w:trHeight w:val="270"/>
        </w:trPr>
        <w:tc>
          <w:tcPr>
            <w:tcW w:w="180" w:type="dxa"/>
            <w:vAlign w:val="bottom"/>
            <w:shd w:val="clear" w:color="auto" w:fill="ECEBEB"/>
          </w:tcPr>
          <w:p>
            <w:pPr>
              <w:ind w:left="60"/>
              <w:spacing w:after="0"/>
              <w:rPr>
                <w:sz w:val="20"/>
                <w:szCs w:val="20"/>
                <w:color w:val="auto"/>
              </w:rPr>
            </w:pPr>
            <w:r>
              <w:rPr>
                <w:rFonts w:ascii="Arial" w:cs="Arial" w:eastAsia="Arial" w:hAnsi="Arial"/>
                <w:sz w:val="16"/>
                <w:szCs w:val="16"/>
                <w:color w:val="0956FF"/>
              </w:rPr>
              <w:t>•</w:t>
            </w:r>
          </w:p>
        </w:tc>
        <w:tc>
          <w:tcPr>
            <w:tcW w:w="2420" w:type="dxa"/>
            <w:vAlign w:val="bottom"/>
            <w:gridSpan w:val="2"/>
            <w:shd w:val="clear" w:color="auto" w:fill="ECEBEB"/>
          </w:tcPr>
          <w:p>
            <w:pPr>
              <w:ind w:left="60"/>
              <w:spacing w:after="0"/>
              <w:rPr>
                <w:sz w:val="20"/>
                <w:szCs w:val="20"/>
                <w:color w:val="auto"/>
              </w:rPr>
            </w:pPr>
            <w:r>
              <w:rPr>
                <w:rFonts w:ascii="Arial" w:cs="Arial" w:eastAsia="Arial" w:hAnsi="Arial"/>
                <w:sz w:val="16"/>
                <w:szCs w:val="16"/>
                <w:color w:val="auto"/>
              </w:rPr>
              <w:t>Honeywell International Inc.</w:t>
            </w:r>
          </w:p>
        </w:tc>
        <w:tc>
          <w:tcPr>
            <w:tcW w:w="500" w:type="dxa"/>
            <w:vAlign w:val="bottom"/>
            <w:shd w:val="clear" w:color="auto" w:fill="ECEBEB"/>
          </w:tcPr>
          <w:p>
            <w:pPr>
              <w:ind w:left="360"/>
              <w:spacing w:after="0"/>
              <w:rPr>
                <w:sz w:val="20"/>
                <w:szCs w:val="20"/>
                <w:color w:val="auto"/>
              </w:rPr>
            </w:pPr>
            <w:r>
              <w:rPr>
                <w:rFonts w:ascii="Arial" w:cs="Arial" w:eastAsia="Arial" w:hAnsi="Arial"/>
                <w:sz w:val="16"/>
                <w:szCs w:val="16"/>
                <w:color w:val="0956FF"/>
              </w:rPr>
              <w:t>•</w:t>
            </w:r>
          </w:p>
        </w:tc>
        <w:tc>
          <w:tcPr>
            <w:tcW w:w="2140" w:type="dxa"/>
            <w:vAlign w:val="bottom"/>
            <w:shd w:val="clear" w:color="auto" w:fill="ECEBEB"/>
          </w:tcPr>
          <w:p>
            <w:pPr>
              <w:ind w:left="60"/>
              <w:spacing w:after="0"/>
              <w:rPr>
                <w:sz w:val="20"/>
                <w:szCs w:val="20"/>
                <w:color w:val="auto"/>
              </w:rPr>
            </w:pPr>
            <w:r>
              <w:rPr>
                <w:rFonts w:ascii="Arial" w:cs="Arial" w:eastAsia="Arial" w:hAnsi="Arial"/>
                <w:sz w:val="16"/>
                <w:szCs w:val="16"/>
                <w:color w:val="auto"/>
              </w:rPr>
              <w:t>PepsiCo Inc.</w:t>
            </w:r>
          </w:p>
        </w:tc>
        <w:tc>
          <w:tcPr>
            <w:tcW w:w="680" w:type="dxa"/>
            <w:vAlign w:val="bottom"/>
            <w:shd w:val="clear" w:color="auto" w:fill="ECEBEB"/>
          </w:tcPr>
          <w:p>
            <w:pPr>
              <w:spacing w:after="0"/>
              <w:rPr>
                <w:sz w:val="23"/>
                <w:szCs w:val="23"/>
                <w:color w:val="auto"/>
              </w:rPr>
            </w:pPr>
          </w:p>
        </w:tc>
        <w:tc>
          <w:tcPr>
            <w:tcW w:w="2900" w:type="dxa"/>
            <w:vAlign w:val="bottom"/>
            <w:shd w:val="clear" w:color="auto" w:fill="ECEBEB"/>
          </w:tcPr>
          <w:p>
            <w:pPr>
              <w:spacing w:after="0"/>
              <w:rPr>
                <w:sz w:val="23"/>
                <w:szCs w:val="23"/>
                <w:color w:val="auto"/>
              </w:rPr>
            </w:pPr>
          </w:p>
        </w:tc>
      </w:tr>
      <w:tr>
        <w:trPr>
          <w:trHeight w:val="272"/>
        </w:trPr>
        <w:tc>
          <w:tcPr>
            <w:tcW w:w="180" w:type="dxa"/>
            <w:vAlign w:val="bottom"/>
            <w:shd w:val="clear" w:color="auto" w:fill="ECEBEB"/>
          </w:tcPr>
          <w:p>
            <w:pPr>
              <w:spacing w:after="0"/>
              <w:rPr>
                <w:sz w:val="23"/>
                <w:szCs w:val="23"/>
                <w:color w:val="auto"/>
              </w:rPr>
            </w:pPr>
          </w:p>
        </w:tc>
        <w:tc>
          <w:tcPr>
            <w:tcW w:w="680" w:type="dxa"/>
            <w:vAlign w:val="bottom"/>
            <w:shd w:val="clear" w:color="auto" w:fill="ECEBEB"/>
          </w:tcPr>
          <w:p>
            <w:pPr>
              <w:spacing w:after="0"/>
              <w:rPr>
                <w:sz w:val="23"/>
                <w:szCs w:val="23"/>
                <w:color w:val="auto"/>
              </w:rPr>
            </w:pPr>
          </w:p>
        </w:tc>
        <w:tc>
          <w:tcPr>
            <w:tcW w:w="1740" w:type="dxa"/>
            <w:vAlign w:val="bottom"/>
            <w:shd w:val="clear" w:color="auto" w:fill="ECEBEB"/>
          </w:tcPr>
          <w:p>
            <w:pPr>
              <w:spacing w:after="0"/>
              <w:rPr>
                <w:sz w:val="23"/>
                <w:szCs w:val="23"/>
                <w:color w:val="auto"/>
              </w:rPr>
            </w:pPr>
          </w:p>
        </w:tc>
        <w:tc>
          <w:tcPr>
            <w:tcW w:w="500" w:type="dxa"/>
            <w:vAlign w:val="bottom"/>
            <w:shd w:val="clear" w:color="auto" w:fill="ECEBEB"/>
          </w:tcPr>
          <w:p>
            <w:pPr>
              <w:spacing w:after="0"/>
              <w:rPr>
                <w:sz w:val="23"/>
                <w:szCs w:val="23"/>
                <w:color w:val="auto"/>
              </w:rPr>
            </w:pPr>
          </w:p>
        </w:tc>
        <w:tc>
          <w:tcPr>
            <w:tcW w:w="2140" w:type="dxa"/>
            <w:vAlign w:val="bottom"/>
            <w:shd w:val="clear" w:color="auto" w:fill="ECEBEB"/>
          </w:tcPr>
          <w:p>
            <w:pPr>
              <w:spacing w:after="0"/>
              <w:rPr>
                <w:sz w:val="23"/>
                <w:szCs w:val="23"/>
                <w:color w:val="auto"/>
              </w:rPr>
            </w:pPr>
          </w:p>
        </w:tc>
        <w:tc>
          <w:tcPr>
            <w:tcW w:w="680" w:type="dxa"/>
            <w:vAlign w:val="bottom"/>
            <w:shd w:val="clear" w:color="auto" w:fill="ECEBEB"/>
          </w:tcPr>
          <w:p>
            <w:pPr>
              <w:spacing w:after="0"/>
              <w:rPr>
                <w:sz w:val="23"/>
                <w:szCs w:val="23"/>
                <w:color w:val="auto"/>
              </w:rPr>
            </w:pPr>
          </w:p>
        </w:tc>
        <w:tc>
          <w:tcPr>
            <w:tcW w:w="2900" w:type="dxa"/>
            <w:vAlign w:val="bottom"/>
            <w:shd w:val="clear" w:color="auto" w:fill="ECEBEB"/>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220"/>
          </w:cols>
          <w:pgMar w:left="1400" w:top="65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57</w:t>
      </w:r>
    </w:p>
    <w:p>
      <w:pPr>
        <w:sectPr>
          <w:pgSz w:w="11900" w:h="16838" w:orient="portrait"/>
          <w:cols w:equalWidth="0" w:num="1">
            <w:col w:w="9220"/>
          </w:cols>
          <w:pgMar w:left="1400" w:top="657" w:right="127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Use Benchmarking Data to Assess Compensation</w:t>
      </w:r>
    </w:p>
    <w:p>
      <w:pPr>
        <w:spacing w:after="0" w:line="9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benchmark pay practices and compensation levels against the proxy statement disclosures of our peer group. In addition, we use executive compensation surveys and competitive data to benchmark executive positions and adjust this data to reflect GM’s size and market-expected compensation trends. Furthermore, the Compensation Committee reviews an analysis completed by its independent compensation consultant of the competitive position of each of our executives relative to its benchmark data.</w:t>
      </w:r>
    </w:p>
    <w:p>
      <w:pPr>
        <w:spacing w:after="0" w:line="113"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We review each element of total direct compensation (salary, STIP, and LTIP) compared with the market. An individual element or an individual’s total direct compensation may be positioned above or below the market due to a variety of considerations, such as specific responsibilities, experience, performance in role, and pay positioning required to attract and retain top talent needed to execute on our vision during this critical period of transformation.</w:t>
      </w:r>
    </w:p>
    <w:p>
      <w:pPr>
        <w:spacing w:after="0" w:line="71"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Compensation Risk Assessment</w:t>
      </w:r>
    </w:p>
    <w:p>
      <w:pPr>
        <w:spacing w:after="0" w:line="128" w:lineRule="exact"/>
        <w:rPr>
          <w:sz w:val="20"/>
          <w:szCs w:val="20"/>
          <w:color w:val="auto"/>
        </w:rPr>
      </w:pPr>
    </w:p>
    <w:p>
      <w:pPr>
        <w:jc w:val="both"/>
        <w:ind w:right="320"/>
        <w:spacing w:after="0" w:line="292" w:lineRule="auto"/>
        <w:rPr>
          <w:sz w:val="20"/>
          <w:szCs w:val="20"/>
          <w:color w:val="auto"/>
        </w:rPr>
      </w:pPr>
      <w:r>
        <w:rPr>
          <w:rFonts w:ascii="Arial" w:cs="Arial" w:eastAsia="Arial" w:hAnsi="Arial"/>
          <w:sz w:val="16"/>
          <w:szCs w:val="16"/>
          <w:color w:val="auto"/>
        </w:rPr>
        <w:t>Annually, the Compensation Committee reviews the potential impact of our compensation programs on organizational risk. The Committee discusses the compensation programs and risk mitigation features when evaluating whether the programs encourage or reward employees for engaging in excessive, imprudent, inappropriate, or unnecessary risk-taking.</w:t>
      </w:r>
    </w:p>
    <w:p>
      <w:pPr>
        <w:spacing w:after="0" w:line="11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annual risk review, completed in December 2025, with assistance from our human resources, audit, and legal teams, as well as our independent compensation consultant, involved analyzing our current compensation programs in relation to organizational risk. Our analysis concluded that our compensation programs include the following risk mitigation features: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Mix of Pay Elements</w:t>
            </w:r>
          </w:p>
        </w:tc>
        <w:tc>
          <w:tcPr>
            <w:tcW w:w="6680" w:type="dxa"/>
            <w:vAlign w:val="bottom"/>
          </w:tcPr>
          <w:p>
            <w:pPr>
              <w:ind w:left="120"/>
              <w:spacing w:after="0"/>
              <w:rPr>
                <w:sz w:val="20"/>
                <w:szCs w:val="20"/>
                <w:color w:val="auto"/>
              </w:rPr>
            </w:pPr>
            <w:r>
              <w:rPr>
                <w:rFonts w:ascii="Arial" w:cs="Arial" w:eastAsia="Arial" w:hAnsi="Arial"/>
                <w:sz w:val="16"/>
                <w:szCs w:val="16"/>
                <w:color w:val="auto"/>
              </w:rPr>
              <w:t>Salary, STIP, PSUs, and RSUs are included in the executive compensation program.</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8D7D7"/>
            </w:tcBorders>
          </w:tcPr>
          <w:p>
            <w:pPr>
              <w:spacing w:after="0"/>
              <w:rPr>
                <w:sz w:val="15"/>
                <w:szCs w:val="15"/>
                <w:color w:val="auto"/>
              </w:rPr>
            </w:pPr>
          </w:p>
        </w:tc>
        <w:tc>
          <w:tcPr>
            <w:tcW w:w="6680" w:type="dxa"/>
            <w:vAlign w:val="bottom"/>
            <w:tcBorders>
              <w:bottom w:val="single" w:sz="8" w:color="D8D7D7"/>
            </w:tcBorders>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Short-Term and</w:t>
            </w:r>
          </w:p>
        </w:tc>
        <w:tc>
          <w:tcPr>
            <w:tcW w:w="6680" w:type="dxa"/>
            <w:vAlign w:val="bottom"/>
          </w:tcPr>
          <w:p>
            <w:pPr>
              <w:ind w:left="120"/>
              <w:spacing w:after="0"/>
              <w:rPr>
                <w:sz w:val="20"/>
                <w:szCs w:val="20"/>
                <w:color w:val="auto"/>
              </w:rPr>
            </w:pPr>
            <w:r>
              <w:rPr>
                <w:rFonts w:ascii="Arial" w:cs="Arial" w:eastAsia="Arial" w:hAnsi="Arial"/>
                <w:sz w:val="16"/>
                <w:szCs w:val="16"/>
                <w:color w:val="auto"/>
              </w:rPr>
              <w:t>The mix of our short-term and long-term compensation plans appropriately rewards</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Long-Term Plans</w:t>
            </w:r>
          </w:p>
        </w:tc>
        <w:tc>
          <w:tcPr>
            <w:tcW w:w="6680" w:type="dxa"/>
            <w:vAlign w:val="bottom"/>
          </w:tcPr>
          <w:p>
            <w:pPr>
              <w:ind w:left="120"/>
              <w:spacing w:after="0"/>
              <w:rPr>
                <w:sz w:val="20"/>
                <w:szCs w:val="20"/>
                <w:color w:val="auto"/>
              </w:rPr>
            </w:pPr>
            <w:r>
              <w:rPr>
                <w:rFonts w:ascii="Arial" w:cs="Arial" w:eastAsia="Arial" w:hAnsi="Arial"/>
                <w:sz w:val="16"/>
                <w:szCs w:val="16"/>
                <w:color w:val="auto"/>
              </w:rPr>
              <w:t>employees while balancing risk through the delayed payment of long-term awards.</w:t>
            </w:r>
          </w:p>
        </w:tc>
        <w:tc>
          <w:tcPr>
            <w:tcW w:w="0" w:type="dxa"/>
            <w:vAlign w:val="bottom"/>
          </w:tcPr>
          <w:p>
            <w:pPr>
              <w:spacing w:after="0"/>
              <w:rPr>
                <w:sz w:val="1"/>
                <w:szCs w:val="1"/>
                <w:color w:val="auto"/>
              </w:rPr>
            </w:pPr>
          </w:p>
        </w:tc>
      </w:tr>
      <w:tr>
        <w:trPr>
          <w:trHeight w:val="75"/>
        </w:trPr>
        <w:tc>
          <w:tcPr>
            <w:tcW w:w="2400" w:type="dxa"/>
            <w:vAlign w:val="bottom"/>
            <w:tcBorders>
              <w:bottom w:val="single" w:sz="8" w:color="D8D7D7"/>
            </w:tcBorders>
          </w:tcPr>
          <w:p>
            <w:pPr>
              <w:spacing w:after="0"/>
              <w:rPr>
                <w:sz w:val="6"/>
                <w:szCs w:val="6"/>
                <w:color w:val="auto"/>
              </w:rPr>
            </w:pPr>
          </w:p>
        </w:tc>
        <w:tc>
          <w:tcPr>
            <w:tcW w:w="6680" w:type="dxa"/>
            <w:vAlign w:val="bottom"/>
            <w:tcBorders>
              <w:bottom w:val="single" w:sz="8" w:color="D8D7D7"/>
            </w:tcBorders>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Adjustments to</w:t>
            </w:r>
          </w:p>
        </w:tc>
        <w:tc>
          <w:tcPr>
            <w:tcW w:w="6680" w:type="dxa"/>
            <w:vAlign w:val="bottom"/>
          </w:tcPr>
          <w:p>
            <w:pPr>
              <w:ind w:left="120"/>
              <w:spacing w:after="0"/>
              <w:rPr>
                <w:sz w:val="20"/>
                <w:szCs w:val="20"/>
                <w:color w:val="auto"/>
              </w:rPr>
            </w:pPr>
            <w:r>
              <w:rPr>
                <w:rFonts w:ascii="Arial" w:cs="Arial" w:eastAsia="Arial" w:hAnsi="Arial"/>
                <w:sz w:val="16"/>
                <w:szCs w:val="16"/>
                <w:color w:val="auto"/>
              </w:rPr>
              <w:t>Maximum payout caps are in place for incentive compensation, and the Compensation</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Compensation</w:t>
            </w:r>
          </w:p>
        </w:tc>
        <w:tc>
          <w:tcPr>
            <w:tcW w:w="6680" w:type="dxa"/>
            <w:vAlign w:val="bottom"/>
          </w:tcPr>
          <w:p>
            <w:pPr>
              <w:ind w:left="120"/>
              <w:spacing w:after="0"/>
              <w:rPr>
                <w:sz w:val="20"/>
                <w:szCs w:val="20"/>
                <w:color w:val="auto"/>
              </w:rPr>
            </w:pPr>
            <w:r>
              <w:rPr>
                <w:rFonts w:ascii="Arial" w:cs="Arial" w:eastAsia="Arial" w:hAnsi="Arial"/>
                <w:sz w:val="16"/>
                <w:szCs w:val="16"/>
                <w:color w:val="auto"/>
              </w:rPr>
              <w:t>Committee has the ability to apply negative discretion.</w:t>
            </w:r>
          </w:p>
        </w:tc>
        <w:tc>
          <w:tcPr>
            <w:tcW w:w="0" w:type="dxa"/>
            <w:vAlign w:val="bottom"/>
          </w:tcPr>
          <w:p>
            <w:pPr>
              <w:spacing w:after="0"/>
              <w:rPr>
                <w:sz w:val="1"/>
                <w:szCs w:val="1"/>
                <w:color w:val="auto"/>
              </w:rPr>
            </w:pPr>
          </w:p>
        </w:tc>
      </w:tr>
      <w:tr>
        <w:trPr>
          <w:trHeight w:val="75"/>
        </w:trPr>
        <w:tc>
          <w:tcPr>
            <w:tcW w:w="2400" w:type="dxa"/>
            <w:vAlign w:val="bottom"/>
            <w:tcBorders>
              <w:bottom w:val="single" w:sz="8" w:color="D8D7D7"/>
            </w:tcBorders>
          </w:tcPr>
          <w:p>
            <w:pPr>
              <w:spacing w:after="0"/>
              <w:rPr>
                <w:sz w:val="6"/>
                <w:szCs w:val="6"/>
                <w:color w:val="auto"/>
              </w:rPr>
            </w:pPr>
          </w:p>
        </w:tc>
        <w:tc>
          <w:tcPr>
            <w:tcW w:w="6680" w:type="dxa"/>
            <w:vAlign w:val="bottom"/>
            <w:tcBorders>
              <w:bottom w:val="single" w:sz="8" w:color="D8D7D7"/>
            </w:tcBorders>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Compensation</w:t>
            </w:r>
          </w:p>
        </w:tc>
        <w:tc>
          <w:tcPr>
            <w:tcW w:w="6680" w:type="dxa"/>
            <w:vAlign w:val="bottom"/>
          </w:tcPr>
          <w:p>
            <w:pPr>
              <w:ind w:left="120"/>
              <w:spacing w:after="0"/>
              <w:rPr>
                <w:sz w:val="20"/>
                <w:szCs w:val="20"/>
                <w:color w:val="auto"/>
              </w:rPr>
            </w:pPr>
            <w:r>
              <w:rPr>
                <w:rFonts w:ascii="Arial" w:cs="Arial" w:eastAsia="Arial" w:hAnsi="Arial"/>
                <w:sz w:val="16"/>
                <w:szCs w:val="16"/>
                <w:color w:val="auto"/>
              </w:rPr>
              <w:t>Our Compensation Committee reviews plan performance and approves all executive</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Committee Oversight</w:t>
            </w:r>
          </w:p>
        </w:tc>
        <w:tc>
          <w:tcPr>
            <w:tcW w:w="6680" w:type="dxa"/>
            <w:vAlign w:val="bottom"/>
          </w:tcPr>
          <w:p>
            <w:pPr>
              <w:ind w:left="120"/>
              <w:spacing w:after="0"/>
              <w:rPr>
                <w:sz w:val="20"/>
                <w:szCs w:val="20"/>
                <w:color w:val="auto"/>
              </w:rPr>
            </w:pPr>
            <w:r>
              <w:rPr>
                <w:rFonts w:ascii="Arial" w:cs="Arial" w:eastAsia="Arial" w:hAnsi="Arial"/>
                <w:sz w:val="16"/>
                <w:szCs w:val="16"/>
                <w:color w:val="auto"/>
              </w:rPr>
              <w:t>compensation plans and payouts.</w:t>
            </w:r>
          </w:p>
        </w:tc>
        <w:tc>
          <w:tcPr>
            <w:tcW w:w="0" w:type="dxa"/>
            <w:vAlign w:val="bottom"/>
          </w:tcPr>
          <w:p>
            <w:pPr>
              <w:spacing w:after="0"/>
              <w:rPr>
                <w:sz w:val="1"/>
                <w:szCs w:val="1"/>
                <w:color w:val="auto"/>
              </w:rPr>
            </w:pPr>
          </w:p>
        </w:tc>
      </w:tr>
      <w:tr>
        <w:trPr>
          <w:trHeight w:val="75"/>
        </w:trPr>
        <w:tc>
          <w:tcPr>
            <w:tcW w:w="2400" w:type="dxa"/>
            <w:vAlign w:val="bottom"/>
            <w:tcBorders>
              <w:bottom w:val="single" w:sz="8" w:color="D8D7D7"/>
            </w:tcBorders>
          </w:tcPr>
          <w:p>
            <w:pPr>
              <w:spacing w:after="0"/>
              <w:rPr>
                <w:sz w:val="6"/>
                <w:szCs w:val="6"/>
                <w:color w:val="auto"/>
              </w:rPr>
            </w:pPr>
          </w:p>
        </w:tc>
        <w:tc>
          <w:tcPr>
            <w:tcW w:w="6680" w:type="dxa"/>
            <w:vAlign w:val="bottom"/>
            <w:tcBorders>
              <w:bottom w:val="single" w:sz="8" w:color="D8D7D7"/>
            </w:tcBorders>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Multiple Performance</w:t>
            </w:r>
          </w:p>
        </w:tc>
        <w:tc>
          <w:tcPr>
            <w:tcW w:w="6680" w:type="dxa"/>
            <w:vAlign w:val="bottom"/>
          </w:tcPr>
          <w:p>
            <w:pPr>
              <w:ind w:left="120"/>
              <w:spacing w:after="0"/>
              <w:rPr>
                <w:sz w:val="20"/>
                <w:szCs w:val="20"/>
                <w:color w:val="auto"/>
              </w:rPr>
            </w:pPr>
            <w:r>
              <w:rPr>
                <w:rFonts w:ascii="Arial" w:cs="Arial" w:eastAsia="Arial" w:hAnsi="Arial"/>
                <w:sz w:val="16"/>
                <w:szCs w:val="16"/>
                <w:color w:val="auto"/>
              </w:rPr>
              <w:t>Multiple performance measures work together to balance risk in our incentive</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Measures</w:t>
            </w:r>
          </w:p>
        </w:tc>
        <w:tc>
          <w:tcPr>
            <w:tcW w:w="6680" w:type="dxa"/>
            <w:vAlign w:val="bottom"/>
          </w:tcPr>
          <w:p>
            <w:pPr>
              <w:ind w:left="120"/>
              <w:spacing w:after="0"/>
              <w:rPr>
                <w:sz w:val="20"/>
                <w:szCs w:val="20"/>
                <w:color w:val="auto"/>
              </w:rPr>
            </w:pPr>
            <w:r>
              <w:rPr>
                <w:rFonts w:ascii="Arial" w:cs="Arial" w:eastAsia="Arial" w:hAnsi="Arial"/>
                <w:sz w:val="16"/>
                <w:szCs w:val="16"/>
                <w:color w:val="auto"/>
              </w:rPr>
              <w:t>compensation plans.</w:t>
            </w:r>
          </w:p>
        </w:tc>
        <w:tc>
          <w:tcPr>
            <w:tcW w:w="0" w:type="dxa"/>
            <w:vAlign w:val="bottom"/>
          </w:tcPr>
          <w:p>
            <w:pPr>
              <w:spacing w:after="0"/>
              <w:rPr>
                <w:sz w:val="1"/>
                <w:szCs w:val="1"/>
                <w:color w:val="auto"/>
              </w:rPr>
            </w:pPr>
          </w:p>
        </w:tc>
      </w:tr>
      <w:tr>
        <w:trPr>
          <w:trHeight w:val="75"/>
        </w:trPr>
        <w:tc>
          <w:tcPr>
            <w:tcW w:w="2400" w:type="dxa"/>
            <w:vAlign w:val="bottom"/>
            <w:tcBorders>
              <w:bottom w:val="single" w:sz="8" w:color="D8D7D7"/>
            </w:tcBorders>
          </w:tcPr>
          <w:p>
            <w:pPr>
              <w:spacing w:after="0"/>
              <w:rPr>
                <w:sz w:val="6"/>
                <w:szCs w:val="6"/>
                <w:color w:val="auto"/>
              </w:rPr>
            </w:pPr>
          </w:p>
        </w:tc>
        <w:tc>
          <w:tcPr>
            <w:tcW w:w="6680" w:type="dxa"/>
            <w:vAlign w:val="bottom"/>
            <w:tcBorders>
              <w:bottom w:val="single" w:sz="8" w:color="D8D7D7"/>
            </w:tcBorders>
          </w:tcPr>
          <w:p>
            <w:pPr>
              <w:spacing w:after="0"/>
              <w:rPr>
                <w:sz w:val="6"/>
                <w:szCs w:val="6"/>
                <w:color w:val="auto"/>
              </w:rPr>
            </w:pPr>
          </w:p>
        </w:tc>
        <w:tc>
          <w:tcPr>
            <w:tcW w:w="0" w:type="dxa"/>
            <w:vAlign w:val="bottom"/>
          </w:tcPr>
          <w:p>
            <w:pPr>
              <w:spacing w:after="0"/>
              <w:rPr>
                <w:sz w:val="1"/>
                <w:szCs w:val="1"/>
                <w:color w:val="auto"/>
              </w:rPr>
            </w:pPr>
          </w:p>
        </w:tc>
      </w:tr>
      <w:tr>
        <w:trPr>
          <w:trHeight w:val="317"/>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Stock Ownership</w:t>
            </w:r>
          </w:p>
        </w:tc>
        <w:tc>
          <w:tcPr>
            <w:tcW w:w="6680" w:type="dxa"/>
            <w:vAlign w:val="bottom"/>
            <w:vMerge w:val="restart"/>
          </w:tcPr>
          <w:p>
            <w:pPr>
              <w:ind w:left="120"/>
              <w:spacing w:after="0"/>
              <w:rPr>
                <w:sz w:val="20"/>
                <w:szCs w:val="20"/>
                <w:color w:val="auto"/>
              </w:rPr>
            </w:pPr>
            <w:r>
              <w:rPr>
                <w:rFonts w:ascii="Arial" w:cs="Arial" w:eastAsia="Arial" w:hAnsi="Arial"/>
                <w:sz w:val="16"/>
                <w:szCs w:val="16"/>
                <w:color w:val="auto"/>
              </w:rPr>
              <w:t>All senior leaders are subject to stock ownership requirements, as described below.</w:t>
            </w:r>
          </w:p>
        </w:tc>
        <w:tc>
          <w:tcPr>
            <w:tcW w:w="0" w:type="dxa"/>
            <w:vAlign w:val="bottom"/>
          </w:tcPr>
          <w:p>
            <w:pPr>
              <w:spacing w:after="0"/>
              <w:rPr>
                <w:sz w:val="1"/>
                <w:szCs w:val="1"/>
                <w:color w:val="auto"/>
              </w:rPr>
            </w:pPr>
          </w:p>
        </w:tc>
      </w:tr>
      <w:tr>
        <w:trPr>
          <w:trHeight w:val="107"/>
        </w:trPr>
        <w:tc>
          <w:tcPr>
            <w:tcW w:w="2400" w:type="dxa"/>
            <w:vAlign w:val="bottom"/>
            <w:vMerge w:val="restart"/>
          </w:tcPr>
          <w:p>
            <w:pPr>
              <w:ind w:left="640"/>
              <w:spacing w:after="0"/>
              <w:rPr>
                <w:sz w:val="20"/>
                <w:szCs w:val="20"/>
                <w:color w:val="auto"/>
              </w:rPr>
            </w:pPr>
            <w:r>
              <w:rPr>
                <w:rFonts w:ascii="Arial" w:cs="Arial" w:eastAsia="Arial" w:hAnsi="Arial"/>
                <w:sz w:val="16"/>
                <w:szCs w:val="16"/>
                <w:b w:val="1"/>
                <w:bCs w:val="1"/>
                <w:color w:val="0956FF"/>
              </w:rPr>
              <w:t>Requirements</w:t>
            </w:r>
          </w:p>
        </w:tc>
        <w:tc>
          <w:tcPr>
            <w:tcW w:w="6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400" w:type="dxa"/>
            <w:vAlign w:val="bottom"/>
            <w:vMerge w:val="continue"/>
          </w:tcPr>
          <w:p>
            <w:pPr>
              <w:spacing w:after="0"/>
              <w:rPr>
                <w:sz w:val="10"/>
                <w:szCs w:val="10"/>
                <w:color w:val="auto"/>
              </w:rPr>
            </w:pPr>
          </w:p>
        </w:tc>
        <w:tc>
          <w:tcPr>
            <w:tcW w:w="6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400" w:type="dxa"/>
            <w:vAlign w:val="bottom"/>
            <w:tcBorders>
              <w:bottom w:val="single" w:sz="8" w:color="D8D7D7"/>
            </w:tcBorders>
          </w:tcPr>
          <w:p>
            <w:pPr>
              <w:spacing w:after="0"/>
              <w:rPr>
                <w:sz w:val="6"/>
                <w:szCs w:val="6"/>
                <w:color w:val="auto"/>
              </w:rPr>
            </w:pPr>
          </w:p>
        </w:tc>
        <w:tc>
          <w:tcPr>
            <w:tcW w:w="6680" w:type="dxa"/>
            <w:vAlign w:val="bottom"/>
            <w:tcBorders>
              <w:bottom w:val="single" w:sz="8" w:color="D8D7D7"/>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Clawback and</w:t>
            </w:r>
          </w:p>
        </w:tc>
        <w:tc>
          <w:tcPr>
            <w:tcW w:w="6680" w:type="dxa"/>
            <w:vAlign w:val="bottom"/>
          </w:tcPr>
          <w:p>
            <w:pPr>
              <w:ind w:left="120"/>
              <w:spacing w:after="0"/>
              <w:rPr>
                <w:sz w:val="20"/>
                <w:szCs w:val="20"/>
                <w:color w:val="auto"/>
              </w:rPr>
            </w:pPr>
            <w:r>
              <w:rPr>
                <w:rFonts w:ascii="Arial" w:cs="Arial" w:eastAsia="Arial" w:hAnsi="Arial"/>
                <w:sz w:val="16"/>
                <w:szCs w:val="16"/>
                <w:color w:val="auto"/>
              </w:rPr>
              <w:t>All awards are subject to our Policy on Recoupment of Incentive Compensation, as</w:t>
            </w:r>
          </w:p>
        </w:tc>
        <w:tc>
          <w:tcPr>
            <w:tcW w:w="0" w:type="dxa"/>
            <w:vAlign w:val="bottom"/>
          </w:tcPr>
          <w:p>
            <w:pPr>
              <w:spacing w:after="0"/>
              <w:rPr>
                <w:sz w:val="1"/>
                <w:szCs w:val="1"/>
                <w:color w:val="auto"/>
              </w:rPr>
            </w:pPr>
          </w:p>
        </w:tc>
      </w:tr>
      <w:tr>
        <w:trPr>
          <w:trHeight w:val="216"/>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Cancellation</w:t>
            </w:r>
          </w:p>
        </w:tc>
        <w:tc>
          <w:tcPr>
            <w:tcW w:w="6680" w:type="dxa"/>
            <w:vAlign w:val="bottom"/>
          </w:tcPr>
          <w:p>
            <w:pPr>
              <w:ind w:left="120"/>
              <w:spacing w:after="0"/>
              <w:rPr>
                <w:sz w:val="20"/>
                <w:szCs w:val="20"/>
                <w:color w:val="auto"/>
              </w:rPr>
            </w:pPr>
            <w:r>
              <w:rPr>
                <w:rFonts w:ascii="Arial" w:cs="Arial" w:eastAsia="Arial" w:hAnsi="Arial"/>
                <w:sz w:val="16"/>
                <w:szCs w:val="16"/>
                <w:color w:val="auto"/>
              </w:rPr>
              <w:t>described below. In addition, cancellation provisions apply to all outstanding STIP and</w:t>
            </w:r>
          </w:p>
        </w:tc>
        <w:tc>
          <w:tcPr>
            <w:tcW w:w="0" w:type="dxa"/>
            <w:vAlign w:val="bottom"/>
          </w:tcPr>
          <w:p>
            <w:pPr>
              <w:spacing w:after="0"/>
              <w:rPr>
                <w:sz w:val="1"/>
                <w:szCs w:val="1"/>
                <w:color w:val="auto"/>
              </w:rPr>
            </w:pPr>
          </w:p>
        </w:tc>
      </w:tr>
      <w:tr>
        <w:trPr>
          <w:trHeight w:val="223"/>
        </w:trPr>
        <w:tc>
          <w:tcPr>
            <w:tcW w:w="2400" w:type="dxa"/>
            <w:vAlign w:val="bottom"/>
          </w:tcPr>
          <w:p>
            <w:pPr>
              <w:ind w:left="640"/>
              <w:spacing w:after="0"/>
              <w:rPr>
                <w:sz w:val="20"/>
                <w:szCs w:val="20"/>
                <w:color w:val="auto"/>
              </w:rPr>
            </w:pPr>
            <w:r>
              <w:rPr>
                <w:rFonts w:ascii="Arial" w:cs="Arial" w:eastAsia="Arial" w:hAnsi="Arial"/>
                <w:sz w:val="16"/>
                <w:szCs w:val="16"/>
                <w:b w:val="1"/>
                <w:bCs w:val="1"/>
                <w:color w:val="0956FF"/>
              </w:rPr>
              <w:t>Provisions</w:t>
            </w:r>
          </w:p>
        </w:tc>
        <w:tc>
          <w:tcPr>
            <w:tcW w:w="6680" w:type="dxa"/>
            <w:vAlign w:val="bottom"/>
          </w:tcPr>
          <w:p>
            <w:pPr>
              <w:ind w:left="120"/>
              <w:spacing w:after="0"/>
              <w:rPr>
                <w:sz w:val="20"/>
                <w:szCs w:val="20"/>
                <w:color w:val="auto"/>
              </w:rPr>
            </w:pPr>
            <w:r>
              <w:rPr>
                <w:rFonts w:ascii="Arial" w:cs="Arial" w:eastAsia="Arial" w:hAnsi="Arial"/>
                <w:sz w:val="16"/>
                <w:szCs w:val="16"/>
                <w:color w:val="auto"/>
              </w:rPr>
              <w:t>LTIP awards.</w:t>
            </w:r>
          </w:p>
        </w:tc>
        <w:tc>
          <w:tcPr>
            <w:tcW w:w="0" w:type="dxa"/>
            <w:vAlign w:val="bottom"/>
          </w:tcPr>
          <w:p>
            <w:pPr>
              <w:spacing w:after="0"/>
              <w:rPr>
                <w:sz w:val="1"/>
                <w:szCs w:val="1"/>
                <w:color w:val="auto"/>
              </w:rPr>
            </w:pPr>
          </w:p>
        </w:tc>
      </w:tr>
      <w:tr>
        <w:trPr>
          <w:trHeight w:val="48"/>
        </w:trPr>
        <w:tc>
          <w:tcPr>
            <w:tcW w:w="2400" w:type="dxa"/>
            <w:vAlign w:val="bottom"/>
            <w:tcBorders>
              <w:bottom w:val="single" w:sz="8" w:color="0956FF"/>
            </w:tcBorders>
          </w:tcPr>
          <w:p>
            <w:pPr>
              <w:spacing w:after="0"/>
              <w:rPr>
                <w:sz w:val="4"/>
                <w:szCs w:val="4"/>
                <w:color w:val="auto"/>
              </w:rPr>
            </w:pPr>
          </w:p>
        </w:tc>
        <w:tc>
          <w:tcPr>
            <w:tcW w:w="6680" w:type="dxa"/>
            <w:vAlign w:val="bottom"/>
            <w:tcBorders>
              <w:bottom w:val="single" w:sz="8" w:color="0956F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 2025, the Compensation Committee determined that our compensation programs have sufficient risk mitigation features and do not encourage or reward employees for engaging in excessive, imprudent, inappropriate, or unnecessary risk-taking. Based on the Committee’s review, it was determined our compensation programs are low risk.</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9080"/>
          </w:cols>
          <w:pgMar w:left="1400" w:top="657" w:right="141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Policies and Governance Practices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Stock Ownership Requirements</w:t>
      </w:r>
    </w:p>
    <w:p>
      <w:pPr>
        <w:spacing w:after="0" w:line="114"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The Company requires our senior leaders to own GM stock to align their interests with those of our shareholders. Our stock ownership requirements:</w:t>
      </w:r>
    </w:p>
    <w:p>
      <w:pPr>
        <w:spacing w:after="0" w:line="88" w:lineRule="exact"/>
        <w:rPr>
          <w:sz w:val="20"/>
          <w:szCs w:val="20"/>
          <w:color w:val="auto"/>
        </w:rPr>
      </w:pPr>
    </w:p>
    <w:p>
      <w:pPr>
        <w:ind w:left="200" w:hanging="192"/>
        <w:spacing w:after="0"/>
        <w:tabs>
          <w:tab w:leader="none" w:pos="200" w:val="left"/>
        </w:tabs>
        <w:numPr>
          <w:ilvl w:val="0"/>
          <w:numId w:val="86"/>
        </w:numPr>
        <w:rPr>
          <w:rFonts w:ascii="Arial" w:cs="Arial" w:eastAsia="Arial" w:hAnsi="Arial"/>
          <w:sz w:val="16"/>
          <w:szCs w:val="16"/>
          <w:color w:val="0956FF"/>
        </w:rPr>
      </w:pPr>
      <w:r>
        <w:rPr>
          <w:rFonts w:ascii="Arial" w:cs="Arial" w:eastAsia="Arial" w:hAnsi="Arial"/>
          <w:sz w:val="16"/>
          <w:szCs w:val="16"/>
          <w:color w:val="auto"/>
        </w:rPr>
        <w:t>Cover all senior leaders</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86"/>
        </w:numPr>
        <w:rPr>
          <w:rFonts w:ascii="Arial" w:cs="Arial" w:eastAsia="Arial" w:hAnsi="Arial"/>
          <w:sz w:val="16"/>
          <w:szCs w:val="16"/>
          <w:color w:val="0956FF"/>
        </w:rPr>
      </w:pPr>
      <w:r>
        <w:rPr>
          <w:rFonts w:ascii="Arial" w:cs="Arial" w:eastAsia="Arial" w:hAnsi="Arial"/>
          <w:sz w:val="16"/>
          <w:szCs w:val="16"/>
          <w:color w:val="auto"/>
        </w:rPr>
        <w:t>Establish a multiple of each executive’s salary</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86"/>
        </w:numPr>
        <w:rPr>
          <w:rFonts w:ascii="Arial" w:cs="Arial" w:eastAsia="Arial" w:hAnsi="Arial"/>
          <w:sz w:val="16"/>
          <w:szCs w:val="16"/>
          <w:color w:val="0956FF"/>
        </w:rPr>
      </w:pPr>
      <w:r>
        <w:rPr>
          <w:rFonts w:ascii="Arial" w:cs="Arial" w:eastAsia="Arial" w:hAnsi="Arial"/>
          <w:sz w:val="16"/>
          <w:szCs w:val="16"/>
          <w:color w:val="auto"/>
        </w:rPr>
        <w:t>Set a five-year time frame to meet ownership requirements</w:t>
      </w:r>
    </w:p>
    <w:p>
      <w:pPr>
        <w:spacing w:after="0" w:line="72" w:lineRule="exact"/>
        <w:rPr>
          <w:rFonts w:ascii="Arial" w:cs="Arial" w:eastAsia="Arial" w:hAnsi="Arial"/>
          <w:sz w:val="16"/>
          <w:szCs w:val="16"/>
          <w:color w:val="0956FF"/>
        </w:rPr>
      </w:pPr>
    </w:p>
    <w:p>
      <w:pPr>
        <w:ind w:left="200" w:hanging="192"/>
        <w:spacing w:after="0"/>
        <w:tabs>
          <w:tab w:leader="none" w:pos="200" w:val="left"/>
        </w:tabs>
        <w:numPr>
          <w:ilvl w:val="0"/>
          <w:numId w:val="86"/>
        </w:numPr>
        <w:rPr>
          <w:rFonts w:ascii="Arial" w:cs="Arial" w:eastAsia="Arial" w:hAnsi="Arial"/>
          <w:sz w:val="16"/>
          <w:szCs w:val="16"/>
          <w:color w:val="0956FF"/>
        </w:rPr>
      </w:pPr>
      <w:r>
        <w:rPr>
          <w:rFonts w:ascii="Arial" w:cs="Arial" w:eastAsia="Arial" w:hAnsi="Arial"/>
          <w:sz w:val="16"/>
          <w:szCs w:val="16"/>
          <w:color w:val="auto"/>
        </w:rPr>
        <w:t>Require senior leaders to continually hold shares to maintain ownership requirements</w:t>
      </w:r>
    </w:p>
    <w:p>
      <w:pPr>
        <w:spacing w:after="0" w:line="86" w:lineRule="exact"/>
        <w:rPr>
          <w:rFonts w:ascii="Arial" w:cs="Arial" w:eastAsia="Arial" w:hAnsi="Arial"/>
          <w:sz w:val="16"/>
          <w:szCs w:val="16"/>
          <w:color w:val="0956FF"/>
        </w:rPr>
      </w:pPr>
    </w:p>
    <w:p>
      <w:pPr>
        <w:ind w:left="200" w:right="1480" w:hanging="192"/>
        <w:spacing w:after="0" w:line="316" w:lineRule="auto"/>
        <w:tabs>
          <w:tab w:leader="none" w:pos="200" w:val="left"/>
        </w:tabs>
        <w:numPr>
          <w:ilvl w:val="0"/>
          <w:numId w:val="86"/>
        </w:numPr>
        <w:rPr>
          <w:rFonts w:ascii="Arial" w:cs="Arial" w:eastAsia="Arial" w:hAnsi="Arial"/>
          <w:sz w:val="16"/>
          <w:szCs w:val="16"/>
          <w:color w:val="0956FF"/>
        </w:rPr>
      </w:pPr>
      <w:r>
        <w:rPr>
          <w:rFonts w:ascii="Arial" w:cs="Arial" w:eastAsia="Arial" w:hAnsi="Arial"/>
          <w:sz w:val="16"/>
          <w:szCs w:val="16"/>
          <w:color w:val="auto"/>
        </w:rPr>
        <w:t>Allow the opportunity to own either a required number of shares or the total dollar value of shares to meet ownership requirements</w:t>
      </w:r>
    </w:p>
    <w:p>
      <w:pPr>
        <w:spacing w:after="0" w:line="1" w:lineRule="exact"/>
        <w:rPr>
          <w:rFonts w:ascii="Arial" w:cs="Arial" w:eastAsia="Arial" w:hAnsi="Arial"/>
          <w:sz w:val="16"/>
          <w:szCs w:val="16"/>
          <w:color w:val="0956FF"/>
        </w:rPr>
      </w:pPr>
    </w:p>
    <w:p>
      <w:pPr>
        <w:ind w:left="200" w:hanging="192"/>
        <w:spacing w:after="0"/>
        <w:tabs>
          <w:tab w:leader="none" w:pos="200" w:val="left"/>
        </w:tabs>
        <w:numPr>
          <w:ilvl w:val="0"/>
          <w:numId w:val="86"/>
        </w:numPr>
        <w:rPr>
          <w:rFonts w:ascii="Arial" w:cs="Arial" w:eastAsia="Arial" w:hAnsi="Arial"/>
          <w:sz w:val="16"/>
          <w:szCs w:val="16"/>
          <w:color w:val="0956FF"/>
        </w:rPr>
      </w:pPr>
      <w:r>
        <w:rPr>
          <w:rFonts w:ascii="Arial" w:cs="Arial" w:eastAsia="Arial" w:hAnsi="Arial"/>
          <w:sz w:val="16"/>
          <w:szCs w:val="16"/>
          <w:color w:val="auto"/>
        </w:rPr>
        <w:t>Count only actual share holdings and unvested RSUs (i.e., excludes stock options and unvested PSUs)</w:t>
      </w:r>
    </w:p>
    <w:p>
      <w:pPr>
        <w:spacing w:after="0" w:line="86" w:lineRule="exact"/>
        <w:rPr>
          <w:rFonts w:ascii="Arial" w:cs="Arial" w:eastAsia="Arial" w:hAnsi="Arial"/>
          <w:sz w:val="16"/>
          <w:szCs w:val="16"/>
          <w:color w:val="0956FF"/>
        </w:rPr>
      </w:pPr>
    </w:p>
    <w:p>
      <w:pPr>
        <w:ind w:left="200" w:hanging="192"/>
        <w:spacing w:after="0"/>
        <w:tabs>
          <w:tab w:leader="none" w:pos="200" w:val="left"/>
        </w:tabs>
        <w:numPr>
          <w:ilvl w:val="0"/>
          <w:numId w:val="86"/>
        </w:numPr>
        <w:rPr>
          <w:rFonts w:ascii="Arial" w:cs="Arial" w:eastAsia="Arial" w:hAnsi="Arial"/>
          <w:sz w:val="16"/>
          <w:szCs w:val="16"/>
          <w:color w:val="0956FF"/>
        </w:rPr>
      </w:pPr>
      <w:r>
        <w:rPr>
          <w:rFonts w:ascii="Arial" w:cs="Arial" w:eastAsia="Arial" w:hAnsi="Arial"/>
          <w:sz w:val="16"/>
          <w:szCs w:val="16"/>
          <w:color w:val="auto"/>
        </w:rPr>
        <w:t>Include ongoing refreshment of stock ownership requirements after each five-year requirement is met</w:t>
      </w:r>
    </w:p>
    <w:p>
      <w:pPr>
        <w:spacing w:after="0" w:line="181" w:lineRule="exact"/>
        <w:rPr>
          <w:sz w:val="20"/>
          <w:szCs w:val="20"/>
          <w:color w:val="auto"/>
        </w:rPr>
      </w:pPr>
    </w:p>
    <w:p>
      <w:pPr>
        <w:ind w:right="760"/>
        <w:spacing w:after="0" w:line="301" w:lineRule="auto"/>
        <w:rPr>
          <w:sz w:val="20"/>
          <w:szCs w:val="20"/>
          <w:color w:val="auto"/>
        </w:rPr>
      </w:pPr>
      <w:r>
        <w:rPr>
          <w:rFonts w:ascii="Arial" w:cs="Arial" w:eastAsia="Arial" w:hAnsi="Arial"/>
          <w:sz w:val="16"/>
          <w:szCs w:val="16"/>
          <w:color w:val="auto"/>
        </w:rPr>
        <w:t>The table below shows the stock ownership requirement by level in the Company. As of December 31, 2025, all NEOs who remain employed by the Company have met or are on track to meet stock ownership requirements by their respective deadlines.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Stock Ownership Covers All Senior Leaders</w:t>
      </w:r>
    </w:p>
    <w:p>
      <w:pPr>
        <w:spacing w:after="0" w:line="295" w:lineRule="exact"/>
        <w:rPr>
          <w:sz w:val="20"/>
          <w:szCs w:val="20"/>
          <w:color w:val="auto"/>
        </w:rPr>
      </w:pPr>
    </w:p>
    <w:p>
      <w:pPr>
        <w:ind w:left="6360"/>
        <w:spacing w:after="0"/>
        <w:rPr>
          <w:sz w:val="20"/>
          <w:szCs w:val="20"/>
          <w:color w:val="auto"/>
        </w:rPr>
      </w:pPr>
      <w:r>
        <w:rPr>
          <w:rFonts w:ascii="Arial" w:cs="Arial" w:eastAsia="Arial" w:hAnsi="Arial"/>
          <w:sz w:val="43"/>
          <w:szCs w:val="43"/>
          <w:b w:val="1"/>
          <w:bCs w:val="1"/>
          <w:color w:val="0956FF"/>
        </w:rPr>
        <w:t>33.9 times</w:t>
      </w:r>
    </w:p>
    <w:p>
      <w:pPr>
        <w:spacing w:after="0" w:line="91" w:lineRule="exact"/>
        <w:rPr>
          <w:sz w:val="20"/>
          <w:szCs w:val="20"/>
          <w:color w:val="auto"/>
        </w:rPr>
      </w:pPr>
    </w:p>
    <w:p>
      <w:pPr>
        <w:jc w:val="center"/>
        <w:ind w:left="5740"/>
        <w:spacing w:after="0"/>
        <w:rPr>
          <w:sz w:val="20"/>
          <w:szCs w:val="20"/>
          <w:color w:val="auto"/>
        </w:rPr>
      </w:pPr>
      <w:r>
        <w:rPr>
          <w:rFonts w:ascii="Arial" w:cs="Arial" w:eastAsia="Arial" w:hAnsi="Arial"/>
          <w:sz w:val="16"/>
          <w:szCs w:val="16"/>
          <w:color w:val="0956FF"/>
        </w:rPr>
        <w:t>annual salary</w:t>
      </w:r>
    </w:p>
    <w:p>
      <w:pPr>
        <w:spacing w:after="0" w:line="111" w:lineRule="exact"/>
        <w:rPr>
          <w:sz w:val="20"/>
          <w:szCs w:val="20"/>
          <w:color w:val="auto"/>
        </w:rPr>
      </w:pPr>
    </w:p>
    <w:p>
      <w:pPr>
        <w:jc w:val="center"/>
        <w:ind w:left="7060" w:right="480"/>
        <w:spacing w:after="0" w:line="281" w:lineRule="auto"/>
        <w:rPr>
          <w:sz w:val="20"/>
          <w:szCs w:val="20"/>
          <w:color w:val="auto"/>
        </w:rPr>
      </w:pPr>
      <w:r>
        <w:rPr>
          <w:rFonts w:ascii="Arial" w:cs="Arial" w:eastAsia="Arial" w:hAnsi="Arial"/>
          <w:sz w:val="16"/>
          <w:szCs w:val="16"/>
          <w:color w:val="auto"/>
        </w:rPr>
        <w:t>The value of GM common stock and unvested RSUs held by GM’s Chair and CEO, Mary T. Barra,</w:t>
      </w:r>
    </w:p>
    <w:p>
      <w:pPr>
        <w:ind w:left="6660"/>
        <w:spacing w:after="0"/>
        <w:rPr>
          <w:sz w:val="20"/>
          <w:szCs w:val="20"/>
          <w:color w:val="auto"/>
        </w:rPr>
      </w:pPr>
      <w:r>
        <w:rPr>
          <w:rFonts w:ascii="Arial" w:cs="Arial" w:eastAsia="Arial" w:hAnsi="Arial"/>
          <w:sz w:val="16"/>
          <w:szCs w:val="16"/>
          <w:color w:val="auto"/>
        </w:rPr>
        <w:t>as of March 31,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Policy on Recoupment of Incentive Compensation</w:t>
      </w:r>
    </w:p>
    <w:p>
      <w:pPr>
        <w:spacing w:after="0" w:line="128" w:lineRule="exact"/>
        <w:rPr>
          <w:sz w:val="20"/>
          <w:szCs w:val="20"/>
          <w:color w:val="auto"/>
        </w:rPr>
      </w:pPr>
    </w:p>
    <w:p>
      <w:pPr>
        <w:ind w:right="460"/>
        <w:spacing w:after="0" w:line="284" w:lineRule="auto"/>
        <w:rPr>
          <w:sz w:val="20"/>
          <w:szCs w:val="20"/>
          <w:color w:val="auto"/>
        </w:rPr>
      </w:pPr>
      <w:r>
        <w:rPr>
          <w:rFonts w:ascii="Arial" w:cs="Arial" w:eastAsia="Arial" w:hAnsi="Arial"/>
          <w:sz w:val="16"/>
          <w:szCs w:val="16"/>
          <w:color w:val="auto"/>
        </w:rPr>
        <w:t xml:space="preserve">Under our Policy on Recoupment of Incentive Compensation (available on our website at </w:t>
      </w:r>
      <w:r>
        <w:rPr>
          <w:rFonts w:ascii="Arial" w:cs="Arial" w:eastAsia="Arial" w:hAnsi="Arial"/>
          <w:sz w:val="16"/>
          <w:szCs w:val="16"/>
          <w:u w:val="single" w:color="auto"/>
          <w:color w:val="0956FF"/>
        </w:rPr>
        <w:t>investor.gm.com/governanceandsustainability</w:t>
      </w:r>
      <w:r>
        <w:rPr>
          <w:rFonts w:ascii="Arial" w:cs="Arial" w:eastAsia="Arial" w:hAnsi="Arial"/>
          <w:sz w:val="16"/>
          <w:szCs w:val="16"/>
          <w:color w:val="0956FF"/>
        </w:rPr>
        <w:t xml:space="preserve"> </w:t>
      </w:r>
      <w:r>
        <w:rPr>
          <w:rFonts w:ascii="Arial" w:cs="Arial" w:eastAsia="Arial" w:hAnsi="Arial"/>
          <w:sz w:val="16"/>
          <w:szCs w:val="16"/>
          <w:color w:val="000000"/>
        </w:rPr>
        <w:t>), the Compensation Committee is empowered to recoup (“clawback”)</w:t>
      </w:r>
      <w:r>
        <w:rPr>
          <w:rFonts w:ascii="Arial" w:cs="Arial" w:eastAsia="Arial" w:hAnsi="Arial"/>
          <w:sz w:val="16"/>
          <w:szCs w:val="16"/>
          <w:color w:val="0956FF"/>
        </w:rPr>
        <w:t xml:space="preserve"> </w:t>
      </w:r>
      <w:r>
        <w:rPr>
          <w:rFonts w:ascii="Arial" w:cs="Arial" w:eastAsia="Arial" w:hAnsi="Arial"/>
          <w:sz w:val="16"/>
          <w:szCs w:val="16"/>
          <w:color w:val="000000"/>
        </w:rPr>
        <w:t>compensation paid to executive officers and other executives under its purview. In the event of employee misconduct that causes specified financial or reputational damage, a materially inaccurate performance calculation, or an accounting restatement, the Committee may seek to clawback paid incentive compensation. The Committee may also cancel outstanding equity-based awards granted to any covered employee if that employee engages in conduct detrimental to the Company. This policy was expanded in 2020 to cover additional executives and scenarios of misconduct beyond only an accounting restatement. The policy was further updated in 2023 to expand the definition of an accounting restatement to cover material non-compliance with any financial reporting requirement in accordance with securities laws and NYSE listing standards.</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59</w:t>
      </w:r>
    </w:p>
    <w:p>
      <w:pPr>
        <w:sectPr>
          <w:pgSz w:w="11900" w:h="16838" w:orient="portrait"/>
          <w:cols w:equalWidth="0" w:num="1">
            <w:col w:w="9220"/>
          </w:cols>
          <w:pgMar w:left="1400" w:top="657" w:right="127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20" w:type="dxa"/>
            <w:vAlign w:val="bottom"/>
            <w:shd w:val="clear" w:color="auto" w:fill="ECEBEB"/>
          </w:tcPr>
          <w:p>
            <w:pPr>
              <w:spacing w:after="0"/>
              <w:rPr>
                <w:sz w:val="21"/>
                <w:szCs w:val="21"/>
                <w:color w:val="auto"/>
              </w:rPr>
            </w:pPr>
          </w:p>
        </w:tc>
        <w:tc>
          <w:tcPr>
            <w:tcW w:w="2900" w:type="dxa"/>
            <w:vAlign w:val="bottom"/>
            <w:shd w:val="clear" w:color="auto" w:fill="ECEBEB"/>
          </w:tcPr>
          <w:p>
            <w:pPr>
              <w:ind w:left="620"/>
              <w:spacing w:after="0"/>
              <w:rPr>
                <w:sz w:val="20"/>
                <w:szCs w:val="20"/>
                <w:color w:val="auto"/>
              </w:rPr>
            </w:pPr>
            <w:r>
              <w:rPr>
                <w:rFonts w:ascii="Arial" w:cs="Arial" w:eastAsia="Arial" w:hAnsi="Arial"/>
                <w:sz w:val="14"/>
                <w:szCs w:val="14"/>
                <w:b w:val="1"/>
                <w:bCs w:val="1"/>
                <w:color w:val="auto"/>
              </w:rPr>
              <w:t>Cancellation and Clawback Due</w:t>
            </w:r>
          </w:p>
        </w:tc>
        <w:tc>
          <w:tcPr>
            <w:tcW w:w="2460" w:type="dxa"/>
            <w:vAlign w:val="bottom"/>
            <w:shd w:val="clear" w:color="auto" w:fill="ECEBEB"/>
          </w:tcPr>
          <w:p>
            <w:pPr>
              <w:spacing w:after="0"/>
              <w:rPr>
                <w:sz w:val="21"/>
                <w:szCs w:val="21"/>
                <w:color w:val="auto"/>
              </w:rPr>
            </w:pPr>
          </w:p>
        </w:tc>
      </w:tr>
      <w:tr>
        <w:trPr>
          <w:trHeight w:val="162"/>
        </w:trPr>
        <w:tc>
          <w:tcPr>
            <w:tcW w:w="3720" w:type="dxa"/>
            <w:vAlign w:val="bottom"/>
            <w:shd w:val="clear" w:color="auto" w:fill="ECEBEB"/>
          </w:tcPr>
          <w:p>
            <w:pPr>
              <w:spacing w:after="0"/>
              <w:rPr>
                <w:sz w:val="14"/>
                <w:szCs w:val="14"/>
                <w:color w:val="auto"/>
              </w:rPr>
            </w:pPr>
          </w:p>
        </w:tc>
        <w:tc>
          <w:tcPr>
            <w:tcW w:w="2900" w:type="dxa"/>
            <w:vAlign w:val="bottom"/>
            <w:shd w:val="clear" w:color="auto" w:fill="ECEBEB"/>
          </w:tcPr>
          <w:p>
            <w:pPr>
              <w:ind w:left="620"/>
              <w:spacing w:after="0"/>
              <w:rPr>
                <w:sz w:val="20"/>
                <w:szCs w:val="20"/>
                <w:color w:val="auto"/>
              </w:rPr>
            </w:pPr>
            <w:r>
              <w:rPr>
                <w:rFonts w:ascii="Arial" w:cs="Arial" w:eastAsia="Arial" w:hAnsi="Arial"/>
                <w:sz w:val="14"/>
                <w:szCs w:val="14"/>
                <w:b w:val="1"/>
                <w:bCs w:val="1"/>
                <w:color w:val="auto"/>
              </w:rPr>
              <w:t>to Violation of Non-Compete</w:t>
            </w:r>
          </w:p>
        </w:tc>
        <w:tc>
          <w:tcPr>
            <w:tcW w:w="2460" w:type="dxa"/>
            <w:vAlign w:val="bottom"/>
            <w:shd w:val="clear" w:color="auto" w:fill="ECEBEB"/>
          </w:tcPr>
          <w:p>
            <w:pPr>
              <w:ind w:left="120"/>
              <w:spacing w:after="0"/>
              <w:rPr>
                <w:sz w:val="20"/>
                <w:szCs w:val="20"/>
                <w:color w:val="auto"/>
              </w:rPr>
            </w:pPr>
            <w:r>
              <w:rPr>
                <w:rFonts w:ascii="Arial" w:cs="Arial" w:eastAsia="Arial" w:hAnsi="Arial"/>
                <w:sz w:val="14"/>
                <w:szCs w:val="14"/>
                <w:b w:val="1"/>
                <w:bCs w:val="1"/>
                <w:color w:val="auto"/>
              </w:rPr>
              <w:t>Cancellation of Unvested and</w:t>
            </w:r>
          </w:p>
        </w:tc>
      </w:tr>
      <w:tr>
        <w:trPr>
          <w:trHeight w:val="185"/>
        </w:trPr>
        <w:tc>
          <w:tcPr>
            <w:tcW w:w="3720" w:type="dxa"/>
            <w:vAlign w:val="bottom"/>
            <w:tcBorders>
              <w:bottom w:val="single" w:sz="8" w:color="0956FF"/>
            </w:tcBorders>
            <w:shd w:val="clear" w:color="auto" w:fill="ECEBEB"/>
          </w:tcPr>
          <w:p>
            <w:pPr>
              <w:ind w:left="1960"/>
              <w:spacing w:after="0"/>
              <w:rPr>
                <w:sz w:val="20"/>
                <w:szCs w:val="20"/>
                <w:color w:val="auto"/>
              </w:rPr>
            </w:pPr>
            <w:r>
              <w:rPr>
                <w:rFonts w:ascii="Arial" w:cs="Arial" w:eastAsia="Arial" w:hAnsi="Arial"/>
                <w:sz w:val="14"/>
                <w:szCs w:val="14"/>
                <w:b w:val="1"/>
                <w:bCs w:val="1"/>
                <w:color w:val="auto"/>
              </w:rPr>
              <w:t>Clawback Policy</w:t>
            </w:r>
          </w:p>
        </w:tc>
        <w:tc>
          <w:tcPr>
            <w:tcW w:w="2900" w:type="dxa"/>
            <w:vAlign w:val="bottom"/>
            <w:tcBorders>
              <w:bottom w:val="single" w:sz="8" w:color="0956FF"/>
            </w:tcBorders>
            <w:shd w:val="clear" w:color="auto" w:fill="ECEBEB"/>
          </w:tcPr>
          <w:p>
            <w:pPr>
              <w:ind w:left="620"/>
              <w:spacing w:after="0"/>
              <w:rPr>
                <w:sz w:val="20"/>
                <w:szCs w:val="20"/>
                <w:color w:val="auto"/>
              </w:rPr>
            </w:pPr>
            <w:r>
              <w:rPr>
                <w:rFonts w:ascii="Arial" w:cs="Arial" w:eastAsia="Arial" w:hAnsi="Arial"/>
                <w:sz w:val="14"/>
                <w:szCs w:val="14"/>
                <w:b w:val="1"/>
                <w:bCs w:val="1"/>
                <w:color w:val="auto"/>
              </w:rPr>
              <w:t>and Non-Solicitation Terms</w:t>
            </w:r>
          </w:p>
        </w:tc>
        <w:tc>
          <w:tcPr>
            <w:tcW w:w="2460" w:type="dxa"/>
            <w:vAlign w:val="bottom"/>
            <w:tcBorders>
              <w:bottom w:val="single" w:sz="8" w:color="0956FF"/>
            </w:tcBorders>
            <w:shd w:val="clear" w:color="auto" w:fill="ECEBEB"/>
          </w:tcPr>
          <w:p>
            <w:pPr>
              <w:ind w:left="120"/>
              <w:spacing w:after="0"/>
              <w:rPr>
                <w:sz w:val="20"/>
                <w:szCs w:val="20"/>
                <w:color w:val="auto"/>
              </w:rPr>
            </w:pPr>
            <w:r>
              <w:rPr>
                <w:rFonts w:ascii="Arial" w:cs="Arial" w:eastAsia="Arial" w:hAnsi="Arial"/>
                <w:sz w:val="14"/>
                <w:szCs w:val="14"/>
                <w:b w:val="1"/>
                <w:bCs w:val="1"/>
                <w:color w:val="auto"/>
              </w:rPr>
              <w:t>Outstanding Awards</w:t>
            </w:r>
          </w:p>
        </w:tc>
      </w:tr>
    </w:tbl>
    <w:p>
      <w:pPr>
        <w:spacing w:after="0" w:line="80" w:lineRule="exact"/>
        <w:rPr>
          <w:sz w:val="20"/>
          <w:szCs w:val="20"/>
          <w:color w:val="auto"/>
        </w:rPr>
      </w:pPr>
    </w:p>
    <w:p>
      <w:pPr>
        <w:sectPr>
          <w:pgSz w:w="11900" w:h="16838" w:orient="portrait"/>
          <w:cols w:equalWidth="0" w:num="1">
            <w:col w:w="9080"/>
          </w:cols>
          <w:pgMar w:left="1400" w:top="657" w:right="1419" w:bottom="1440" w:gutter="0" w:footer="0" w:header="0"/>
        </w:sectPr>
      </w:pPr>
    </w:p>
    <w:p>
      <w:pPr>
        <w:ind w:left="60"/>
        <w:spacing w:after="0"/>
        <w:tabs>
          <w:tab w:leader="none" w:pos="1940" w:val="left"/>
        </w:tabs>
        <w:rPr>
          <w:sz w:val="20"/>
          <w:szCs w:val="20"/>
          <w:color w:val="auto"/>
        </w:rPr>
      </w:pPr>
      <w:r>
        <w:rPr>
          <w:rFonts w:ascii="Arial" w:cs="Arial" w:eastAsia="Arial" w:hAnsi="Arial"/>
          <w:sz w:val="16"/>
          <w:szCs w:val="16"/>
          <w:b w:val="1"/>
          <w:bCs w:val="1"/>
          <w:color w:val="auto"/>
        </w:rPr>
        <w:t>Covered Population</w:t>
      </w:r>
      <w:r>
        <w:rPr>
          <w:sz w:val="20"/>
          <w:szCs w:val="20"/>
          <w:color w:val="auto"/>
        </w:rPr>
        <w:tab/>
      </w:r>
      <w:r>
        <w:rPr>
          <w:rFonts w:ascii="Arial" w:cs="Arial" w:eastAsia="Arial" w:hAnsi="Arial"/>
          <w:sz w:val="16"/>
          <w:szCs w:val="16"/>
          <w:color w:val="auto"/>
        </w:rPr>
        <w:t>Executive officers and other</w:t>
      </w:r>
    </w:p>
    <w:p>
      <w:pPr>
        <w:spacing w:after="0" w:line="3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executives under the</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purview of the</w:t>
      </w:r>
    </w:p>
    <w:p>
      <w:pPr>
        <w:spacing w:after="0" w:line="32"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spacing w:after="0"/>
              <w:rPr>
                <w:sz w:val="20"/>
                <w:szCs w:val="20"/>
                <w:color w:val="auto"/>
              </w:rPr>
            </w:pPr>
            <w:r>
              <w:rPr>
                <w:rFonts w:ascii="Arial" w:cs="Arial" w:eastAsia="Arial" w:hAnsi="Arial"/>
                <w:sz w:val="16"/>
                <w:szCs w:val="16"/>
                <w:color w:val="auto"/>
              </w:rPr>
              <w:t>Approximately</w:t>
            </w:r>
          </w:p>
        </w:tc>
        <w:tc>
          <w:tcPr>
            <w:tcW w:w="2620" w:type="dxa"/>
            <w:vAlign w:val="bottom"/>
          </w:tcPr>
          <w:p>
            <w:pPr>
              <w:ind w:left="540"/>
              <w:spacing w:after="0"/>
              <w:rPr>
                <w:sz w:val="20"/>
                <w:szCs w:val="20"/>
                <w:color w:val="auto"/>
              </w:rPr>
            </w:pPr>
            <w:r>
              <w:rPr>
                <w:rFonts w:ascii="Arial" w:cs="Arial" w:eastAsia="Arial" w:hAnsi="Arial"/>
                <w:sz w:val="16"/>
                <w:szCs w:val="16"/>
                <w:color w:val="auto"/>
              </w:rPr>
              <w:t>All employees that receive</w:t>
            </w:r>
          </w:p>
        </w:tc>
      </w:tr>
      <w:tr>
        <w:trPr>
          <w:trHeight w:val="242"/>
        </w:trPr>
        <w:tc>
          <w:tcPr>
            <w:tcW w:w="1860" w:type="dxa"/>
            <w:vAlign w:val="bottom"/>
          </w:tcPr>
          <w:p>
            <w:pPr>
              <w:spacing w:after="0"/>
              <w:rPr>
                <w:sz w:val="20"/>
                <w:szCs w:val="20"/>
                <w:color w:val="auto"/>
              </w:rPr>
            </w:pPr>
            <w:r>
              <w:rPr>
                <w:rFonts w:ascii="Arial" w:cs="Arial" w:eastAsia="Arial" w:hAnsi="Arial"/>
                <w:sz w:val="16"/>
                <w:szCs w:val="16"/>
                <w:color w:val="auto"/>
              </w:rPr>
              <w:t>250 senior leaders</w:t>
            </w:r>
          </w:p>
        </w:tc>
        <w:tc>
          <w:tcPr>
            <w:tcW w:w="2620" w:type="dxa"/>
            <w:vAlign w:val="bottom"/>
          </w:tcPr>
          <w:p>
            <w:pPr>
              <w:ind w:left="540"/>
              <w:spacing w:after="0"/>
              <w:rPr>
                <w:sz w:val="20"/>
                <w:szCs w:val="20"/>
                <w:color w:val="auto"/>
              </w:rPr>
            </w:pPr>
            <w:r>
              <w:rPr>
                <w:rFonts w:ascii="Arial" w:cs="Arial" w:eastAsia="Arial" w:hAnsi="Arial"/>
                <w:sz w:val="16"/>
                <w:szCs w:val="16"/>
                <w:color w:val="auto"/>
                <w:w w:val="99"/>
              </w:rPr>
              <w:t>awards through STIP or LTIP</w:t>
            </w:r>
          </w:p>
        </w:tc>
      </w:tr>
    </w:tbl>
    <w:p>
      <w:pPr>
        <w:spacing w:after="0" w:line="582" w:lineRule="exact"/>
        <w:rPr>
          <w:sz w:val="20"/>
          <w:szCs w:val="20"/>
          <w:color w:val="auto"/>
        </w:rPr>
      </w:pPr>
    </w:p>
    <w:p>
      <w:pPr>
        <w:sectPr>
          <w:pgSz w:w="11900" w:h="16838" w:orient="portrait"/>
          <w:cols w:equalWidth="0" w:num="2">
            <w:col w:w="3960" w:space="380"/>
            <w:col w:w="4740"/>
          </w:cols>
          <w:pgMar w:left="1400" w:top="657" w:right="1419" w:bottom="1440" w:gutter="0" w:footer="0" w:header="0"/>
          <w:type w:val="continuous"/>
        </w:sectPr>
      </w:pPr>
    </w:p>
    <w:p>
      <w:pPr>
        <w:ind w:left="60"/>
        <w:spacing w:after="0"/>
        <w:tabs>
          <w:tab w:leader="none" w:pos="1940" w:val="left"/>
        </w:tabs>
        <w:rPr>
          <w:sz w:val="20"/>
          <w:szCs w:val="20"/>
          <w:color w:val="auto"/>
        </w:rPr>
      </w:pPr>
      <w:r>
        <w:rPr>
          <w:rFonts w:ascii="Arial" w:cs="Arial" w:eastAsia="Arial" w:hAnsi="Arial"/>
          <w:sz w:val="16"/>
          <w:szCs w:val="16"/>
          <w:b w:val="1"/>
          <w:bCs w:val="1"/>
          <w:color w:val="auto"/>
        </w:rPr>
        <w:t>Event Applicable</w:t>
      </w:r>
      <w:r>
        <w:rPr>
          <w:sz w:val="20"/>
          <w:szCs w:val="20"/>
          <w:color w:val="auto"/>
        </w:rPr>
        <w:tab/>
      </w:r>
      <w:r>
        <w:rPr>
          <w:rFonts w:ascii="Arial" w:cs="Arial" w:eastAsia="Arial" w:hAnsi="Arial"/>
          <w:sz w:val="16"/>
          <w:szCs w:val="16"/>
          <w:color w:val="auto"/>
        </w:rPr>
        <w:t>Following employee</w:t>
      </w:r>
    </w:p>
    <w:p>
      <w:pPr>
        <w:spacing w:after="0" w:line="39" w:lineRule="exact"/>
        <w:rPr>
          <w:sz w:val="20"/>
          <w:szCs w:val="20"/>
          <w:color w:val="auto"/>
        </w:rPr>
      </w:pPr>
    </w:p>
    <w:p>
      <w:pPr>
        <w:ind w:left="1960"/>
        <w:spacing w:after="0" w:line="286" w:lineRule="auto"/>
        <w:rPr>
          <w:sz w:val="20"/>
          <w:szCs w:val="20"/>
          <w:color w:val="auto"/>
        </w:rPr>
      </w:pPr>
      <w:r>
        <w:rPr>
          <w:rFonts w:ascii="Arial" w:cs="Arial" w:eastAsia="Arial" w:hAnsi="Arial"/>
          <w:sz w:val="16"/>
          <w:szCs w:val="16"/>
          <w:color w:val="auto"/>
        </w:rPr>
        <w:t>misconduct that causes specified financial or reputational damage, a materially inaccurate performance calculation, or an accounting restatement, as defined by the policy</w:t>
      </w:r>
    </w:p>
    <w:p>
      <w:pPr>
        <w:spacing w:after="0" w:line="20" w:lineRule="exact"/>
        <w:rPr>
          <w:sz w:val="20"/>
          <w:szCs w:val="20"/>
          <w:color w:val="auto"/>
        </w:rPr>
      </w:pPr>
      <w:r>
        <w:rPr>
          <w:sz w:val="20"/>
          <w:szCs w:val="20"/>
          <w:color w:val="auto"/>
        </w:rPr>
        <w:br w:type="column"/>
      </w:r>
    </w:p>
    <w:p>
      <w:pPr>
        <w:spacing w:after="0"/>
        <w:tabs>
          <w:tab w:leader="none" w:pos="2380" w:val="left"/>
        </w:tabs>
        <w:rPr>
          <w:sz w:val="20"/>
          <w:szCs w:val="20"/>
          <w:color w:val="auto"/>
        </w:rPr>
      </w:pPr>
      <w:r>
        <w:rPr>
          <w:rFonts w:ascii="Arial" w:cs="Arial" w:eastAsia="Arial" w:hAnsi="Arial"/>
          <w:sz w:val="16"/>
          <w:szCs w:val="16"/>
          <w:color w:val="auto"/>
        </w:rPr>
        <w:t>Employee violates</w:t>
      </w:r>
      <w:r>
        <w:rPr>
          <w:sz w:val="20"/>
          <w:szCs w:val="20"/>
          <w:color w:val="auto"/>
        </w:rPr>
        <w:tab/>
      </w:r>
      <w:r>
        <w:rPr>
          <w:rFonts w:ascii="Arial" w:cs="Arial" w:eastAsia="Arial" w:hAnsi="Arial"/>
          <w:sz w:val="16"/>
          <w:szCs w:val="16"/>
          <w:color w:val="auto"/>
        </w:rPr>
        <w:t>Employee engages in conduct</w:t>
      </w:r>
    </w:p>
    <w:p>
      <w:pPr>
        <w:spacing w:after="0" w:line="32" w:lineRule="exact"/>
        <w:rPr>
          <w:sz w:val="20"/>
          <w:szCs w:val="20"/>
          <w:color w:val="auto"/>
        </w:rPr>
      </w:pPr>
    </w:p>
    <w:p>
      <w:pPr>
        <w:spacing w:after="0"/>
        <w:tabs>
          <w:tab w:leader="none" w:pos="2380" w:val="left"/>
        </w:tabs>
        <w:rPr>
          <w:sz w:val="20"/>
          <w:szCs w:val="20"/>
          <w:color w:val="auto"/>
        </w:rPr>
      </w:pPr>
      <w:r>
        <w:rPr>
          <w:rFonts w:ascii="Arial" w:cs="Arial" w:eastAsia="Arial" w:hAnsi="Arial"/>
          <w:sz w:val="16"/>
          <w:szCs w:val="16"/>
          <w:color w:val="auto"/>
        </w:rPr>
        <w:t>non-compete or</w:t>
      </w:r>
      <w:r>
        <w:rPr>
          <w:sz w:val="20"/>
          <w:szCs w:val="20"/>
          <w:color w:val="auto"/>
        </w:rPr>
        <w:tab/>
      </w:r>
      <w:r>
        <w:rPr>
          <w:rFonts w:ascii="Arial" w:cs="Arial" w:eastAsia="Arial" w:hAnsi="Arial"/>
          <w:sz w:val="16"/>
          <w:szCs w:val="16"/>
          <w:color w:val="auto"/>
        </w:rPr>
        <w:t>deemed detrimental to</w:t>
      </w:r>
    </w:p>
    <w:p>
      <w:pPr>
        <w:spacing w:after="0" w:line="32" w:lineRule="exact"/>
        <w:rPr>
          <w:sz w:val="20"/>
          <w:szCs w:val="20"/>
          <w:color w:val="auto"/>
        </w:rPr>
      </w:pPr>
    </w:p>
    <w:p>
      <w:pPr>
        <w:spacing w:after="0"/>
        <w:tabs>
          <w:tab w:leader="none" w:pos="2380" w:val="left"/>
        </w:tabs>
        <w:rPr>
          <w:sz w:val="20"/>
          <w:szCs w:val="20"/>
          <w:color w:val="auto"/>
        </w:rPr>
      </w:pPr>
      <w:r>
        <w:rPr>
          <w:rFonts w:ascii="Arial" w:cs="Arial" w:eastAsia="Arial" w:hAnsi="Arial"/>
          <w:sz w:val="16"/>
          <w:szCs w:val="16"/>
          <w:color w:val="auto"/>
        </w:rPr>
        <w:t>non-solicitation terms</w:t>
      </w:r>
      <w:r>
        <w:rPr>
          <w:sz w:val="20"/>
          <w:szCs w:val="20"/>
          <w:color w:val="auto"/>
        </w:rPr>
        <w:tab/>
      </w:r>
      <w:r>
        <w:rPr>
          <w:rFonts w:ascii="Arial" w:cs="Arial" w:eastAsia="Arial" w:hAnsi="Arial"/>
          <w:sz w:val="16"/>
          <w:szCs w:val="16"/>
          <w:color w:val="auto"/>
        </w:rPr>
        <w:t>the Company</w:t>
      </w:r>
    </w:p>
    <w:p>
      <w:pPr>
        <w:spacing w:after="0" w:line="1260" w:lineRule="exact"/>
        <w:rPr>
          <w:sz w:val="20"/>
          <w:szCs w:val="20"/>
          <w:color w:val="auto"/>
        </w:rPr>
      </w:pPr>
    </w:p>
    <w:p>
      <w:pPr>
        <w:sectPr>
          <w:pgSz w:w="11900" w:h="16838" w:orient="portrait"/>
          <w:cols w:equalWidth="0" w:num="2">
            <w:col w:w="4140" w:space="200"/>
            <w:col w:w="4740"/>
          </w:cols>
          <w:pgMar w:left="1400" w:top="657" w:right="141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Awards Subject to</w:t>
            </w:r>
          </w:p>
        </w:tc>
        <w:tc>
          <w:tcPr>
            <w:tcW w:w="2300" w:type="dxa"/>
            <w:vAlign w:val="bottom"/>
          </w:tcPr>
          <w:p>
            <w:pPr>
              <w:ind w:left="240"/>
              <w:spacing w:after="0"/>
              <w:rPr>
                <w:sz w:val="20"/>
                <w:szCs w:val="20"/>
                <w:color w:val="auto"/>
              </w:rPr>
            </w:pPr>
            <w:r>
              <w:rPr>
                <w:rFonts w:ascii="Arial" w:cs="Arial" w:eastAsia="Arial" w:hAnsi="Arial"/>
                <w:sz w:val="16"/>
                <w:szCs w:val="16"/>
                <w:color w:val="auto"/>
              </w:rPr>
              <w:t>STIP, PSUs, RSUs, and</w:t>
            </w:r>
          </w:p>
        </w:tc>
        <w:tc>
          <w:tcPr>
            <w:tcW w:w="2160" w:type="dxa"/>
            <w:vAlign w:val="bottom"/>
          </w:tcPr>
          <w:p>
            <w:pPr>
              <w:ind w:left="320"/>
              <w:spacing w:after="0"/>
              <w:rPr>
                <w:sz w:val="20"/>
                <w:szCs w:val="20"/>
                <w:color w:val="auto"/>
              </w:rPr>
            </w:pPr>
            <w:r>
              <w:rPr>
                <w:rFonts w:ascii="Arial" w:cs="Arial" w:eastAsia="Arial" w:hAnsi="Arial"/>
                <w:sz w:val="16"/>
                <w:szCs w:val="16"/>
                <w:color w:val="auto"/>
              </w:rPr>
              <w:t>PSUs, RSUs, and</w:t>
            </w:r>
          </w:p>
        </w:tc>
        <w:tc>
          <w:tcPr>
            <w:tcW w:w="2900" w:type="dxa"/>
            <w:vAlign w:val="bottom"/>
          </w:tcPr>
          <w:p>
            <w:pPr>
              <w:ind w:left="560"/>
              <w:spacing w:after="0"/>
              <w:rPr>
                <w:sz w:val="20"/>
                <w:szCs w:val="20"/>
                <w:color w:val="auto"/>
              </w:rPr>
            </w:pPr>
            <w:r>
              <w:rPr>
                <w:rFonts w:ascii="Arial" w:cs="Arial" w:eastAsia="Arial" w:hAnsi="Arial"/>
                <w:sz w:val="16"/>
                <w:szCs w:val="16"/>
                <w:color w:val="auto"/>
              </w:rPr>
              <w:t>STIP, PSUs, RSUs, and</w:t>
            </w:r>
          </w:p>
        </w:tc>
      </w:tr>
      <w:tr>
        <w:trPr>
          <w:trHeight w:val="203"/>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Cancellation,</w:t>
            </w:r>
          </w:p>
        </w:tc>
        <w:tc>
          <w:tcPr>
            <w:tcW w:w="2300" w:type="dxa"/>
            <w:vAlign w:val="bottom"/>
          </w:tcPr>
          <w:p>
            <w:pPr>
              <w:ind w:left="240"/>
              <w:spacing w:after="0"/>
              <w:rPr>
                <w:sz w:val="20"/>
                <w:szCs w:val="20"/>
                <w:color w:val="auto"/>
              </w:rPr>
            </w:pPr>
            <w:r>
              <w:rPr>
                <w:rFonts w:ascii="Arial" w:cs="Arial" w:eastAsia="Arial" w:hAnsi="Arial"/>
                <w:sz w:val="16"/>
                <w:szCs w:val="16"/>
                <w:color w:val="auto"/>
              </w:rPr>
              <w:t>Stock Options</w:t>
            </w:r>
          </w:p>
        </w:tc>
        <w:tc>
          <w:tcPr>
            <w:tcW w:w="2160" w:type="dxa"/>
            <w:vAlign w:val="bottom"/>
          </w:tcPr>
          <w:p>
            <w:pPr>
              <w:ind w:left="320"/>
              <w:spacing w:after="0"/>
              <w:rPr>
                <w:sz w:val="20"/>
                <w:szCs w:val="20"/>
                <w:color w:val="auto"/>
              </w:rPr>
            </w:pPr>
            <w:r>
              <w:rPr>
                <w:rFonts w:ascii="Arial" w:cs="Arial" w:eastAsia="Arial" w:hAnsi="Arial"/>
                <w:sz w:val="16"/>
                <w:szCs w:val="16"/>
                <w:color w:val="auto"/>
              </w:rPr>
              <w:t>Stock Options</w:t>
            </w:r>
          </w:p>
        </w:tc>
        <w:tc>
          <w:tcPr>
            <w:tcW w:w="2900" w:type="dxa"/>
            <w:vAlign w:val="bottom"/>
          </w:tcPr>
          <w:p>
            <w:pPr>
              <w:ind w:left="560"/>
              <w:spacing w:after="0"/>
              <w:rPr>
                <w:sz w:val="20"/>
                <w:szCs w:val="20"/>
                <w:color w:val="auto"/>
              </w:rPr>
            </w:pPr>
            <w:r>
              <w:rPr>
                <w:rFonts w:ascii="Arial" w:cs="Arial" w:eastAsia="Arial" w:hAnsi="Arial"/>
                <w:sz w:val="16"/>
                <w:szCs w:val="16"/>
                <w:color w:val="auto"/>
              </w:rPr>
              <w:t>Stock Options</w:t>
            </w:r>
          </w:p>
        </w:tc>
      </w:tr>
      <w:tr>
        <w:trPr>
          <w:trHeight w:val="189"/>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Forfeiture, and/or</w:t>
            </w:r>
          </w:p>
        </w:tc>
        <w:tc>
          <w:tcPr>
            <w:tcW w:w="23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223"/>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Recoupment</w:t>
            </w:r>
          </w:p>
        </w:tc>
        <w:tc>
          <w:tcPr>
            <w:tcW w:w="23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62"/>
        </w:trPr>
        <w:tc>
          <w:tcPr>
            <w:tcW w:w="1720" w:type="dxa"/>
            <w:vAlign w:val="bottom"/>
            <w:tcBorders>
              <w:bottom w:val="single" w:sz="8" w:color="0956FF"/>
            </w:tcBorders>
          </w:tcPr>
          <w:p>
            <w:pPr>
              <w:spacing w:after="0"/>
              <w:rPr>
                <w:sz w:val="5"/>
                <w:szCs w:val="5"/>
                <w:color w:val="auto"/>
              </w:rPr>
            </w:pPr>
          </w:p>
        </w:tc>
        <w:tc>
          <w:tcPr>
            <w:tcW w:w="2300" w:type="dxa"/>
            <w:vAlign w:val="bottom"/>
            <w:tcBorders>
              <w:bottom w:val="single" w:sz="8" w:color="0956FF"/>
            </w:tcBorders>
          </w:tcPr>
          <w:p>
            <w:pPr>
              <w:spacing w:after="0"/>
              <w:rPr>
                <w:sz w:val="5"/>
                <w:szCs w:val="5"/>
                <w:color w:val="auto"/>
              </w:rPr>
            </w:pPr>
          </w:p>
        </w:tc>
        <w:tc>
          <w:tcPr>
            <w:tcW w:w="2160" w:type="dxa"/>
            <w:vAlign w:val="bottom"/>
            <w:tcBorders>
              <w:bottom w:val="single" w:sz="8" w:color="0956FF"/>
            </w:tcBorders>
          </w:tcPr>
          <w:p>
            <w:pPr>
              <w:spacing w:after="0"/>
              <w:rPr>
                <w:sz w:val="5"/>
                <w:szCs w:val="5"/>
                <w:color w:val="auto"/>
              </w:rPr>
            </w:pPr>
          </w:p>
        </w:tc>
        <w:tc>
          <w:tcPr>
            <w:tcW w:w="2900" w:type="dxa"/>
            <w:vAlign w:val="bottom"/>
            <w:tcBorders>
              <w:bottom w:val="single" w:sz="8" w:color="0956FF"/>
            </w:tcBorders>
          </w:tcPr>
          <w:p>
            <w:pPr>
              <w:spacing w:after="0"/>
              <w:rPr>
                <w:sz w:val="5"/>
                <w:szCs w:val="5"/>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Trading GM Securities</w:t>
      </w:r>
    </w:p>
    <w:p>
      <w:pPr>
        <w:spacing w:after="0" w:line="11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We maintain an Insider Trading Policy governing the purchase, sale, and/or other dispositions of our securities by our directors, officers, employees, certain of such persons’ family members, and GM contractors and consultants who have access to material nonpublic information concerning GM (collectively, “Insiders”), as well as by the Company, that is reasonably designed to promote compliance with insider trading laws, rules and regulations, and the NYSE listing standards. Any sale or purchase of common stock by directors, executive officers, and all other senior leaders must be made during pre-established periods after receiving preclearance by a member of the GM legal staff or pursuant to a pre-approved and pre-established Rule 10b5-1 trading plan. A copy of our Insider Trading Policy is included as Exhibit 19 to our Annual Report on Form 10-K for the year ended December 31, 2025.</w:t>
      </w:r>
    </w:p>
    <w:p>
      <w:pPr>
        <w:spacing w:after="0" w:line="103" w:lineRule="exact"/>
        <w:rPr>
          <w:sz w:val="20"/>
          <w:szCs w:val="20"/>
          <w:color w:val="auto"/>
        </w:rPr>
      </w:pPr>
    </w:p>
    <w:p>
      <w:pPr>
        <w:ind w:right="700"/>
        <w:spacing w:after="0" w:line="301" w:lineRule="auto"/>
        <w:rPr>
          <w:sz w:val="20"/>
          <w:szCs w:val="20"/>
          <w:color w:val="auto"/>
        </w:rPr>
      </w:pPr>
      <w:r>
        <w:rPr>
          <w:rFonts w:ascii="Arial" w:cs="Arial" w:eastAsia="Arial" w:hAnsi="Arial"/>
          <w:sz w:val="16"/>
          <w:szCs w:val="16"/>
          <w:color w:val="auto"/>
        </w:rPr>
        <w:t xml:space="preserve">Trading in GM derivatives (i.e., puts or calls), engaging in short sales or otherwise engaging in hedging activities, and pledging of GM securities is prohibited for all Insiders. This policy is posted on our website at </w:t>
      </w:r>
      <w:r>
        <w:rPr>
          <w:rFonts w:ascii="Arial" w:cs="Arial" w:eastAsia="Arial" w:hAnsi="Arial"/>
          <w:sz w:val="16"/>
          <w:szCs w:val="16"/>
          <w:u w:val="single" w:color="auto"/>
          <w:color w:val="0956FF"/>
        </w:rPr>
        <w:t>investor.gm.com/governanceandsustainability</w:t>
      </w:r>
      <w:r>
        <w:rPr>
          <w:rFonts w:ascii="Arial" w:cs="Arial" w:eastAsia="Arial" w:hAnsi="Arial"/>
          <w:sz w:val="16"/>
          <w:szCs w:val="16"/>
          <w:color w:val="0956FF"/>
        </w:rPr>
        <w:t xml:space="preserve"> </w:t>
      </w:r>
      <w:r>
        <w:rPr>
          <w:rFonts w:ascii="Arial" w:cs="Arial" w:eastAsia="Arial" w:hAnsi="Arial"/>
          <w:sz w:val="16"/>
          <w:szCs w:val="16"/>
          <w:color w:val="000000"/>
        </w:rPr>
        <w:t>.</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Policies and Practices Related to Timing of Equity Awards</w:t>
      </w:r>
    </w:p>
    <w:p>
      <w:pPr>
        <w:spacing w:after="0" w:line="11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Committee does not take into account material non-public information when determining the timing or terms of equity awards, nor does the Committee time disclosure of material non-public information for the purpose of affecting the value of executive compensation. The Company has not awarded stock options (or similar awards) since fiscal 2023.</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Tax Considerations</w:t>
      </w:r>
    </w:p>
    <w:p>
      <w:pPr>
        <w:spacing w:after="0" w:line="114"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Tax Cuts and Jobs Act enacted on December 22, 2017, modified IRC Section 162(m) to, among other things, limit the federal tax deduction for annual individual compensation paid to $1 million for NEOs beginning with the 2018 tax year. Previously, compensation paid in excess of $1 million could be deducted if it was performance-based. The Committee continues to closely align executive pay with performance, regardless of the performance-based exception being removed under IRC Section 162(m).</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Employment and Termination Agreements</w:t>
      </w:r>
    </w:p>
    <w:p>
      <w:pPr>
        <w:spacing w:after="0" w:line="11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has no employment or pre-defined termination agreements with any of our 2025 NEOs. All NEOs participate in the General Motors LLC U.S. Executive Severance Program (the “Executive Severance Program”) included as an exhibit to the Company’s 2025 Form 10-K .</w:t>
      </w:r>
    </w:p>
    <w:p>
      <w:pPr>
        <w:sectPr>
          <w:pgSz w:w="11900" w:h="16838" w:orient="portrait"/>
          <w:cols w:equalWidth="0" w:num="1">
            <w:col w:w="9080"/>
          </w:cols>
          <w:pgMar w:left="1400" w:top="65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9080"/>
          </w:cols>
          <w:pgMar w:left="1400" w:top="657" w:right="141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Compensation Committee Report</w:t>
      </w:r>
    </w:p>
    <w:p>
      <w:pPr>
        <w:spacing w:after="0" w:line="127"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and, based on that review and discussion, has recommended to the Board of Directors that the Compensation Discussion and Analysis be included in this Proxy Statement and incorporated by reference into the Company’s Annual Report on Form 10-K for the year ended December 31, 2025, as filed with the U.S. Securities and Exchange Commission on January 27, 2026.</w:t>
      </w:r>
    </w:p>
    <w:p>
      <w:pPr>
        <w:spacing w:after="0" w:line="24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Compensation Committee</w:t>
      </w:r>
    </w:p>
    <w:p>
      <w:pPr>
        <w:spacing w:after="0" w:line="167"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b w:val="1"/>
          <w:bCs w:val="1"/>
          <w:color w:val="0956FF"/>
        </w:rPr>
        <w:t xml:space="preserve">Devin N. Wenig </w:t>
      </w:r>
      <w:r>
        <w:rPr>
          <w:rFonts w:ascii="Arial" w:cs="Arial" w:eastAsia="Arial" w:hAnsi="Arial"/>
          <w:sz w:val="16"/>
          <w:szCs w:val="16"/>
          <w:color w:val="000000"/>
        </w:rPr>
        <w:t>(Chair)</w:t>
      </w:r>
      <w:r>
        <w:rPr>
          <w:sz w:val="20"/>
          <w:szCs w:val="20"/>
          <w:color w:val="auto"/>
        </w:rPr>
        <w:tab/>
      </w:r>
      <w:r>
        <w:rPr>
          <w:rFonts w:ascii="Arial" w:cs="Arial" w:eastAsia="Arial" w:hAnsi="Arial"/>
          <w:sz w:val="16"/>
          <w:szCs w:val="16"/>
          <w:b w:val="1"/>
          <w:bCs w:val="1"/>
          <w:color w:val="0956FF"/>
        </w:rPr>
        <w:t>Joseph Jimenez</w:t>
      </w:r>
    </w:p>
    <w:p>
      <w:pPr>
        <w:spacing w:after="0" w:line="21" w:lineRule="exact"/>
        <w:rPr>
          <w:sz w:val="20"/>
          <w:szCs w:val="20"/>
          <w:color w:val="auto"/>
        </w:rPr>
      </w:pPr>
    </w:p>
    <w:p>
      <w:pPr>
        <w:ind w:left="2460"/>
        <w:spacing w:after="0"/>
        <w:tabs>
          <w:tab w:leader="none" w:pos="5140" w:val="left"/>
        </w:tabs>
        <w:rPr>
          <w:sz w:val="20"/>
          <w:szCs w:val="20"/>
          <w:color w:val="auto"/>
        </w:rPr>
      </w:pPr>
      <w:r>
        <w:rPr>
          <w:rFonts w:ascii="Arial" w:cs="Arial" w:eastAsia="Arial" w:hAnsi="Arial"/>
          <w:sz w:val="16"/>
          <w:szCs w:val="16"/>
          <w:b w:val="1"/>
          <w:bCs w:val="1"/>
          <w:color w:val="0956FF"/>
        </w:rPr>
        <w:t>Wesley G. Bush</w:t>
      </w:r>
      <w:r>
        <w:rPr>
          <w:sz w:val="20"/>
          <w:szCs w:val="20"/>
          <w:color w:val="auto"/>
        </w:rPr>
        <w:tab/>
      </w:r>
      <w:r>
        <w:rPr>
          <w:rFonts w:ascii="Arial" w:cs="Arial" w:eastAsia="Arial" w:hAnsi="Arial"/>
          <w:sz w:val="15"/>
          <w:szCs w:val="15"/>
          <w:b w:val="1"/>
          <w:bCs w:val="1"/>
          <w:color w:val="0956FF"/>
        </w:rPr>
        <w:t>Patricia F. Russo</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2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61</w:t>
      </w:r>
    </w:p>
    <w:p>
      <w:pPr>
        <w:sectPr>
          <w:pgSz w:w="11900" w:h="16838" w:orient="portrait"/>
          <w:cols w:equalWidth="0" w:num="1">
            <w:col w:w="9220"/>
          </w:cols>
          <w:pgMar w:left="1400" w:top="657" w:right="127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Executive Compensation Tables</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Summary Compensation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 w:type="dxa"/>
            <w:vAlign w:val="bottom"/>
            <w:shd w:val="clear" w:color="auto" w:fill="ECEBEB"/>
          </w:tcPr>
          <w:p>
            <w:pPr>
              <w:spacing w:after="0"/>
              <w:rPr>
                <w:sz w:val="18"/>
                <w:szCs w:val="18"/>
                <w:color w:val="auto"/>
              </w:rPr>
            </w:pPr>
          </w:p>
        </w:tc>
        <w:tc>
          <w:tcPr>
            <w:tcW w:w="1880" w:type="dxa"/>
            <w:vAlign w:val="bottom"/>
            <w:shd w:val="clear" w:color="auto" w:fill="ECEBEB"/>
          </w:tcPr>
          <w:p>
            <w:pPr>
              <w:spacing w:after="0"/>
              <w:rPr>
                <w:sz w:val="18"/>
                <w:szCs w:val="18"/>
                <w:color w:val="auto"/>
              </w:rPr>
            </w:pPr>
          </w:p>
        </w:tc>
        <w:tc>
          <w:tcPr>
            <w:tcW w:w="460" w:type="dxa"/>
            <w:vAlign w:val="bottom"/>
            <w:shd w:val="clear" w:color="auto" w:fill="ECEBEB"/>
          </w:tcPr>
          <w:p>
            <w:pPr>
              <w:spacing w:after="0"/>
              <w:rPr>
                <w:sz w:val="18"/>
                <w:szCs w:val="18"/>
                <w:color w:val="auto"/>
              </w:rPr>
            </w:pPr>
          </w:p>
        </w:tc>
        <w:tc>
          <w:tcPr>
            <w:tcW w:w="800" w:type="dxa"/>
            <w:vAlign w:val="bottom"/>
            <w:shd w:val="clear" w:color="auto" w:fill="ECEBEB"/>
          </w:tcPr>
          <w:p>
            <w:pPr>
              <w:spacing w:after="0"/>
              <w:rPr>
                <w:sz w:val="18"/>
                <w:szCs w:val="18"/>
                <w:color w:val="auto"/>
              </w:rPr>
            </w:pPr>
          </w:p>
        </w:tc>
        <w:tc>
          <w:tcPr>
            <w:tcW w:w="840" w:type="dxa"/>
            <w:vAlign w:val="bottom"/>
            <w:shd w:val="clear" w:color="auto" w:fill="ECEBEB"/>
          </w:tcPr>
          <w:p>
            <w:pPr>
              <w:spacing w:after="0"/>
              <w:rPr>
                <w:sz w:val="18"/>
                <w:szCs w:val="18"/>
                <w:color w:val="auto"/>
              </w:rPr>
            </w:pPr>
          </w:p>
        </w:tc>
        <w:tc>
          <w:tcPr>
            <w:tcW w:w="760" w:type="dxa"/>
            <w:vAlign w:val="bottom"/>
            <w:shd w:val="clear" w:color="auto" w:fill="ECEBEB"/>
          </w:tcPr>
          <w:p>
            <w:pPr>
              <w:spacing w:after="0"/>
              <w:rPr>
                <w:sz w:val="18"/>
                <w:szCs w:val="18"/>
                <w:color w:val="auto"/>
              </w:rPr>
            </w:pPr>
          </w:p>
        </w:tc>
        <w:tc>
          <w:tcPr>
            <w:tcW w:w="380" w:type="dxa"/>
            <w:vAlign w:val="bottom"/>
            <w:shd w:val="clear" w:color="auto" w:fill="ECEBEB"/>
          </w:tcPr>
          <w:p>
            <w:pPr>
              <w:spacing w:after="0"/>
              <w:rPr>
                <w:sz w:val="18"/>
                <w:szCs w:val="18"/>
                <w:color w:val="auto"/>
              </w:rPr>
            </w:pPr>
          </w:p>
        </w:tc>
        <w:tc>
          <w:tcPr>
            <w:tcW w:w="820" w:type="dxa"/>
            <w:vAlign w:val="bottom"/>
            <w:shd w:val="clear" w:color="auto" w:fill="ECEBEB"/>
          </w:tcPr>
          <w:p>
            <w:pPr>
              <w:spacing w:after="0"/>
              <w:rPr>
                <w:sz w:val="18"/>
                <w:szCs w:val="18"/>
                <w:color w:val="auto"/>
              </w:rPr>
            </w:pPr>
          </w:p>
        </w:tc>
        <w:tc>
          <w:tcPr>
            <w:tcW w:w="1020" w:type="dxa"/>
            <w:vAlign w:val="bottom"/>
            <w:shd w:val="clear" w:color="auto" w:fill="ECEBEB"/>
          </w:tcPr>
          <w:p>
            <w:pPr>
              <w:jc w:val="right"/>
              <w:spacing w:after="0"/>
              <w:rPr>
                <w:sz w:val="20"/>
                <w:szCs w:val="20"/>
                <w:color w:val="auto"/>
              </w:rPr>
            </w:pPr>
            <w:r>
              <w:rPr>
                <w:rFonts w:ascii="Arial" w:cs="Arial" w:eastAsia="Arial" w:hAnsi="Arial"/>
                <w:sz w:val="13"/>
                <w:szCs w:val="13"/>
                <w:b w:val="1"/>
                <w:bCs w:val="1"/>
                <w:color w:val="auto"/>
              </w:rPr>
              <w:t>Change in</w:t>
            </w:r>
          </w:p>
        </w:tc>
        <w:tc>
          <w:tcPr>
            <w:tcW w:w="1100" w:type="dxa"/>
            <w:vAlign w:val="bottom"/>
            <w:shd w:val="clear" w:color="auto" w:fill="ECEBEB"/>
          </w:tcPr>
          <w:p>
            <w:pPr>
              <w:spacing w:after="0"/>
              <w:rPr>
                <w:sz w:val="18"/>
                <w:szCs w:val="18"/>
                <w:color w:val="auto"/>
              </w:rPr>
            </w:pPr>
          </w:p>
        </w:tc>
        <w:tc>
          <w:tcPr>
            <w:tcW w:w="800" w:type="dxa"/>
            <w:vAlign w:val="bottom"/>
            <w:shd w:val="clear" w:color="auto" w:fill="ECEBEB"/>
          </w:tcPr>
          <w:p>
            <w:pPr>
              <w:spacing w:after="0"/>
              <w:rPr>
                <w:sz w:val="18"/>
                <w:szCs w:val="18"/>
                <w:color w:val="auto"/>
              </w:rPr>
            </w:pPr>
          </w:p>
        </w:tc>
        <w:tc>
          <w:tcPr>
            <w:tcW w:w="20" w:type="dxa"/>
            <w:vAlign w:val="bottom"/>
            <w:shd w:val="clear" w:color="auto" w:fill="ECEBE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ECEBEB"/>
          </w:tcPr>
          <w:p>
            <w:pPr>
              <w:spacing w:after="0"/>
              <w:rPr>
                <w:sz w:val="14"/>
                <w:szCs w:val="14"/>
                <w:color w:val="auto"/>
              </w:rPr>
            </w:pPr>
          </w:p>
        </w:tc>
        <w:tc>
          <w:tcPr>
            <w:tcW w:w="1880" w:type="dxa"/>
            <w:vAlign w:val="bottom"/>
            <w:shd w:val="clear" w:color="auto" w:fill="ECEBEB"/>
          </w:tcPr>
          <w:p>
            <w:pPr>
              <w:spacing w:after="0"/>
              <w:rPr>
                <w:sz w:val="14"/>
                <w:szCs w:val="14"/>
                <w:color w:val="auto"/>
              </w:rPr>
            </w:pPr>
          </w:p>
        </w:tc>
        <w:tc>
          <w:tcPr>
            <w:tcW w:w="460" w:type="dxa"/>
            <w:vAlign w:val="bottom"/>
            <w:shd w:val="clear" w:color="auto" w:fill="ECEBEB"/>
          </w:tcPr>
          <w:p>
            <w:pPr>
              <w:spacing w:after="0"/>
              <w:rPr>
                <w:sz w:val="14"/>
                <w:szCs w:val="14"/>
                <w:color w:val="auto"/>
              </w:rPr>
            </w:pPr>
          </w:p>
        </w:tc>
        <w:tc>
          <w:tcPr>
            <w:tcW w:w="800" w:type="dxa"/>
            <w:vAlign w:val="bottom"/>
            <w:shd w:val="clear" w:color="auto" w:fill="ECEBEB"/>
          </w:tcPr>
          <w:p>
            <w:pPr>
              <w:spacing w:after="0"/>
              <w:rPr>
                <w:sz w:val="14"/>
                <w:szCs w:val="14"/>
                <w:color w:val="auto"/>
              </w:rPr>
            </w:pPr>
          </w:p>
        </w:tc>
        <w:tc>
          <w:tcPr>
            <w:tcW w:w="840" w:type="dxa"/>
            <w:vAlign w:val="bottom"/>
            <w:shd w:val="clear" w:color="auto" w:fill="ECEBEB"/>
          </w:tcPr>
          <w:p>
            <w:pPr>
              <w:spacing w:after="0"/>
              <w:rPr>
                <w:sz w:val="14"/>
                <w:szCs w:val="14"/>
                <w:color w:val="auto"/>
              </w:rPr>
            </w:pPr>
          </w:p>
        </w:tc>
        <w:tc>
          <w:tcPr>
            <w:tcW w:w="760" w:type="dxa"/>
            <w:vAlign w:val="bottom"/>
            <w:shd w:val="clear" w:color="auto" w:fill="ECEBEB"/>
          </w:tcPr>
          <w:p>
            <w:pPr>
              <w:spacing w:after="0"/>
              <w:rPr>
                <w:sz w:val="14"/>
                <w:szCs w:val="14"/>
                <w:color w:val="auto"/>
              </w:rPr>
            </w:pPr>
          </w:p>
        </w:tc>
        <w:tc>
          <w:tcPr>
            <w:tcW w:w="380" w:type="dxa"/>
            <w:vAlign w:val="bottom"/>
            <w:shd w:val="clear" w:color="auto" w:fill="ECEBEB"/>
          </w:tcPr>
          <w:p>
            <w:pPr>
              <w:spacing w:after="0"/>
              <w:rPr>
                <w:sz w:val="14"/>
                <w:szCs w:val="14"/>
                <w:color w:val="auto"/>
              </w:rPr>
            </w:pPr>
          </w:p>
        </w:tc>
        <w:tc>
          <w:tcPr>
            <w:tcW w:w="820" w:type="dxa"/>
            <w:vAlign w:val="bottom"/>
            <w:shd w:val="clear" w:color="auto" w:fill="ECEBEB"/>
          </w:tcPr>
          <w:p>
            <w:pPr>
              <w:spacing w:after="0"/>
              <w:rPr>
                <w:sz w:val="14"/>
                <w:szCs w:val="14"/>
                <w:color w:val="auto"/>
              </w:rPr>
            </w:pPr>
          </w:p>
        </w:tc>
        <w:tc>
          <w:tcPr>
            <w:tcW w:w="1020" w:type="dxa"/>
            <w:vAlign w:val="bottom"/>
            <w:shd w:val="clear" w:color="auto" w:fill="ECEBEB"/>
          </w:tcPr>
          <w:p>
            <w:pPr>
              <w:jc w:val="right"/>
              <w:spacing w:after="0"/>
              <w:rPr>
                <w:sz w:val="20"/>
                <w:szCs w:val="20"/>
                <w:color w:val="auto"/>
              </w:rPr>
            </w:pPr>
            <w:r>
              <w:rPr>
                <w:rFonts w:ascii="Arial" w:cs="Arial" w:eastAsia="Arial" w:hAnsi="Arial"/>
                <w:sz w:val="13"/>
                <w:szCs w:val="13"/>
                <w:b w:val="1"/>
                <w:bCs w:val="1"/>
                <w:color w:val="auto"/>
              </w:rPr>
              <w:t>Pension</w:t>
            </w:r>
          </w:p>
        </w:tc>
        <w:tc>
          <w:tcPr>
            <w:tcW w:w="1100" w:type="dxa"/>
            <w:vAlign w:val="bottom"/>
            <w:shd w:val="clear" w:color="auto" w:fill="ECEBEB"/>
          </w:tcPr>
          <w:p>
            <w:pPr>
              <w:spacing w:after="0"/>
              <w:rPr>
                <w:sz w:val="14"/>
                <w:szCs w:val="14"/>
                <w:color w:val="auto"/>
              </w:rPr>
            </w:pPr>
          </w:p>
        </w:tc>
        <w:tc>
          <w:tcPr>
            <w:tcW w:w="800" w:type="dxa"/>
            <w:vAlign w:val="bottom"/>
            <w:shd w:val="clear" w:color="auto" w:fill="ECEBEB"/>
          </w:tcPr>
          <w:p>
            <w:pPr>
              <w:spacing w:after="0"/>
              <w:rPr>
                <w:sz w:val="14"/>
                <w:szCs w:val="14"/>
                <w:color w:val="auto"/>
              </w:rPr>
            </w:pPr>
          </w:p>
        </w:tc>
        <w:tc>
          <w:tcPr>
            <w:tcW w:w="20" w:type="dxa"/>
            <w:vAlign w:val="bottom"/>
            <w:shd w:val="clear" w:color="auto" w:fill="ECEB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ECEBEB"/>
          </w:tcPr>
          <w:p>
            <w:pPr>
              <w:spacing w:after="0"/>
              <w:rPr>
                <w:sz w:val="14"/>
                <w:szCs w:val="14"/>
                <w:color w:val="auto"/>
              </w:rPr>
            </w:pPr>
          </w:p>
        </w:tc>
        <w:tc>
          <w:tcPr>
            <w:tcW w:w="1880" w:type="dxa"/>
            <w:vAlign w:val="bottom"/>
            <w:shd w:val="clear" w:color="auto" w:fill="ECEBEB"/>
          </w:tcPr>
          <w:p>
            <w:pPr>
              <w:spacing w:after="0"/>
              <w:rPr>
                <w:sz w:val="14"/>
                <w:szCs w:val="14"/>
                <w:color w:val="auto"/>
              </w:rPr>
            </w:pPr>
          </w:p>
        </w:tc>
        <w:tc>
          <w:tcPr>
            <w:tcW w:w="460" w:type="dxa"/>
            <w:vAlign w:val="bottom"/>
            <w:shd w:val="clear" w:color="auto" w:fill="ECEBEB"/>
          </w:tcPr>
          <w:p>
            <w:pPr>
              <w:spacing w:after="0"/>
              <w:rPr>
                <w:sz w:val="14"/>
                <w:szCs w:val="14"/>
                <w:color w:val="auto"/>
              </w:rPr>
            </w:pPr>
          </w:p>
        </w:tc>
        <w:tc>
          <w:tcPr>
            <w:tcW w:w="800" w:type="dxa"/>
            <w:vAlign w:val="bottom"/>
            <w:shd w:val="clear" w:color="auto" w:fill="ECEBEB"/>
          </w:tcPr>
          <w:p>
            <w:pPr>
              <w:spacing w:after="0"/>
              <w:rPr>
                <w:sz w:val="14"/>
                <w:szCs w:val="14"/>
                <w:color w:val="auto"/>
              </w:rPr>
            </w:pPr>
          </w:p>
        </w:tc>
        <w:tc>
          <w:tcPr>
            <w:tcW w:w="840" w:type="dxa"/>
            <w:vAlign w:val="bottom"/>
            <w:shd w:val="clear" w:color="auto" w:fill="ECEBEB"/>
          </w:tcPr>
          <w:p>
            <w:pPr>
              <w:spacing w:after="0"/>
              <w:rPr>
                <w:sz w:val="14"/>
                <w:szCs w:val="14"/>
                <w:color w:val="auto"/>
              </w:rPr>
            </w:pPr>
          </w:p>
        </w:tc>
        <w:tc>
          <w:tcPr>
            <w:tcW w:w="760" w:type="dxa"/>
            <w:vAlign w:val="bottom"/>
            <w:shd w:val="clear" w:color="auto" w:fill="ECEBEB"/>
          </w:tcPr>
          <w:p>
            <w:pPr>
              <w:spacing w:after="0"/>
              <w:rPr>
                <w:sz w:val="14"/>
                <w:szCs w:val="14"/>
                <w:color w:val="auto"/>
              </w:rPr>
            </w:pPr>
          </w:p>
        </w:tc>
        <w:tc>
          <w:tcPr>
            <w:tcW w:w="380" w:type="dxa"/>
            <w:vAlign w:val="bottom"/>
            <w:shd w:val="clear" w:color="auto" w:fill="ECEBEB"/>
          </w:tcPr>
          <w:p>
            <w:pPr>
              <w:spacing w:after="0"/>
              <w:rPr>
                <w:sz w:val="14"/>
                <w:szCs w:val="14"/>
                <w:color w:val="auto"/>
              </w:rPr>
            </w:pPr>
          </w:p>
        </w:tc>
        <w:tc>
          <w:tcPr>
            <w:tcW w:w="820" w:type="dxa"/>
            <w:vAlign w:val="bottom"/>
            <w:shd w:val="clear" w:color="auto" w:fill="ECEBEB"/>
          </w:tcPr>
          <w:p>
            <w:pPr>
              <w:spacing w:after="0"/>
              <w:rPr>
                <w:sz w:val="14"/>
                <w:szCs w:val="14"/>
                <w:color w:val="auto"/>
              </w:rPr>
            </w:pPr>
          </w:p>
        </w:tc>
        <w:tc>
          <w:tcPr>
            <w:tcW w:w="102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Value and</w:t>
            </w:r>
          </w:p>
        </w:tc>
        <w:tc>
          <w:tcPr>
            <w:tcW w:w="1100" w:type="dxa"/>
            <w:vAlign w:val="bottom"/>
            <w:shd w:val="clear" w:color="auto" w:fill="ECEBEB"/>
          </w:tcPr>
          <w:p>
            <w:pPr>
              <w:spacing w:after="0"/>
              <w:rPr>
                <w:sz w:val="14"/>
                <w:szCs w:val="14"/>
                <w:color w:val="auto"/>
              </w:rPr>
            </w:pPr>
          </w:p>
        </w:tc>
        <w:tc>
          <w:tcPr>
            <w:tcW w:w="800" w:type="dxa"/>
            <w:vAlign w:val="bottom"/>
            <w:shd w:val="clear" w:color="auto" w:fill="ECEBEB"/>
          </w:tcPr>
          <w:p>
            <w:pPr>
              <w:spacing w:after="0"/>
              <w:rPr>
                <w:sz w:val="14"/>
                <w:szCs w:val="14"/>
                <w:color w:val="auto"/>
              </w:rPr>
            </w:pPr>
          </w:p>
        </w:tc>
        <w:tc>
          <w:tcPr>
            <w:tcW w:w="20" w:type="dxa"/>
            <w:vAlign w:val="bottom"/>
            <w:shd w:val="clear" w:color="auto" w:fill="ECEBEB"/>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ECEBEB"/>
          </w:tcPr>
          <w:p>
            <w:pPr>
              <w:spacing w:after="0"/>
              <w:rPr>
                <w:sz w:val="14"/>
                <w:szCs w:val="14"/>
                <w:color w:val="auto"/>
              </w:rPr>
            </w:pPr>
          </w:p>
        </w:tc>
        <w:tc>
          <w:tcPr>
            <w:tcW w:w="1880" w:type="dxa"/>
            <w:vAlign w:val="bottom"/>
            <w:shd w:val="clear" w:color="auto" w:fill="ECEBEB"/>
          </w:tcPr>
          <w:p>
            <w:pPr>
              <w:spacing w:after="0"/>
              <w:rPr>
                <w:sz w:val="14"/>
                <w:szCs w:val="14"/>
                <w:color w:val="auto"/>
              </w:rPr>
            </w:pPr>
          </w:p>
        </w:tc>
        <w:tc>
          <w:tcPr>
            <w:tcW w:w="460" w:type="dxa"/>
            <w:vAlign w:val="bottom"/>
            <w:shd w:val="clear" w:color="auto" w:fill="ECEBEB"/>
          </w:tcPr>
          <w:p>
            <w:pPr>
              <w:spacing w:after="0"/>
              <w:rPr>
                <w:sz w:val="14"/>
                <w:szCs w:val="14"/>
                <w:color w:val="auto"/>
              </w:rPr>
            </w:pPr>
          </w:p>
        </w:tc>
        <w:tc>
          <w:tcPr>
            <w:tcW w:w="800" w:type="dxa"/>
            <w:vAlign w:val="bottom"/>
            <w:shd w:val="clear" w:color="auto" w:fill="ECEBEB"/>
          </w:tcPr>
          <w:p>
            <w:pPr>
              <w:spacing w:after="0"/>
              <w:rPr>
                <w:sz w:val="14"/>
                <w:szCs w:val="14"/>
                <w:color w:val="auto"/>
              </w:rPr>
            </w:pPr>
          </w:p>
        </w:tc>
        <w:tc>
          <w:tcPr>
            <w:tcW w:w="840" w:type="dxa"/>
            <w:vAlign w:val="bottom"/>
            <w:shd w:val="clear" w:color="auto" w:fill="ECEBEB"/>
          </w:tcPr>
          <w:p>
            <w:pPr>
              <w:spacing w:after="0"/>
              <w:rPr>
                <w:sz w:val="14"/>
                <w:szCs w:val="14"/>
                <w:color w:val="auto"/>
              </w:rPr>
            </w:pPr>
          </w:p>
        </w:tc>
        <w:tc>
          <w:tcPr>
            <w:tcW w:w="760" w:type="dxa"/>
            <w:vAlign w:val="bottom"/>
            <w:shd w:val="clear" w:color="auto" w:fill="ECEBEB"/>
          </w:tcPr>
          <w:p>
            <w:pPr>
              <w:spacing w:after="0"/>
              <w:rPr>
                <w:sz w:val="14"/>
                <w:szCs w:val="14"/>
                <w:color w:val="auto"/>
              </w:rPr>
            </w:pPr>
          </w:p>
        </w:tc>
        <w:tc>
          <w:tcPr>
            <w:tcW w:w="380" w:type="dxa"/>
            <w:vAlign w:val="bottom"/>
            <w:shd w:val="clear" w:color="auto" w:fill="ECEBEB"/>
          </w:tcPr>
          <w:p>
            <w:pPr>
              <w:spacing w:after="0"/>
              <w:rPr>
                <w:sz w:val="14"/>
                <w:szCs w:val="14"/>
                <w:color w:val="auto"/>
              </w:rPr>
            </w:pPr>
          </w:p>
        </w:tc>
        <w:tc>
          <w:tcPr>
            <w:tcW w:w="82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Nonequity</w:t>
            </w:r>
          </w:p>
        </w:tc>
        <w:tc>
          <w:tcPr>
            <w:tcW w:w="102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NQ Deferred</w:t>
            </w:r>
          </w:p>
        </w:tc>
        <w:tc>
          <w:tcPr>
            <w:tcW w:w="1100" w:type="dxa"/>
            <w:vAlign w:val="bottom"/>
            <w:shd w:val="clear" w:color="auto" w:fill="ECEBEB"/>
          </w:tcPr>
          <w:p>
            <w:pPr>
              <w:spacing w:after="0"/>
              <w:rPr>
                <w:sz w:val="14"/>
                <w:szCs w:val="14"/>
                <w:color w:val="auto"/>
              </w:rPr>
            </w:pPr>
          </w:p>
        </w:tc>
        <w:tc>
          <w:tcPr>
            <w:tcW w:w="800" w:type="dxa"/>
            <w:vAlign w:val="bottom"/>
            <w:shd w:val="clear" w:color="auto" w:fill="ECEBEB"/>
          </w:tcPr>
          <w:p>
            <w:pPr>
              <w:spacing w:after="0"/>
              <w:rPr>
                <w:sz w:val="14"/>
                <w:szCs w:val="14"/>
                <w:color w:val="auto"/>
              </w:rPr>
            </w:pPr>
          </w:p>
        </w:tc>
        <w:tc>
          <w:tcPr>
            <w:tcW w:w="20" w:type="dxa"/>
            <w:vAlign w:val="bottom"/>
            <w:shd w:val="clear" w:color="auto" w:fill="ECEBEB"/>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80" w:type="dxa"/>
            <w:vAlign w:val="bottom"/>
            <w:gridSpan w:val="2"/>
            <w:shd w:val="clear" w:color="auto" w:fill="ECEBEB"/>
          </w:tcPr>
          <w:p>
            <w:pPr>
              <w:ind w:left="60"/>
              <w:spacing w:after="0"/>
              <w:rPr>
                <w:sz w:val="20"/>
                <w:szCs w:val="20"/>
                <w:color w:val="auto"/>
              </w:rPr>
            </w:pPr>
            <w:r>
              <w:rPr>
                <w:rFonts w:ascii="Arial" w:cs="Arial" w:eastAsia="Arial" w:hAnsi="Arial"/>
                <w:sz w:val="13"/>
                <w:szCs w:val="13"/>
                <w:b w:val="1"/>
                <w:bCs w:val="1"/>
                <w:color w:val="auto"/>
              </w:rPr>
              <w:t>Name and</w:t>
            </w:r>
          </w:p>
        </w:tc>
        <w:tc>
          <w:tcPr>
            <w:tcW w:w="460" w:type="dxa"/>
            <w:vAlign w:val="bottom"/>
            <w:shd w:val="clear" w:color="auto" w:fill="ECEBEB"/>
          </w:tcPr>
          <w:p>
            <w:pPr>
              <w:spacing w:after="0"/>
              <w:rPr>
                <w:sz w:val="13"/>
                <w:szCs w:val="13"/>
                <w:color w:val="auto"/>
              </w:rPr>
            </w:pPr>
          </w:p>
        </w:tc>
        <w:tc>
          <w:tcPr>
            <w:tcW w:w="800" w:type="dxa"/>
            <w:vAlign w:val="bottom"/>
            <w:shd w:val="clear" w:color="auto" w:fill="ECEBEB"/>
          </w:tcPr>
          <w:p>
            <w:pPr>
              <w:spacing w:after="0"/>
              <w:rPr>
                <w:sz w:val="13"/>
                <w:szCs w:val="13"/>
                <w:color w:val="auto"/>
              </w:rPr>
            </w:pPr>
          </w:p>
        </w:tc>
        <w:tc>
          <w:tcPr>
            <w:tcW w:w="840" w:type="dxa"/>
            <w:vAlign w:val="bottom"/>
            <w:shd w:val="clear" w:color="auto" w:fill="ECEBEB"/>
          </w:tcPr>
          <w:p>
            <w:pPr>
              <w:jc w:val="right"/>
              <w:spacing w:after="0"/>
              <w:rPr>
                <w:sz w:val="20"/>
                <w:szCs w:val="20"/>
                <w:color w:val="auto"/>
              </w:rPr>
            </w:pPr>
            <w:r>
              <w:rPr>
                <w:rFonts w:ascii="Arial" w:cs="Arial" w:eastAsia="Arial" w:hAnsi="Arial"/>
                <w:sz w:val="13"/>
                <w:szCs w:val="13"/>
                <w:b w:val="1"/>
                <w:bCs w:val="1"/>
                <w:color w:val="auto"/>
              </w:rPr>
              <w:t>Stock</w:t>
            </w:r>
          </w:p>
        </w:tc>
        <w:tc>
          <w:tcPr>
            <w:tcW w:w="760" w:type="dxa"/>
            <w:vAlign w:val="bottom"/>
            <w:shd w:val="clear" w:color="auto" w:fill="ECEBEB"/>
          </w:tcPr>
          <w:p>
            <w:pPr>
              <w:ind w:left="280"/>
              <w:spacing w:after="0"/>
              <w:rPr>
                <w:sz w:val="20"/>
                <w:szCs w:val="20"/>
                <w:color w:val="auto"/>
              </w:rPr>
            </w:pPr>
            <w:r>
              <w:rPr>
                <w:rFonts w:ascii="Arial" w:cs="Arial" w:eastAsia="Arial" w:hAnsi="Arial"/>
                <w:sz w:val="13"/>
                <w:szCs w:val="13"/>
                <w:b w:val="1"/>
                <w:bCs w:val="1"/>
                <w:color w:val="auto"/>
              </w:rPr>
              <w:t>Option</w:t>
            </w:r>
          </w:p>
        </w:tc>
        <w:tc>
          <w:tcPr>
            <w:tcW w:w="120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Incentive Plan</w:t>
            </w:r>
          </w:p>
        </w:tc>
        <w:tc>
          <w:tcPr>
            <w:tcW w:w="1020" w:type="dxa"/>
            <w:vAlign w:val="bottom"/>
            <w:shd w:val="clear" w:color="auto" w:fill="ECEBEB"/>
          </w:tcPr>
          <w:p>
            <w:pPr>
              <w:jc w:val="right"/>
              <w:spacing w:after="0"/>
              <w:rPr>
                <w:sz w:val="20"/>
                <w:szCs w:val="20"/>
                <w:color w:val="auto"/>
              </w:rPr>
            </w:pPr>
            <w:r>
              <w:rPr>
                <w:rFonts w:ascii="Arial" w:cs="Arial" w:eastAsia="Arial" w:hAnsi="Arial"/>
                <w:sz w:val="13"/>
                <w:szCs w:val="13"/>
                <w:b w:val="1"/>
                <w:bCs w:val="1"/>
                <w:color w:val="auto"/>
              </w:rPr>
              <w:t>Compensation</w:t>
            </w:r>
          </w:p>
        </w:tc>
        <w:tc>
          <w:tcPr>
            <w:tcW w:w="1100" w:type="dxa"/>
            <w:vAlign w:val="bottom"/>
            <w:shd w:val="clear" w:color="auto" w:fill="ECEBEB"/>
          </w:tcPr>
          <w:p>
            <w:pPr>
              <w:jc w:val="right"/>
              <w:spacing w:after="0"/>
              <w:rPr>
                <w:sz w:val="20"/>
                <w:szCs w:val="20"/>
                <w:color w:val="auto"/>
              </w:rPr>
            </w:pPr>
            <w:r>
              <w:rPr>
                <w:rFonts w:ascii="Arial" w:cs="Arial" w:eastAsia="Arial" w:hAnsi="Arial"/>
                <w:sz w:val="13"/>
                <w:szCs w:val="13"/>
                <w:b w:val="1"/>
                <w:bCs w:val="1"/>
                <w:color w:val="auto"/>
              </w:rPr>
              <w:t>All Other</w:t>
            </w:r>
          </w:p>
        </w:tc>
        <w:tc>
          <w:tcPr>
            <w:tcW w:w="800" w:type="dxa"/>
            <w:vAlign w:val="bottom"/>
            <w:shd w:val="clear" w:color="auto" w:fill="ECEBEB"/>
          </w:tcPr>
          <w:p>
            <w:pPr>
              <w:spacing w:after="0"/>
              <w:rPr>
                <w:sz w:val="13"/>
                <w:szCs w:val="13"/>
                <w:color w:val="auto"/>
              </w:rPr>
            </w:pPr>
          </w:p>
        </w:tc>
        <w:tc>
          <w:tcPr>
            <w:tcW w:w="20" w:type="dxa"/>
            <w:vAlign w:val="bottom"/>
            <w:shd w:val="clear" w:color="auto" w:fill="ECEBEB"/>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gridSpan w:val="2"/>
            <w:shd w:val="clear" w:color="auto" w:fill="ECEBEB"/>
          </w:tcPr>
          <w:p>
            <w:pPr>
              <w:ind w:left="60"/>
              <w:spacing w:after="0"/>
              <w:rPr>
                <w:sz w:val="20"/>
                <w:szCs w:val="20"/>
                <w:color w:val="auto"/>
              </w:rPr>
            </w:pPr>
            <w:r>
              <w:rPr>
                <w:rFonts w:ascii="Arial" w:cs="Arial" w:eastAsia="Arial" w:hAnsi="Arial"/>
                <w:sz w:val="13"/>
                <w:szCs w:val="13"/>
                <w:b w:val="1"/>
                <w:bCs w:val="1"/>
                <w:color w:val="auto"/>
              </w:rPr>
              <w:t>Principal</w:t>
            </w:r>
          </w:p>
        </w:tc>
        <w:tc>
          <w:tcPr>
            <w:tcW w:w="460" w:type="dxa"/>
            <w:vAlign w:val="bottom"/>
            <w:shd w:val="clear" w:color="auto" w:fill="ECEBEB"/>
          </w:tcPr>
          <w:p>
            <w:pPr>
              <w:spacing w:after="0"/>
              <w:rPr>
                <w:sz w:val="14"/>
                <w:szCs w:val="14"/>
                <w:color w:val="auto"/>
              </w:rPr>
            </w:pPr>
          </w:p>
        </w:tc>
        <w:tc>
          <w:tcPr>
            <w:tcW w:w="800" w:type="dxa"/>
            <w:vAlign w:val="bottom"/>
            <w:shd w:val="clear" w:color="auto" w:fill="ECEBEB"/>
          </w:tcPr>
          <w:p>
            <w:pPr>
              <w:jc w:val="right"/>
              <w:ind w:right="13"/>
              <w:spacing w:after="0"/>
              <w:rPr>
                <w:sz w:val="20"/>
                <w:szCs w:val="20"/>
                <w:color w:val="auto"/>
              </w:rPr>
            </w:pPr>
            <w:r>
              <w:rPr>
                <w:rFonts w:ascii="Arial" w:cs="Arial" w:eastAsia="Arial" w:hAnsi="Arial"/>
                <w:sz w:val="13"/>
                <w:szCs w:val="13"/>
                <w:b w:val="1"/>
                <w:bCs w:val="1"/>
                <w:color w:val="auto"/>
              </w:rPr>
              <w:t>Salary</w:t>
            </w:r>
          </w:p>
        </w:tc>
        <w:tc>
          <w:tcPr>
            <w:tcW w:w="840" w:type="dxa"/>
            <w:vAlign w:val="bottom"/>
            <w:shd w:val="clear" w:color="auto" w:fill="ECEBEB"/>
          </w:tcPr>
          <w:p>
            <w:pPr>
              <w:jc w:val="right"/>
              <w:spacing w:after="0" w:line="16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7"/>
                <w:szCs w:val="17"/>
                <w:b w:val="1"/>
                <w:bCs w:val="1"/>
                <w:color w:val="auto"/>
                <w:vertAlign w:val="superscript"/>
              </w:rPr>
              <w:t>(2)</w:t>
            </w:r>
          </w:p>
        </w:tc>
        <w:tc>
          <w:tcPr>
            <w:tcW w:w="760" w:type="dxa"/>
            <w:vAlign w:val="bottom"/>
            <w:shd w:val="clear" w:color="auto" w:fill="ECEBEB"/>
          </w:tcPr>
          <w:p>
            <w:pPr>
              <w:ind w:left="120"/>
              <w:spacing w:after="0" w:line="162"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7"/>
                <w:szCs w:val="17"/>
                <w:b w:val="1"/>
                <w:bCs w:val="1"/>
                <w:color w:val="auto"/>
                <w:vertAlign w:val="superscript"/>
              </w:rPr>
              <w:t>(3)</w:t>
            </w:r>
          </w:p>
        </w:tc>
        <w:tc>
          <w:tcPr>
            <w:tcW w:w="1200" w:type="dxa"/>
            <w:vAlign w:val="bottom"/>
            <w:gridSpan w:val="2"/>
            <w:shd w:val="clear" w:color="auto" w:fill="ECEBEB"/>
          </w:tcPr>
          <w:p>
            <w:pPr>
              <w:jc w:val="right"/>
              <w:ind w:right="34"/>
              <w:spacing w:after="0" w:line="162"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17"/>
                <w:szCs w:val="17"/>
                <w:b w:val="1"/>
                <w:bCs w:val="1"/>
                <w:color w:val="auto"/>
                <w:vertAlign w:val="superscript"/>
              </w:rPr>
              <w:t>(4)</w:t>
            </w:r>
          </w:p>
        </w:tc>
        <w:tc>
          <w:tcPr>
            <w:tcW w:w="1020" w:type="dxa"/>
            <w:vAlign w:val="bottom"/>
            <w:shd w:val="clear" w:color="auto" w:fill="ECEBEB"/>
          </w:tcPr>
          <w:p>
            <w:pPr>
              <w:jc w:val="right"/>
              <w:ind w:right="34"/>
              <w:spacing w:after="0" w:line="162"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17"/>
                <w:szCs w:val="17"/>
                <w:b w:val="1"/>
                <w:bCs w:val="1"/>
                <w:color w:val="auto"/>
                <w:vertAlign w:val="superscript"/>
              </w:rPr>
              <w:t>(5)</w:t>
            </w:r>
          </w:p>
        </w:tc>
        <w:tc>
          <w:tcPr>
            <w:tcW w:w="1100" w:type="dxa"/>
            <w:vAlign w:val="bottom"/>
            <w:shd w:val="clear" w:color="auto" w:fill="ECEBEB"/>
          </w:tcPr>
          <w:p>
            <w:pPr>
              <w:jc w:val="right"/>
              <w:spacing w:after="0" w:line="162" w:lineRule="exact"/>
              <w:rPr>
                <w:sz w:val="20"/>
                <w:szCs w:val="20"/>
                <w:color w:val="auto"/>
              </w:rPr>
            </w:pPr>
            <w:r>
              <w:rPr>
                <w:rFonts w:ascii="Arial" w:cs="Arial" w:eastAsia="Arial" w:hAnsi="Arial"/>
                <w:sz w:val="13"/>
                <w:szCs w:val="13"/>
                <w:b w:val="1"/>
                <w:bCs w:val="1"/>
                <w:color w:val="auto"/>
                <w:w w:val="97"/>
              </w:rPr>
              <w:t>Compensation</w:t>
            </w:r>
            <w:r>
              <w:rPr>
                <w:rFonts w:ascii="Arial" w:cs="Arial" w:eastAsia="Arial" w:hAnsi="Arial"/>
                <w:sz w:val="17"/>
                <w:szCs w:val="17"/>
                <w:b w:val="1"/>
                <w:bCs w:val="1"/>
                <w:color w:val="auto"/>
                <w:w w:val="97"/>
                <w:vertAlign w:val="superscript"/>
              </w:rPr>
              <w:t>(6)</w:t>
            </w:r>
          </w:p>
        </w:tc>
        <w:tc>
          <w:tcPr>
            <w:tcW w:w="820" w:type="dxa"/>
            <w:vAlign w:val="bottom"/>
            <w:gridSpan w:val="2"/>
            <w:shd w:val="clear" w:color="auto" w:fill="ECEBEB"/>
          </w:tcPr>
          <w:p>
            <w:pPr>
              <w:jc w:val="right"/>
              <w:ind w:right="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2"/>
        </w:trPr>
        <w:tc>
          <w:tcPr>
            <w:tcW w:w="2080" w:type="dxa"/>
            <w:vAlign w:val="bottom"/>
            <w:tcBorders>
              <w:bottom w:val="single" w:sz="8" w:color="0956FF"/>
            </w:tcBorders>
            <w:gridSpan w:val="2"/>
            <w:shd w:val="clear" w:color="auto" w:fill="ECEBEB"/>
          </w:tcPr>
          <w:p>
            <w:pPr>
              <w:ind w:left="60"/>
              <w:spacing w:after="0" w:line="182" w:lineRule="exact"/>
              <w:rPr>
                <w:sz w:val="20"/>
                <w:szCs w:val="20"/>
                <w:color w:val="auto"/>
              </w:rPr>
            </w:pPr>
            <w:r>
              <w:rPr>
                <w:rFonts w:ascii="Arial" w:cs="Arial" w:eastAsia="Arial" w:hAnsi="Arial"/>
                <w:sz w:val="13"/>
                <w:szCs w:val="13"/>
                <w:b w:val="1"/>
                <w:bCs w:val="1"/>
                <w:color w:val="auto"/>
              </w:rPr>
              <w:t>Position</w:t>
            </w:r>
            <w:r>
              <w:rPr>
                <w:rFonts w:ascii="Arial" w:cs="Arial" w:eastAsia="Arial" w:hAnsi="Arial"/>
                <w:sz w:val="17"/>
                <w:szCs w:val="17"/>
                <w:b w:val="1"/>
                <w:bCs w:val="1"/>
                <w:color w:val="auto"/>
                <w:vertAlign w:val="superscript"/>
              </w:rPr>
              <w:t>(1)</w:t>
            </w:r>
          </w:p>
        </w:tc>
        <w:tc>
          <w:tcPr>
            <w:tcW w:w="460" w:type="dxa"/>
            <w:vAlign w:val="bottom"/>
            <w:tcBorders>
              <w:bottom w:val="single" w:sz="8" w:color="0956FF"/>
            </w:tcBorders>
            <w:shd w:val="clear" w:color="auto" w:fill="ECEBEB"/>
          </w:tcPr>
          <w:p>
            <w:pPr>
              <w:jc w:val="right"/>
              <w:ind w:right="13"/>
              <w:spacing w:after="0"/>
              <w:rPr>
                <w:sz w:val="20"/>
                <w:szCs w:val="20"/>
                <w:color w:val="auto"/>
              </w:rPr>
            </w:pPr>
            <w:r>
              <w:rPr>
                <w:rFonts w:ascii="Arial" w:cs="Arial" w:eastAsia="Arial" w:hAnsi="Arial"/>
                <w:sz w:val="13"/>
                <w:szCs w:val="13"/>
                <w:b w:val="1"/>
                <w:bCs w:val="1"/>
                <w:color w:val="auto"/>
              </w:rPr>
              <w:t>Year</w:t>
            </w:r>
          </w:p>
        </w:tc>
        <w:tc>
          <w:tcPr>
            <w:tcW w:w="800" w:type="dxa"/>
            <w:vAlign w:val="bottom"/>
            <w:tcBorders>
              <w:bottom w:val="single" w:sz="8" w:color="0956FF"/>
            </w:tcBorders>
            <w:shd w:val="clear" w:color="auto" w:fill="ECEBEB"/>
          </w:tcPr>
          <w:p>
            <w:pPr>
              <w:jc w:val="right"/>
              <w:ind w:right="13"/>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0956FF"/>
            </w:tcBorders>
            <w:shd w:val="clear" w:color="auto" w:fill="ECEBEB"/>
          </w:tcPr>
          <w:p>
            <w:pPr>
              <w:spacing w:after="0"/>
              <w:rPr>
                <w:sz w:val="15"/>
                <w:szCs w:val="15"/>
                <w:color w:val="auto"/>
              </w:rPr>
            </w:pPr>
          </w:p>
        </w:tc>
        <w:tc>
          <w:tcPr>
            <w:tcW w:w="820" w:type="dxa"/>
            <w:vAlign w:val="bottom"/>
            <w:tcBorders>
              <w:bottom w:val="single" w:sz="8" w:color="0956FF"/>
            </w:tcBorders>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0956FF"/>
            </w:tcBorders>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0956FF"/>
            </w:tcBorders>
            <w:shd w:val="clear" w:color="auto" w:fill="ECEBE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80" w:type="dxa"/>
            <w:vAlign w:val="bottom"/>
            <w:gridSpan w:val="2"/>
          </w:tcPr>
          <w:p>
            <w:pPr>
              <w:ind w:left="60"/>
              <w:spacing w:after="0"/>
              <w:rPr>
                <w:sz w:val="20"/>
                <w:szCs w:val="20"/>
                <w:color w:val="auto"/>
              </w:rPr>
            </w:pPr>
            <w:r>
              <w:rPr>
                <w:rFonts w:ascii="Arial" w:cs="Arial" w:eastAsia="Arial" w:hAnsi="Arial"/>
                <w:sz w:val="13"/>
                <w:szCs w:val="13"/>
                <w:b w:val="1"/>
                <w:bCs w:val="1"/>
                <w:color w:val="0956FF"/>
              </w:rPr>
              <w:t>Mary T. Barra</w:t>
            </w:r>
          </w:p>
        </w:tc>
        <w:tc>
          <w:tcPr>
            <w:tcW w:w="460" w:type="dxa"/>
            <w:vAlign w:val="bottom"/>
            <w:tcBorders>
              <w:bottom w:val="single" w:sz="8" w:color="D8D7D7"/>
            </w:tcBorders>
          </w:tcPr>
          <w:p>
            <w:pPr>
              <w:jc w:val="right"/>
              <w:ind w:right="33"/>
              <w:spacing w:after="0"/>
              <w:rPr>
                <w:sz w:val="20"/>
                <w:szCs w:val="20"/>
                <w:color w:val="auto"/>
              </w:rPr>
            </w:pPr>
            <w:r>
              <w:rPr>
                <w:rFonts w:ascii="Arial" w:cs="Arial" w:eastAsia="Arial" w:hAnsi="Arial"/>
                <w:sz w:val="13"/>
                <w:szCs w:val="13"/>
                <w:color w:val="auto"/>
              </w:rPr>
              <w:t>2025</w:t>
            </w:r>
          </w:p>
        </w:tc>
        <w:tc>
          <w:tcPr>
            <w:tcW w:w="800" w:type="dxa"/>
            <w:vAlign w:val="bottom"/>
            <w:tcBorders>
              <w:bottom w:val="single" w:sz="8" w:color="D8D7D7"/>
            </w:tcBorders>
          </w:tcPr>
          <w:p>
            <w:pPr>
              <w:jc w:val="right"/>
              <w:ind w:right="53"/>
              <w:spacing w:after="0"/>
              <w:rPr>
                <w:sz w:val="20"/>
                <w:szCs w:val="20"/>
                <w:color w:val="auto"/>
              </w:rPr>
            </w:pPr>
            <w:r>
              <w:rPr>
                <w:rFonts w:ascii="Arial" w:cs="Arial" w:eastAsia="Arial" w:hAnsi="Arial"/>
                <w:sz w:val="13"/>
                <w:szCs w:val="13"/>
                <w:color w:val="auto"/>
              </w:rPr>
              <w:t>2,100,000</w:t>
            </w:r>
          </w:p>
        </w:tc>
        <w:tc>
          <w:tcPr>
            <w:tcW w:w="84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21,623,970</w:t>
            </w:r>
          </w:p>
        </w:tc>
        <w:tc>
          <w:tcPr>
            <w:tcW w:w="760" w:type="dxa"/>
            <w:vAlign w:val="bottom"/>
            <w:tcBorders>
              <w:bottom w:val="single" w:sz="8" w:color="D8D7D7"/>
            </w:tcBorders>
          </w:tcPr>
          <w:p>
            <w:pPr>
              <w:ind w:left="620"/>
              <w:spacing w:after="0"/>
              <w:rPr>
                <w:sz w:val="20"/>
                <w:szCs w:val="20"/>
                <w:color w:val="auto"/>
              </w:rPr>
            </w:pPr>
            <w:r>
              <w:rPr>
                <w:rFonts w:ascii="Arial" w:cs="Arial" w:eastAsia="Arial" w:hAnsi="Arial"/>
                <w:sz w:val="13"/>
                <w:szCs w:val="13"/>
                <w:color w:val="auto"/>
                <w:w w:val="91"/>
              </w:rPr>
              <w:t>—</w:t>
            </w:r>
          </w:p>
        </w:tc>
        <w:tc>
          <w:tcPr>
            <w:tcW w:w="380" w:type="dxa"/>
            <w:vAlign w:val="bottom"/>
            <w:tcBorders>
              <w:bottom w:val="single" w:sz="8" w:color="D8D7D7"/>
            </w:tcBorders>
          </w:tcPr>
          <w:p>
            <w:pPr>
              <w:spacing w:after="0"/>
              <w:rPr>
                <w:sz w:val="17"/>
                <w:szCs w:val="17"/>
                <w:color w:val="auto"/>
              </w:rPr>
            </w:pPr>
          </w:p>
        </w:tc>
        <w:tc>
          <w:tcPr>
            <w:tcW w:w="820" w:type="dxa"/>
            <w:vAlign w:val="bottom"/>
            <w:tcBorders>
              <w:bottom w:val="single" w:sz="8" w:color="D8D7D7"/>
            </w:tcBorders>
          </w:tcPr>
          <w:p>
            <w:pPr>
              <w:jc w:val="right"/>
              <w:ind w:right="74"/>
              <w:spacing w:after="0"/>
              <w:rPr>
                <w:sz w:val="20"/>
                <w:szCs w:val="20"/>
                <w:color w:val="auto"/>
              </w:rPr>
            </w:pPr>
            <w:r>
              <w:rPr>
                <w:rFonts w:ascii="Arial" w:cs="Arial" w:eastAsia="Arial" w:hAnsi="Arial"/>
                <w:sz w:val="13"/>
                <w:szCs w:val="13"/>
                <w:color w:val="auto"/>
              </w:rPr>
              <w:t>4,956,000</w:t>
            </w:r>
          </w:p>
        </w:tc>
        <w:tc>
          <w:tcPr>
            <w:tcW w:w="10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1,215,898</w:t>
            </w:r>
          </w:p>
        </w:tc>
        <w:tc>
          <w:tcPr>
            <w:tcW w:w="800" w:type="dxa"/>
            <w:vAlign w:val="bottom"/>
            <w:tcBorders>
              <w:bottom w:val="single" w:sz="8" w:color="D8D7D7"/>
            </w:tcBorders>
          </w:tcPr>
          <w:p>
            <w:pPr>
              <w:jc w:val="right"/>
              <w:ind w:right="14"/>
              <w:spacing w:after="0"/>
              <w:rPr>
                <w:sz w:val="20"/>
                <w:szCs w:val="20"/>
                <w:color w:val="auto"/>
              </w:rPr>
            </w:pPr>
            <w:r>
              <w:rPr>
                <w:rFonts w:ascii="Arial" w:cs="Arial" w:eastAsia="Arial" w:hAnsi="Arial"/>
                <w:sz w:val="13"/>
                <w:szCs w:val="13"/>
                <w:color w:val="auto"/>
              </w:rPr>
              <w:t>29,895,868</w:t>
            </w:r>
          </w:p>
        </w:tc>
        <w:tc>
          <w:tcPr>
            <w:tcW w:w="20" w:type="dxa"/>
            <w:vAlign w:val="bottom"/>
            <w:tcBorders>
              <w:bottom w:val="single" w:sz="8" w:color="D8D7D7"/>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60"/>
              <w:spacing w:after="0"/>
              <w:rPr>
                <w:sz w:val="20"/>
                <w:szCs w:val="20"/>
                <w:color w:val="auto"/>
              </w:rPr>
            </w:pPr>
            <w:r>
              <w:rPr>
                <w:rFonts w:ascii="Arial" w:cs="Arial" w:eastAsia="Arial" w:hAnsi="Arial"/>
                <w:sz w:val="13"/>
                <w:szCs w:val="13"/>
                <w:color w:val="auto"/>
              </w:rPr>
              <w:t>Chair and Chief</w:t>
            </w:r>
          </w:p>
        </w:tc>
        <w:tc>
          <w:tcPr>
            <w:tcW w:w="460" w:type="dxa"/>
            <w:vAlign w:val="bottom"/>
            <w:vMerge w:val="restart"/>
          </w:tcPr>
          <w:p>
            <w:pPr>
              <w:jc w:val="right"/>
              <w:ind w:right="33"/>
              <w:spacing w:after="0"/>
              <w:rPr>
                <w:sz w:val="20"/>
                <w:szCs w:val="20"/>
                <w:color w:val="auto"/>
              </w:rPr>
            </w:pPr>
            <w:r>
              <w:rPr>
                <w:rFonts w:ascii="Arial" w:cs="Arial" w:eastAsia="Arial" w:hAnsi="Arial"/>
                <w:sz w:val="13"/>
                <w:szCs w:val="13"/>
                <w:color w:val="auto"/>
              </w:rPr>
              <w:t>2024</w:t>
            </w:r>
          </w:p>
        </w:tc>
        <w:tc>
          <w:tcPr>
            <w:tcW w:w="800" w:type="dxa"/>
            <w:vAlign w:val="bottom"/>
            <w:vMerge w:val="restart"/>
          </w:tcPr>
          <w:p>
            <w:pPr>
              <w:jc w:val="right"/>
              <w:ind w:right="53"/>
              <w:spacing w:after="0"/>
              <w:rPr>
                <w:sz w:val="20"/>
                <w:szCs w:val="20"/>
                <w:color w:val="auto"/>
              </w:rPr>
            </w:pPr>
            <w:r>
              <w:rPr>
                <w:rFonts w:ascii="Arial" w:cs="Arial" w:eastAsia="Arial" w:hAnsi="Arial"/>
                <w:sz w:val="13"/>
                <w:szCs w:val="13"/>
                <w:color w:val="auto"/>
              </w:rPr>
              <w:t>2,100,000</w:t>
            </w: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color w:val="auto"/>
              </w:rPr>
              <w:t>19,500,028</w:t>
            </w:r>
          </w:p>
        </w:tc>
        <w:tc>
          <w:tcPr>
            <w:tcW w:w="760" w:type="dxa"/>
            <w:vAlign w:val="bottom"/>
            <w:vMerge w:val="restart"/>
          </w:tcPr>
          <w:p>
            <w:pPr>
              <w:ind w:left="62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2"/>
                <w:szCs w:val="12"/>
                <w:color w:val="auto"/>
              </w:rPr>
            </w:pPr>
          </w:p>
        </w:tc>
        <w:tc>
          <w:tcPr>
            <w:tcW w:w="820" w:type="dxa"/>
            <w:vAlign w:val="bottom"/>
            <w:vMerge w:val="restart"/>
          </w:tcPr>
          <w:p>
            <w:pPr>
              <w:jc w:val="right"/>
              <w:ind w:right="74"/>
              <w:spacing w:after="0"/>
              <w:rPr>
                <w:sz w:val="20"/>
                <w:szCs w:val="20"/>
                <w:color w:val="auto"/>
              </w:rPr>
            </w:pPr>
            <w:r>
              <w:rPr>
                <w:rFonts w:ascii="Arial" w:cs="Arial" w:eastAsia="Arial" w:hAnsi="Arial"/>
                <w:sz w:val="13"/>
                <w:szCs w:val="13"/>
                <w:color w:val="auto"/>
              </w:rPr>
              <w:t>6,668,000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4"/>
              <w:spacing w:after="0"/>
              <w:rPr>
                <w:sz w:val="20"/>
                <w:szCs w:val="20"/>
                <w:color w:val="auto"/>
              </w:rPr>
            </w:pPr>
            <w:r>
              <w:rPr>
                <w:rFonts w:ascii="Arial" w:cs="Arial" w:eastAsia="Arial" w:hAnsi="Arial"/>
                <w:sz w:val="13"/>
                <w:szCs w:val="13"/>
                <w:color w:val="auto"/>
              </w:rPr>
              <w:t>1,228,609</w:t>
            </w:r>
          </w:p>
        </w:tc>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auto"/>
              </w:rPr>
              <w:t>29,496,637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80" w:type="dxa"/>
            <w:vAlign w:val="bottom"/>
            <w:gridSpan w:val="2"/>
            <w:vMerge w:val="restart"/>
          </w:tcPr>
          <w:p>
            <w:pPr>
              <w:ind w:left="60"/>
              <w:spacing w:after="0"/>
              <w:rPr>
                <w:sz w:val="20"/>
                <w:szCs w:val="20"/>
                <w:color w:val="auto"/>
              </w:rPr>
            </w:pPr>
            <w:r>
              <w:rPr>
                <w:rFonts w:ascii="Arial" w:cs="Arial" w:eastAsia="Arial" w:hAnsi="Arial"/>
                <w:sz w:val="13"/>
                <w:szCs w:val="13"/>
                <w:color w:val="auto"/>
              </w:rPr>
              <w:t>Executive Officer</w:t>
            </w:r>
          </w:p>
        </w:tc>
        <w:tc>
          <w:tcPr>
            <w:tcW w:w="460" w:type="dxa"/>
            <w:vAlign w:val="bottom"/>
            <w:tcBorders>
              <w:bottom w:val="single" w:sz="8" w:color="D8D7D7"/>
            </w:tcBorders>
            <w:vMerge w:val="continue"/>
          </w:tcPr>
          <w:p>
            <w:pPr>
              <w:spacing w:after="0"/>
              <w:rPr>
                <w:sz w:val="5"/>
                <w:szCs w:val="5"/>
                <w:color w:val="auto"/>
              </w:rPr>
            </w:pPr>
          </w:p>
        </w:tc>
        <w:tc>
          <w:tcPr>
            <w:tcW w:w="800" w:type="dxa"/>
            <w:vAlign w:val="bottom"/>
            <w:tcBorders>
              <w:bottom w:val="single" w:sz="8" w:color="D8D7D7"/>
            </w:tcBorders>
            <w:vMerge w:val="continue"/>
          </w:tcPr>
          <w:p>
            <w:pPr>
              <w:spacing w:after="0"/>
              <w:rPr>
                <w:sz w:val="5"/>
                <w:szCs w:val="5"/>
                <w:color w:val="auto"/>
              </w:rPr>
            </w:pPr>
          </w:p>
        </w:tc>
        <w:tc>
          <w:tcPr>
            <w:tcW w:w="840" w:type="dxa"/>
            <w:vAlign w:val="bottom"/>
            <w:tcBorders>
              <w:bottom w:val="single" w:sz="8" w:color="D8D7D7"/>
            </w:tcBorders>
            <w:vMerge w:val="continue"/>
          </w:tcPr>
          <w:p>
            <w:pPr>
              <w:spacing w:after="0"/>
              <w:rPr>
                <w:sz w:val="5"/>
                <w:szCs w:val="5"/>
                <w:color w:val="auto"/>
              </w:rPr>
            </w:pPr>
          </w:p>
        </w:tc>
        <w:tc>
          <w:tcPr>
            <w:tcW w:w="760" w:type="dxa"/>
            <w:vAlign w:val="bottom"/>
            <w:tcBorders>
              <w:bottom w:val="single" w:sz="8" w:color="D8D7D7"/>
            </w:tcBorders>
            <w:vMerge w:val="continue"/>
          </w:tcPr>
          <w:p>
            <w:pPr>
              <w:spacing w:after="0"/>
              <w:rPr>
                <w:sz w:val="5"/>
                <w:szCs w:val="5"/>
                <w:color w:val="auto"/>
              </w:rPr>
            </w:pPr>
          </w:p>
        </w:tc>
        <w:tc>
          <w:tcPr>
            <w:tcW w:w="380" w:type="dxa"/>
            <w:vAlign w:val="bottom"/>
            <w:tcBorders>
              <w:bottom w:val="single" w:sz="8" w:color="D8D7D7"/>
            </w:tcBorders>
          </w:tcPr>
          <w:p>
            <w:pPr>
              <w:spacing w:after="0"/>
              <w:rPr>
                <w:sz w:val="5"/>
                <w:szCs w:val="5"/>
                <w:color w:val="auto"/>
              </w:rPr>
            </w:pPr>
          </w:p>
        </w:tc>
        <w:tc>
          <w:tcPr>
            <w:tcW w:w="820" w:type="dxa"/>
            <w:vAlign w:val="bottom"/>
            <w:tcBorders>
              <w:bottom w:val="single" w:sz="8" w:color="D8D7D7"/>
            </w:tcBorders>
            <w:vMerge w:val="continue"/>
          </w:tcPr>
          <w:p>
            <w:pPr>
              <w:spacing w:after="0"/>
              <w:rPr>
                <w:sz w:val="5"/>
                <w:szCs w:val="5"/>
                <w:color w:val="auto"/>
              </w:rPr>
            </w:pPr>
          </w:p>
        </w:tc>
        <w:tc>
          <w:tcPr>
            <w:tcW w:w="1020" w:type="dxa"/>
            <w:vAlign w:val="bottom"/>
            <w:tcBorders>
              <w:bottom w:val="single" w:sz="8" w:color="D8D7D7"/>
            </w:tcBorders>
            <w:vMerge w:val="continue"/>
          </w:tcPr>
          <w:p>
            <w:pPr>
              <w:spacing w:after="0"/>
              <w:rPr>
                <w:sz w:val="5"/>
                <w:szCs w:val="5"/>
                <w:color w:val="auto"/>
              </w:rPr>
            </w:pPr>
          </w:p>
        </w:tc>
        <w:tc>
          <w:tcPr>
            <w:tcW w:w="1100" w:type="dxa"/>
            <w:vAlign w:val="bottom"/>
            <w:tcBorders>
              <w:bottom w:val="single" w:sz="8" w:color="D8D7D7"/>
            </w:tcBorders>
            <w:vMerge w:val="continue"/>
          </w:tcPr>
          <w:p>
            <w:pPr>
              <w:spacing w:after="0"/>
              <w:rPr>
                <w:sz w:val="5"/>
                <w:szCs w:val="5"/>
                <w:color w:val="auto"/>
              </w:rPr>
            </w:pPr>
          </w:p>
        </w:tc>
        <w:tc>
          <w:tcPr>
            <w:tcW w:w="800" w:type="dxa"/>
            <w:vAlign w:val="bottom"/>
            <w:tcBorders>
              <w:bottom w:val="single" w:sz="8" w:color="D8D7D7"/>
            </w:tcBorders>
            <w:vMerge w:val="continue"/>
          </w:tcPr>
          <w:p>
            <w:pPr>
              <w:spacing w:after="0"/>
              <w:rPr>
                <w:sz w:val="5"/>
                <w:szCs w:val="5"/>
                <w:color w:val="auto"/>
              </w:rPr>
            </w:pPr>
          </w:p>
        </w:tc>
        <w:tc>
          <w:tcPr>
            <w:tcW w:w="20" w:type="dxa"/>
            <w:vAlign w:val="bottom"/>
            <w:tcBorders>
              <w:bottom w:val="single" w:sz="8" w:color="D8D7D7"/>
            </w:tcBorders>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80" w:type="dxa"/>
            <w:vAlign w:val="bottom"/>
            <w:gridSpan w:val="2"/>
            <w:vMerge w:val="continue"/>
          </w:tcPr>
          <w:p>
            <w:pPr>
              <w:spacing w:after="0"/>
              <w:rPr>
                <w:sz w:val="8"/>
                <w:szCs w:val="8"/>
                <w:color w:val="auto"/>
              </w:rPr>
            </w:pPr>
          </w:p>
        </w:tc>
        <w:tc>
          <w:tcPr>
            <w:tcW w:w="460" w:type="dxa"/>
            <w:vAlign w:val="bottom"/>
            <w:vMerge w:val="restart"/>
          </w:tcPr>
          <w:p>
            <w:pPr>
              <w:jc w:val="right"/>
              <w:ind w:right="33"/>
              <w:spacing w:after="0"/>
              <w:rPr>
                <w:sz w:val="20"/>
                <w:szCs w:val="20"/>
                <w:color w:val="auto"/>
              </w:rPr>
            </w:pPr>
            <w:r>
              <w:rPr>
                <w:rFonts w:ascii="Arial" w:cs="Arial" w:eastAsia="Arial" w:hAnsi="Arial"/>
                <w:sz w:val="13"/>
                <w:szCs w:val="13"/>
                <w:color w:val="auto"/>
              </w:rPr>
              <w:t>2023</w:t>
            </w:r>
          </w:p>
        </w:tc>
        <w:tc>
          <w:tcPr>
            <w:tcW w:w="800" w:type="dxa"/>
            <w:vAlign w:val="bottom"/>
            <w:vMerge w:val="restart"/>
          </w:tcPr>
          <w:p>
            <w:pPr>
              <w:jc w:val="right"/>
              <w:ind w:right="53"/>
              <w:spacing w:after="0"/>
              <w:rPr>
                <w:sz w:val="20"/>
                <w:szCs w:val="20"/>
                <w:color w:val="auto"/>
              </w:rPr>
            </w:pPr>
            <w:r>
              <w:rPr>
                <w:rFonts w:ascii="Arial" w:cs="Arial" w:eastAsia="Arial" w:hAnsi="Arial"/>
                <w:sz w:val="13"/>
                <w:szCs w:val="13"/>
                <w:color w:val="auto"/>
              </w:rPr>
              <w:t>2,100,000</w:t>
            </w: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color w:val="auto"/>
              </w:rPr>
              <w:t>14,625,000</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4,875,013</w:t>
            </w:r>
          </w:p>
        </w:tc>
        <w:tc>
          <w:tcPr>
            <w:tcW w:w="380" w:type="dxa"/>
            <w:vAlign w:val="bottom"/>
          </w:tcPr>
          <w:p>
            <w:pPr>
              <w:spacing w:after="0"/>
              <w:rPr>
                <w:sz w:val="8"/>
                <w:szCs w:val="8"/>
                <w:color w:val="auto"/>
              </w:rPr>
            </w:pPr>
          </w:p>
        </w:tc>
        <w:tc>
          <w:tcPr>
            <w:tcW w:w="820" w:type="dxa"/>
            <w:vAlign w:val="bottom"/>
            <w:vMerge w:val="restart"/>
          </w:tcPr>
          <w:p>
            <w:pPr>
              <w:jc w:val="right"/>
              <w:ind w:right="74"/>
              <w:spacing w:after="0"/>
              <w:rPr>
                <w:sz w:val="20"/>
                <w:szCs w:val="20"/>
                <w:color w:val="auto"/>
              </w:rPr>
            </w:pPr>
            <w:r>
              <w:rPr>
                <w:rFonts w:ascii="Arial" w:cs="Arial" w:eastAsia="Arial" w:hAnsi="Arial"/>
                <w:sz w:val="13"/>
                <w:szCs w:val="13"/>
                <w:color w:val="auto"/>
              </w:rPr>
              <w:t>5,250,000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4"/>
              <w:spacing w:after="0"/>
              <w:rPr>
                <w:sz w:val="20"/>
                <w:szCs w:val="20"/>
                <w:color w:val="auto"/>
              </w:rPr>
            </w:pPr>
            <w:r>
              <w:rPr>
                <w:rFonts w:ascii="Arial" w:cs="Arial" w:eastAsia="Arial" w:hAnsi="Arial"/>
                <w:sz w:val="13"/>
                <w:szCs w:val="13"/>
                <w:color w:val="auto"/>
              </w:rPr>
              <w:t>997,392</w:t>
            </w:r>
          </w:p>
        </w:tc>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auto"/>
              </w:rPr>
              <w:t>27,847,405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tcBorders>
              <w:bottom w:val="single" w:sz="8" w:color="D8D7D7"/>
            </w:tcBorders>
          </w:tcPr>
          <w:p>
            <w:pPr>
              <w:spacing w:after="0"/>
              <w:rPr>
                <w:sz w:val="9"/>
                <w:szCs w:val="9"/>
                <w:color w:val="auto"/>
              </w:rPr>
            </w:pPr>
          </w:p>
        </w:tc>
        <w:tc>
          <w:tcPr>
            <w:tcW w:w="1880" w:type="dxa"/>
            <w:vAlign w:val="bottom"/>
            <w:tcBorders>
              <w:bottom w:val="single" w:sz="8" w:color="D8D7D7"/>
            </w:tcBorders>
          </w:tcPr>
          <w:p>
            <w:pPr>
              <w:spacing w:after="0"/>
              <w:rPr>
                <w:sz w:val="9"/>
                <w:szCs w:val="9"/>
                <w:color w:val="auto"/>
              </w:rPr>
            </w:pPr>
          </w:p>
        </w:tc>
        <w:tc>
          <w:tcPr>
            <w:tcW w:w="460" w:type="dxa"/>
            <w:vAlign w:val="bottom"/>
            <w:tcBorders>
              <w:bottom w:val="single" w:sz="8" w:color="D8D7D7"/>
            </w:tcBorders>
            <w:vMerge w:val="continue"/>
          </w:tcPr>
          <w:p>
            <w:pPr>
              <w:spacing w:after="0"/>
              <w:rPr>
                <w:sz w:val="9"/>
                <w:szCs w:val="9"/>
                <w:color w:val="auto"/>
              </w:rPr>
            </w:pPr>
          </w:p>
        </w:tc>
        <w:tc>
          <w:tcPr>
            <w:tcW w:w="800" w:type="dxa"/>
            <w:vAlign w:val="bottom"/>
            <w:tcBorders>
              <w:bottom w:val="single" w:sz="8" w:color="D8D7D7"/>
            </w:tcBorders>
            <w:vMerge w:val="continue"/>
          </w:tcPr>
          <w:p>
            <w:pPr>
              <w:spacing w:after="0"/>
              <w:rPr>
                <w:sz w:val="9"/>
                <w:szCs w:val="9"/>
                <w:color w:val="auto"/>
              </w:rPr>
            </w:pPr>
          </w:p>
        </w:tc>
        <w:tc>
          <w:tcPr>
            <w:tcW w:w="840" w:type="dxa"/>
            <w:vAlign w:val="bottom"/>
            <w:tcBorders>
              <w:bottom w:val="single" w:sz="8" w:color="D8D7D7"/>
            </w:tcBorders>
            <w:vMerge w:val="continue"/>
          </w:tcPr>
          <w:p>
            <w:pPr>
              <w:spacing w:after="0"/>
              <w:rPr>
                <w:sz w:val="9"/>
                <w:szCs w:val="9"/>
                <w:color w:val="auto"/>
              </w:rPr>
            </w:pPr>
          </w:p>
        </w:tc>
        <w:tc>
          <w:tcPr>
            <w:tcW w:w="760" w:type="dxa"/>
            <w:vAlign w:val="bottom"/>
            <w:tcBorders>
              <w:bottom w:val="single" w:sz="8" w:color="D8D7D7"/>
            </w:tcBorders>
            <w:vMerge w:val="continue"/>
          </w:tcPr>
          <w:p>
            <w:pPr>
              <w:spacing w:after="0"/>
              <w:rPr>
                <w:sz w:val="9"/>
                <w:szCs w:val="9"/>
                <w:color w:val="auto"/>
              </w:rPr>
            </w:pPr>
          </w:p>
        </w:tc>
        <w:tc>
          <w:tcPr>
            <w:tcW w:w="380" w:type="dxa"/>
            <w:vAlign w:val="bottom"/>
            <w:tcBorders>
              <w:bottom w:val="single" w:sz="8" w:color="D8D7D7"/>
            </w:tcBorders>
          </w:tcPr>
          <w:p>
            <w:pPr>
              <w:spacing w:after="0"/>
              <w:rPr>
                <w:sz w:val="9"/>
                <w:szCs w:val="9"/>
                <w:color w:val="auto"/>
              </w:rPr>
            </w:pPr>
          </w:p>
        </w:tc>
        <w:tc>
          <w:tcPr>
            <w:tcW w:w="820" w:type="dxa"/>
            <w:vAlign w:val="bottom"/>
            <w:tcBorders>
              <w:bottom w:val="single" w:sz="8" w:color="D8D7D7"/>
            </w:tcBorders>
            <w:vMerge w:val="continue"/>
          </w:tcPr>
          <w:p>
            <w:pPr>
              <w:spacing w:after="0"/>
              <w:rPr>
                <w:sz w:val="9"/>
                <w:szCs w:val="9"/>
                <w:color w:val="auto"/>
              </w:rPr>
            </w:pPr>
          </w:p>
        </w:tc>
        <w:tc>
          <w:tcPr>
            <w:tcW w:w="1020" w:type="dxa"/>
            <w:vAlign w:val="bottom"/>
            <w:tcBorders>
              <w:bottom w:val="single" w:sz="8" w:color="D8D7D7"/>
            </w:tcBorders>
            <w:vMerge w:val="continue"/>
          </w:tcPr>
          <w:p>
            <w:pPr>
              <w:spacing w:after="0"/>
              <w:rPr>
                <w:sz w:val="9"/>
                <w:szCs w:val="9"/>
                <w:color w:val="auto"/>
              </w:rPr>
            </w:pPr>
          </w:p>
        </w:tc>
        <w:tc>
          <w:tcPr>
            <w:tcW w:w="1100" w:type="dxa"/>
            <w:vAlign w:val="bottom"/>
            <w:tcBorders>
              <w:bottom w:val="single" w:sz="8" w:color="D8D7D7"/>
            </w:tcBorders>
            <w:vMerge w:val="continue"/>
          </w:tcPr>
          <w:p>
            <w:pPr>
              <w:spacing w:after="0"/>
              <w:rPr>
                <w:sz w:val="9"/>
                <w:szCs w:val="9"/>
                <w:color w:val="auto"/>
              </w:rPr>
            </w:pPr>
          </w:p>
        </w:tc>
        <w:tc>
          <w:tcPr>
            <w:tcW w:w="800" w:type="dxa"/>
            <w:vAlign w:val="bottom"/>
            <w:tcBorders>
              <w:bottom w:val="single" w:sz="8" w:color="D8D7D7"/>
            </w:tcBorders>
            <w:vMerge w:val="continue"/>
          </w:tcPr>
          <w:p>
            <w:pPr>
              <w:spacing w:after="0"/>
              <w:rPr>
                <w:sz w:val="9"/>
                <w:szCs w:val="9"/>
                <w:color w:val="auto"/>
              </w:rPr>
            </w:pPr>
          </w:p>
        </w:tc>
        <w:tc>
          <w:tcPr>
            <w:tcW w:w="20" w:type="dxa"/>
            <w:vAlign w:val="bottom"/>
            <w:tcBorders>
              <w:bottom w:val="single" w:sz="8" w:color="D8D7D7"/>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60"/>
              <w:spacing w:after="0"/>
              <w:rPr>
                <w:sz w:val="20"/>
                <w:szCs w:val="20"/>
                <w:color w:val="auto"/>
              </w:rPr>
            </w:pPr>
            <w:r>
              <w:rPr>
                <w:rFonts w:ascii="Arial" w:cs="Arial" w:eastAsia="Arial" w:hAnsi="Arial"/>
                <w:sz w:val="13"/>
                <w:szCs w:val="13"/>
                <w:b w:val="1"/>
                <w:bCs w:val="1"/>
                <w:color w:val="0956FF"/>
              </w:rPr>
              <w:t>Paul A. Jacobson</w:t>
            </w:r>
          </w:p>
        </w:tc>
        <w:tc>
          <w:tcPr>
            <w:tcW w:w="460" w:type="dxa"/>
            <w:vAlign w:val="bottom"/>
            <w:tcBorders>
              <w:bottom w:val="single" w:sz="8" w:color="D8D7D7"/>
            </w:tcBorders>
          </w:tcPr>
          <w:p>
            <w:pPr>
              <w:jc w:val="right"/>
              <w:ind w:right="33"/>
              <w:spacing w:after="0"/>
              <w:rPr>
                <w:sz w:val="20"/>
                <w:szCs w:val="20"/>
                <w:color w:val="auto"/>
              </w:rPr>
            </w:pPr>
            <w:r>
              <w:rPr>
                <w:rFonts w:ascii="Arial" w:cs="Arial" w:eastAsia="Arial" w:hAnsi="Arial"/>
                <w:sz w:val="13"/>
                <w:szCs w:val="13"/>
                <w:color w:val="auto"/>
              </w:rPr>
              <w:t>2025</w:t>
            </w:r>
          </w:p>
        </w:tc>
        <w:tc>
          <w:tcPr>
            <w:tcW w:w="800" w:type="dxa"/>
            <w:vAlign w:val="bottom"/>
            <w:tcBorders>
              <w:bottom w:val="single" w:sz="8" w:color="D8D7D7"/>
            </w:tcBorders>
          </w:tcPr>
          <w:p>
            <w:pPr>
              <w:jc w:val="right"/>
              <w:ind w:right="53"/>
              <w:spacing w:after="0"/>
              <w:rPr>
                <w:sz w:val="20"/>
                <w:szCs w:val="20"/>
                <w:color w:val="auto"/>
              </w:rPr>
            </w:pPr>
            <w:r>
              <w:rPr>
                <w:rFonts w:ascii="Arial" w:cs="Arial" w:eastAsia="Arial" w:hAnsi="Arial"/>
                <w:sz w:val="13"/>
                <w:szCs w:val="13"/>
                <w:color w:val="auto"/>
              </w:rPr>
              <w:t>1,200,000</w:t>
            </w:r>
          </w:p>
        </w:tc>
        <w:tc>
          <w:tcPr>
            <w:tcW w:w="84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10,606,107</w:t>
            </w:r>
          </w:p>
        </w:tc>
        <w:tc>
          <w:tcPr>
            <w:tcW w:w="760" w:type="dxa"/>
            <w:vAlign w:val="bottom"/>
            <w:tcBorders>
              <w:bottom w:val="single" w:sz="8" w:color="D8D7D7"/>
            </w:tcBorders>
          </w:tcPr>
          <w:p>
            <w:pPr>
              <w:ind w:left="620"/>
              <w:spacing w:after="0"/>
              <w:rPr>
                <w:sz w:val="20"/>
                <w:szCs w:val="20"/>
                <w:color w:val="auto"/>
              </w:rPr>
            </w:pPr>
            <w:r>
              <w:rPr>
                <w:rFonts w:ascii="Arial" w:cs="Arial" w:eastAsia="Arial" w:hAnsi="Arial"/>
                <w:sz w:val="13"/>
                <w:szCs w:val="13"/>
                <w:color w:val="auto"/>
                <w:w w:val="91"/>
              </w:rPr>
              <w:t>—</w:t>
            </w:r>
          </w:p>
        </w:tc>
        <w:tc>
          <w:tcPr>
            <w:tcW w:w="380" w:type="dxa"/>
            <w:vAlign w:val="bottom"/>
            <w:tcBorders>
              <w:bottom w:val="single" w:sz="8" w:color="D8D7D7"/>
            </w:tcBorders>
          </w:tcPr>
          <w:p>
            <w:pPr>
              <w:spacing w:after="0"/>
              <w:rPr>
                <w:sz w:val="18"/>
                <w:szCs w:val="18"/>
                <w:color w:val="auto"/>
              </w:rPr>
            </w:pPr>
          </w:p>
        </w:tc>
        <w:tc>
          <w:tcPr>
            <w:tcW w:w="820" w:type="dxa"/>
            <w:vAlign w:val="bottom"/>
            <w:tcBorders>
              <w:bottom w:val="single" w:sz="8" w:color="D8D7D7"/>
            </w:tcBorders>
          </w:tcPr>
          <w:p>
            <w:pPr>
              <w:jc w:val="right"/>
              <w:ind w:right="34"/>
              <w:spacing w:after="0"/>
              <w:rPr>
                <w:sz w:val="20"/>
                <w:szCs w:val="20"/>
                <w:color w:val="auto"/>
              </w:rPr>
            </w:pPr>
            <w:r>
              <w:rPr>
                <w:rFonts w:ascii="Arial" w:cs="Arial" w:eastAsia="Arial" w:hAnsi="Arial"/>
                <w:sz w:val="13"/>
                <w:szCs w:val="13"/>
                <w:color w:val="auto"/>
              </w:rPr>
              <w:t>1,770,000</w:t>
            </w:r>
          </w:p>
        </w:tc>
        <w:tc>
          <w:tcPr>
            <w:tcW w:w="10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D8D7D7"/>
            </w:tcBorders>
          </w:tcPr>
          <w:p>
            <w:pPr>
              <w:jc w:val="right"/>
              <w:ind w:right="34"/>
              <w:spacing w:after="0"/>
              <w:rPr>
                <w:sz w:val="20"/>
                <w:szCs w:val="20"/>
                <w:color w:val="auto"/>
              </w:rPr>
            </w:pPr>
            <w:r>
              <w:rPr>
                <w:rFonts w:ascii="Arial" w:cs="Arial" w:eastAsia="Arial" w:hAnsi="Arial"/>
                <w:sz w:val="13"/>
                <w:szCs w:val="13"/>
                <w:color w:val="auto"/>
              </w:rPr>
              <w:t>263,870</w:t>
            </w:r>
          </w:p>
        </w:tc>
        <w:tc>
          <w:tcPr>
            <w:tcW w:w="80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13,839,977</w:t>
            </w:r>
          </w:p>
        </w:tc>
        <w:tc>
          <w:tcPr>
            <w:tcW w:w="20" w:type="dxa"/>
            <w:vAlign w:val="bottom"/>
            <w:tcBorders>
              <w:bottom w:val="single" w:sz="8" w:color="D8D7D7"/>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60"/>
              <w:spacing w:after="0"/>
              <w:rPr>
                <w:sz w:val="20"/>
                <w:szCs w:val="20"/>
                <w:color w:val="auto"/>
              </w:rPr>
            </w:pPr>
            <w:r>
              <w:rPr>
                <w:rFonts w:ascii="Arial" w:cs="Arial" w:eastAsia="Arial" w:hAnsi="Arial"/>
                <w:sz w:val="13"/>
                <w:szCs w:val="13"/>
                <w:color w:val="auto"/>
              </w:rPr>
              <w:t>Executive Vice</w:t>
            </w:r>
          </w:p>
        </w:tc>
        <w:tc>
          <w:tcPr>
            <w:tcW w:w="460" w:type="dxa"/>
            <w:vAlign w:val="bottom"/>
            <w:vMerge w:val="restart"/>
          </w:tcPr>
          <w:p>
            <w:pPr>
              <w:jc w:val="right"/>
              <w:ind w:right="33"/>
              <w:spacing w:after="0"/>
              <w:rPr>
                <w:sz w:val="20"/>
                <w:szCs w:val="20"/>
                <w:color w:val="auto"/>
              </w:rPr>
            </w:pPr>
            <w:r>
              <w:rPr>
                <w:rFonts w:ascii="Arial" w:cs="Arial" w:eastAsia="Arial" w:hAnsi="Arial"/>
                <w:sz w:val="13"/>
                <w:szCs w:val="13"/>
                <w:color w:val="auto"/>
              </w:rPr>
              <w:t>2024</w:t>
            </w:r>
          </w:p>
        </w:tc>
        <w:tc>
          <w:tcPr>
            <w:tcW w:w="800" w:type="dxa"/>
            <w:vAlign w:val="bottom"/>
            <w:vMerge w:val="restart"/>
          </w:tcPr>
          <w:p>
            <w:pPr>
              <w:jc w:val="right"/>
              <w:ind w:right="53"/>
              <w:spacing w:after="0"/>
              <w:rPr>
                <w:sz w:val="20"/>
                <w:szCs w:val="20"/>
                <w:color w:val="auto"/>
              </w:rPr>
            </w:pPr>
            <w:r>
              <w:rPr>
                <w:rFonts w:ascii="Arial" w:cs="Arial" w:eastAsia="Arial" w:hAnsi="Arial"/>
                <w:sz w:val="13"/>
                <w:szCs w:val="13"/>
                <w:color w:val="auto"/>
              </w:rPr>
              <w:t>1,200,000</w:t>
            </w:r>
          </w:p>
        </w:tc>
        <w:tc>
          <w:tcPr>
            <w:tcW w:w="840" w:type="dxa"/>
            <w:vAlign w:val="bottom"/>
            <w:vMerge w:val="restart"/>
          </w:tcPr>
          <w:p>
            <w:pPr>
              <w:ind w:left="120"/>
              <w:spacing w:after="0"/>
              <w:rPr>
                <w:sz w:val="20"/>
                <w:szCs w:val="20"/>
                <w:color w:val="auto"/>
              </w:rPr>
            </w:pPr>
            <w:r>
              <w:rPr>
                <w:rFonts w:ascii="Arial" w:cs="Arial" w:eastAsia="Arial" w:hAnsi="Arial"/>
                <w:sz w:val="13"/>
                <w:szCs w:val="13"/>
                <w:color w:val="auto"/>
              </w:rPr>
              <w:t>9,300,002</w:t>
            </w:r>
          </w:p>
        </w:tc>
        <w:tc>
          <w:tcPr>
            <w:tcW w:w="760" w:type="dxa"/>
            <w:vAlign w:val="bottom"/>
            <w:vMerge w:val="restart"/>
          </w:tcPr>
          <w:p>
            <w:pPr>
              <w:ind w:left="62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2"/>
                <w:szCs w:val="12"/>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13"/>
                <w:szCs w:val="13"/>
                <w:color w:val="auto"/>
              </w:rPr>
              <w:t>2,381,400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54"/>
              <w:spacing w:after="0"/>
              <w:rPr>
                <w:sz w:val="20"/>
                <w:szCs w:val="20"/>
                <w:color w:val="auto"/>
              </w:rPr>
            </w:pPr>
            <w:r>
              <w:rPr>
                <w:rFonts w:ascii="Arial" w:cs="Arial" w:eastAsia="Arial" w:hAnsi="Arial"/>
                <w:sz w:val="13"/>
                <w:szCs w:val="13"/>
                <w:color w:val="auto"/>
              </w:rPr>
              <w:t>232,005</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13,113,407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80" w:type="dxa"/>
            <w:vAlign w:val="bottom"/>
            <w:gridSpan w:val="2"/>
            <w:vMerge w:val="restart"/>
          </w:tcPr>
          <w:p>
            <w:pPr>
              <w:ind w:left="60"/>
              <w:spacing w:after="0"/>
              <w:rPr>
                <w:sz w:val="20"/>
                <w:szCs w:val="20"/>
                <w:color w:val="auto"/>
              </w:rPr>
            </w:pPr>
            <w:r>
              <w:rPr>
                <w:rFonts w:ascii="Arial" w:cs="Arial" w:eastAsia="Arial" w:hAnsi="Arial"/>
                <w:sz w:val="13"/>
                <w:szCs w:val="13"/>
                <w:color w:val="auto"/>
              </w:rPr>
              <w:t>President and Chief</w:t>
            </w:r>
          </w:p>
        </w:tc>
        <w:tc>
          <w:tcPr>
            <w:tcW w:w="460" w:type="dxa"/>
            <w:vAlign w:val="bottom"/>
            <w:tcBorders>
              <w:bottom w:val="single" w:sz="8" w:color="D8D7D7"/>
            </w:tcBorders>
            <w:vMerge w:val="continue"/>
          </w:tcPr>
          <w:p>
            <w:pPr>
              <w:spacing w:after="0"/>
              <w:rPr>
                <w:sz w:val="5"/>
                <w:szCs w:val="5"/>
                <w:color w:val="auto"/>
              </w:rPr>
            </w:pPr>
          </w:p>
        </w:tc>
        <w:tc>
          <w:tcPr>
            <w:tcW w:w="800" w:type="dxa"/>
            <w:vAlign w:val="bottom"/>
            <w:tcBorders>
              <w:bottom w:val="single" w:sz="8" w:color="D8D7D7"/>
            </w:tcBorders>
            <w:vMerge w:val="continue"/>
          </w:tcPr>
          <w:p>
            <w:pPr>
              <w:spacing w:after="0"/>
              <w:rPr>
                <w:sz w:val="5"/>
                <w:szCs w:val="5"/>
                <w:color w:val="auto"/>
              </w:rPr>
            </w:pPr>
          </w:p>
        </w:tc>
        <w:tc>
          <w:tcPr>
            <w:tcW w:w="840" w:type="dxa"/>
            <w:vAlign w:val="bottom"/>
            <w:tcBorders>
              <w:bottom w:val="single" w:sz="8" w:color="D8D7D7"/>
            </w:tcBorders>
            <w:vMerge w:val="continue"/>
          </w:tcPr>
          <w:p>
            <w:pPr>
              <w:spacing w:after="0"/>
              <w:rPr>
                <w:sz w:val="5"/>
                <w:szCs w:val="5"/>
                <w:color w:val="auto"/>
              </w:rPr>
            </w:pPr>
          </w:p>
        </w:tc>
        <w:tc>
          <w:tcPr>
            <w:tcW w:w="760" w:type="dxa"/>
            <w:vAlign w:val="bottom"/>
            <w:tcBorders>
              <w:bottom w:val="single" w:sz="8" w:color="D8D7D7"/>
            </w:tcBorders>
            <w:vMerge w:val="continue"/>
          </w:tcPr>
          <w:p>
            <w:pPr>
              <w:spacing w:after="0"/>
              <w:rPr>
                <w:sz w:val="5"/>
                <w:szCs w:val="5"/>
                <w:color w:val="auto"/>
              </w:rPr>
            </w:pPr>
          </w:p>
        </w:tc>
        <w:tc>
          <w:tcPr>
            <w:tcW w:w="380" w:type="dxa"/>
            <w:vAlign w:val="bottom"/>
            <w:tcBorders>
              <w:bottom w:val="single" w:sz="8" w:color="D8D7D7"/>
            </w:tcBorders>
          </w:tcPr>
          <w:p>
            <w:pPr>
              <w:spacing w:after="0"/>
              <w:rPr>
                <w:sz w:val="5"/>
                <w:szCs w:val="5"/>
                <w:color w:val="auto"/>
              </w:rPr>
            </w:pPr>
          </w:p>
        </w:tc>
        <w:tc>
          <w:tcPr>
            <w:tcW w:w="820" w:type="dxa"/>
            <w:vAlign w:val="bottom"/>
            <w:tcBorders>
              <w:bottom w:val="single" w:sz="8" w:color="D8D7D7"/>
            </w:tcBorders>
            <w:vMerge w:val="continue"/>
          </w:tcPr>
          <w:p>
            <w:pPr>
              <w:spacing w:after="0"/>
              <w:rPr>
                <w:sz w:val="5"/>
                <w:szCs w:val="5"/>
                <w:color w:val="auto"/>
              </w:rPr>
            </w:pPr>
          </w:p>
        </w:tc>
        <w:tc>
          <w:tcPr>
            <w:tcW w:w="1020" w:type="dxa"/>
            <w:vAlign w:val="bottom"/>
            <w:tcBorders>
              <w:bottom w:val="single" w:sz="8" w:color="D8D7D7"/>
            </w:tcBorders>
            <w:vMerge w:val="continue"/>
          </w:tcPr>
          <w:p>
            <w:pPr>
              <w:spacing w:after="0"/>
              <w:rPr>
                <w:sz w:val="5"/>
                <w:szCs w:val="5"/>
                <w:color w:val="auto"/>
              </w:rPr>
            </w:pPr>
          </w:p>
        </w:tc>
        <w:tc>
          <w:tcPr>
            <w:tcW w:w="1100" w:type="dxa"/>
            <w:vAlign w:val="bottom"/>
            <w:tcBorders>
              <w:bottom w:val="single" w:sz="8" w:color="D8D7D7"/>
            </w:tcBorders>
            <w:vMerge w:val="continue"/>
          </w:tcPr>
          <w:p>
            <w:pPr>
              <w:spacing w:after="0"/>
              <w:rPr>
                <w:sz w:val="5"/>
                <w:szCs w:val="5"/>
                <w:color w:val="auto"/>
              </w:rPr>
            </w:pPr>
          </w:p>
        </w:tc>
        <w:tc>
          <w:tcPr>
            <w:tcW w:w="800" w:type="dxa"/>
            <w:vAlign w:val="bottom"/>
            <w:tcBorders>
              <w:bottom w:val="single" w:sz="8" w:color="D8D7D7"/>
            </w:tcBorders>
            <w:vMerge w:val="continue"/>
          </w:tcPr>
          <w:p>
            <w:pPr>
              <w:spacing w:after="0"/>
              <w:rPr>
                <w:sz w:val="5"/>
                <w:szCs w:val="5"/>
                <w:color w:val="auto"/>
              </w:rPr>
            </w:pPr>
          </w:p>
        </w:tc>
        <w:tc>
          <w:tcPr>
            <w:tcW w:w="20" w:type="dxa"/>
            <w:vAlign w:val="bottom"/>
            <w:tcBorders>
              <w:bottom w:val="single" w:sz="8" w:color="D8D7D7"/>
            </w:tcBorders>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80" w:type="dxa"/>
            <w:vAlign w:val="bottom"/>
            <w:gridSpan w:val="2"/>
            <w:vMerge w:val="continue"/>
          </w:tcPr>
          <w:p>
            <w:pPr>
              <w:spacing w:after="0"/>
              <w:rPr>
                <w:sz w:val="8"/>
                <w:szCs w:val="8"/>
                <w:color w:val="auto"/>
              </w:rPr>
            </w:pPr>
          </w:p>
        </w:tc>
        <w:tc>
          <w:tcPr>
            <w:tcW w:w="460" w:type="dxa"/>
            <w:vAlign w:val="bottom"/>
            <w:vMerge w:val="restart"/>
          </w:tcPr>
          <w:p>
            <w:pPr>
              <w:jc w:val="right"/>
              <w:ind w:right="33"/>
              <w:spacing w:after="0"/>
              <w:rPr>
                <w:sz w:val="20"/>
                <w:szCs w:val="20"/>
                <w:color w:val="auto"/>
              </w:rPr>
            </w:pPr>
            <w:r>
              <w:rPr>
                <w:rFonts w:ascii="Arial" w:cs="Arial" w:eastAsia="Arial" w:hAnsi="Arial"/>
                <w:sz w:val="13"/>
                <w:szCs w:val="13"/>
                <w:color w:val="auto"/>
              </w:rPr>
              <w:t>2023</w:t>
            </w:r>
          </w:p>
        </w:tc>
        <w:tc>
          <w:tcPr>
            <w:tcW w:w="800" w:type="dxa"/>
            <w:vAlign w:val="bottom"/>
            <w:vMerge w:val="restart"/>
          </w:tcPr>
          <w:p>
            <w:pPr>
              <w:jc w:val="right"/>
              <w:ind w:right="53"/>
              <w:spacing w:after="0"/>
              <w:rPr>
                <w:sz w:val="20"/>
                <w:szCs w:val="20"/>
                <w:color w:val="auto"/>
              </w:rPr>
            </w:pPr>
            <w:r>
              <w:rPr>
                <w:rFonts w:ascii="Arial" w:cs="Arial" w:eastAsia="Arial" w:hAnsi="Arial"/>
                <w:sz w:val="13"/>
                <w:szCs w:val="13"/>
                <w:color w:val="auto"/>
              </w:rPr>
              <w:t>1,000,000</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6,187,500</w:t>
            </w:r>
          </w:p>
        </w:tc>
        <w:tc>
          <w:tcPr>
            <w:tcW w:w="760" w:type="dxa"/>
            <w:vAlign w:val="bottom"/>
            <w:vMerge w:val="restart"/>
          </w:tcPr>
          <w:p>
            <w:pPr>
              <w:ind w:left="40"/>
              <w:spacing w:after="0"/>
              <w:rPr>
                <w:sz w:val="20"/>
                <w:szCs w:val="20"/>
                <w:color w:val="auto"/>
              </w:rPr>
            </w:pPr>
            <w:r>
              <w:rPr>
                <w:rFonts w:ascii="Arial" w:cs="Arial" w:eastAsia="Arial" w:hAnsi="Arial"/>
                <w:sz w:val="13"/>
                <w:szCs w:val="13"/>
                <w:color w:val="auto"/>
              </w:rPr>
              <w:t>2,062,503</w:t>
            </w:r>
          </w:p>
        </w:tc>
        <w:tc>
          <w:tcPr>
            <w:tcW w:w="380" w:type="dxa"/>
            <w:vAlign w:val="bottom"/>
          </w:tcPr>
          <w:p>
            <w:pPr>
              <w:spacing w:after="0"/>
              <w:rPr>
                <w:sz w:val="8"/>
                <w:szCs w:val="8"/>
                <w:color w:val="auto"/>
              </w:rPr>
            </w:pPr>
          </w:p>
        </w:tc>
        <w:tc>
          <w:tcPr>
            <w:tcW w:w="820" w:type="dxa"/>
            <w:vAlign w:val="bottom"/>
            <w:vMerge w:val="restart"/>
          </w:tcPr>
          <w:p>
            <w:pPr>
              <w:jc w:val="right"/>
              <w:ind w:right="34"/>
              <w:spacing w:after="0"/>
              <w:rPr>
                <w:sz w:val="20"/>
                <w:szCs w:val="20"/>
                <w:color w:val="auto"/>
              </w:rPr>
            </w:pPr>
            <w:r>
              <w:rPr>
                <w:rFonts w:ascii="Arial" w:cs="Arial" w:eastAsia="Arial" w:hAnsi="Arial"/>
                <w:sz w:val="13"/>
                <w:szCs w:val="13"/>
                <w:color w:val="auto"/>
              </w:rPr>
              <w:t>1,687,500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186,421</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11,123,924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80" w:type="dxa"/>
            <w:vAlign w:val="bottom"/>
            <w:gridSpan w:val="2"/>
            <w:vMerge w:val="restart"/>
          </w:tcPr>
          <w:p>
            <w:pPr>
              <w:ind w:left="60"/>
              <w:spacing w:after="0"/>
              <w:rPr>
                <w:sz w:val="20"/>
                <w:szCs w:val="20"/>
                <w:color w:val="auto"/>
              </w:rPr>
            </w:pPr>
            <w:r>
              <w:rPr>
                <w:rFonts w:ascii="Arial" w:cs="Arial" w:eastAsia="Arial" w:hAnsi="Arial"/>
                <w:sz w:val="13"/>
                <w:szCs w:val="13"/>
                <w:color w:val="auto"/>
              </w:rPr>
              <w:t>Financial Officer</w:t>
            </w:r>
          </w:p>
        </w:tc>
        <w:tc>
          <w:tcPr>
            <w:tcW w:w="4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80" w:type="dxa"/>
            <w:vAlign w:val="bottom"/>
            <w:tcBorders>
              <w:bottom w:val="single" w:sz="8" w:color="D8D7D7"/>
            </w:tcBorders>
            <w:gridSpan w:val="2"/>
            <w:vMerge w:val="continue"/>
          </w:tcPr>
          <w:p>
            <w:pPr>
              <w:spacing w:after="0"/>
              <w:rPr>
                <w:sz w:val="7"/>
                <w:szCs w:val="7"/>
                <w:color w:val="auto"/>
              </w:rPr>
            </w:pPr>
          </w:p>
        </w:tc>
        <w:tc>
          <w:tcPr>
            <w:tcW w:w="460" w:type="dxa"/>
            <w:vAlign w:val="bottom"/>
            <w:tcBorders>
              <w:bottom w:val="single" w:sz="8" w:color="D8D7D7"/>
            </w:tcBorders>
          </w:tcPr>
          <w:p>
            <w:pPr>
              <w:spacing w:after="0"/>
              <w:rPr>
                <w:sz w:val="7"/>
                <w:szCs w:val="7"/>
                <w:color w:val="auto"/>
              </w:rPr>
            </w:pPr>
          </w:p>
        </w:tc>
        <w:tc>
          <w:tcPr>
            <w:tcW w:w="800" w:type="dxa"/>
            <w:vAlign w:val="bottom"/>
            <w:tcBorders>
              <w:bottom w:val="single" w:sz="8" w:color="D8D7D7"/>
            </w:tcBorders>
          </w:tcPr>
          <w:p>
            <w:pPr>
              <w:spacing w:after="0"/>
              <w:rPr>
                <w:sz w:val="7"/>
                <w:szCs w:val="7"/>
                <w:color w:val="auto"/>
              </w:rPr>
            </w:pPr>
          </w:p>
        </w:tc>
        <w:tc>
          <w:tcPr>
            <w:tcW w:w="840" w:type="dxa"/>
            <w:vAlign w:val="bottom"/>
            <w:tcBorders>
              <w:bottom w:val="single" w:sz="8" w:color="D8D7D7"/>
            </w:tcBorders>
          </w:tcPr>
          <w:p>
            <w:pPr>
              <w:spacing w:after="0"/>
              <w:rPr>
                <w:sz w:val="7"/>
                <w:szCs w:val="7"/>
                <w:color w:val="auto"/>
              </w:rPr>
            </w:pPr>
          </w:p>
        </w:tc>
        <w:tc>
          <w:tcPr>
            <w:tcW w:w="760" w:type="dxa"/>
            <w:vAlign w:val="bottom"/>
            <w:tcBorders>
              <w:bottom w:val="single" w:sz="8" w:color="D8D7D7"/>
            </w:tcBorders>
          </w:tcPr>
          <w:p>
            <w:pPr>
              <w:spacing w:after="0"/>
              <w:rPr>
                <w:sz w:val="7"/>
                <w:szCs w:val="7"/>
                <w:color w:val="auto"/>
              </w:rPr>
            </w:pPr>
          </w:p>
        </w:tc>
        <w:tc>
          <w:tcPr>
            <w:tcW w:w="380" w:type="dxa"/>
            <w:vAlign w:val="bottom"/>
            <w:tcBorders>
              <w:bottom w:val="single" w:sz="8" w:color="D8D7D7"/>
            </w:tcBorders>
          </w:tcPr>
          <w:p>
            <w:pPr>
              <w:spacing w:after="0"/>
              <w:rPr>
                <w:sz w:val="7"/>
                <w:szCs w:val="7"/>
                <w:color w:val="auto"/>
              </w:rPr>
            </w:pPr>
          </w:p>
        </w:tc>
        <w:tc>
          <w:tcPr>
            <w:tcW w:w="820" w:type="dxa"/>
            <w:vAlign w:val="bottom"/>
            <w:tcBorders>
              <w:bottom w:val="single" w:sz="8" w:color="D8D7D7"/>
            </w:tcBorders>
          </w:tcPr>
          <w:p>
            <w:pPr>
              <w:spacing w:after="0"/>
              <w:rPr>
                <w:sz w:val="7"/>
                <w:szCs w:val="7"/>
                <w:color w:val="auto"/>
              </w:rPr>
            </w:pPr>
          </w:p>
        </w:tc>
        <w:tc>
          <w:tcPr>
            <w:tcW w:w="1020" w:type="dxa"/>
            <w:vAlign w:val="bottom"/>
            <w:tcBorders>
              <w:bottom w:val="single" w:sz="8" w:color="D8D7D7"/>
            </w:tcBorders>
          </w:tcPr>
          <w:p>
            <w:pPr>
              <w:spacing w:after="0"/>
              <w:rPr>
                <w:sz w:val="7"/>
                <w:szCs w:val="7"/>
                <w:color w:val="auto"/>
              </w:rPr>
            </w:pPr>
          </w:p>
        </w:tc>
        <w:tc>
          <w:tcPr>
            <w:tcW w:w="1100" w:type="dxa"/>
            <w:vAlign w:val="bottom"/>
            <w:tcBorders>
              <w:bottom w:val="single" w:sz="8" w:color="D8D7D7"/>
            </w:tcBorders>
          </w:tcPr>
          <w:p>
            <w:pPr>
              <w:spacing w:after="0"/>
              <w:rPr>
                <w:sz w:val="7"/>
                <w:szCs w:val="7"/>
                <w:color w:val="auto"/>
              </w:rPr>
            </w:pPr>
          </w:p>
        </w:tc>
        <w:tc>
          <w:tcPr>
            <w:tcW w:w="800" w:type="dxa"/>
            <w:vAlign w:val="bottom"/>
            <w:tcBorders>
              <w:bottom w:val="single" w:sz="8" w:color="D8D7D7"/>
            </w:tcBorders>
          </w:tcPr>
          <w:p>
            <w:pPr>
              <w:spacing w:after="0"/>
              <w:rPr>
                <w:sz w:val="7"/>
                <w:szCs w:val="7"/>
                <w:color w:val="auto"/>
              </w:rPr>
            </w:pPr>
          </w:p>
        </w:tc>
        <w:tc>
          <w:tcPr>
            <w:tcW w:w="20" w:type="dxa"/>
            <w:vAlign w:val="bottom"/>
            <w:tcBorders>
              <w:bottom w:val="single" w:sz="8" w:color="D8D7D7"/>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60"/>
              <w:spacing w:after="0"/>
              <w:rPr>
                <w:sz w:val="20"/>
                <w:szCs w:val="20"/>
                <w:color w:val="auto"/>
              </w:rPr>
            </w:pPr>
            <w:r>
              <w:rPr>
                <w:rFonts w:ascii="Arial" w:cs="Arial" w:eastAsia="Arial" w:hAnsi="Arial"/>
                <w:sz w:val="13"/>
                <w:szCs w:val="13"/>
                <w:b w:val="1"/>
                <w:bCs w:val="1"/>
                <w:color w:val="0956FF"/>
              </w:rPr>
              <w:t>Mark L. Reuss</w:t>
            </w:r>
          </w:p>
        </w:tc>
        <w:tc>
          <w:tcPr>
            <w:tcW w:w="460" w:type="dxa"/>
            <w:vAlign w:val="bottom"/>
            <w:tcBorders>
              <w:bottom w:val="single" w:sz="8" w:color="D8D7D7"/>
            </w:tcBorders>
          </w:tcPr>
          <w:p>
            <w:pPr>
              <w:jc w:val="right"/>
              <w:ind w:right="33"/>
              <w:spacing w:after="0"/>
              <w:rPr>
                <w:sz w:val="20"/>
                <w:szCs w:val="20"/>
                <w:color w:val="auto"/>
              </w:rPr>
            </w:pPr>
            <w:r>
              <w:rPr>
                <w:rFonts w:ascii="Arial" w:cs="Arial" w:eastAsia="Arial" w:hAnsi="Arial"/>
                <w:sz w:val="13"/>
                <w:szCs w:val="13"/>
                <w:color w:val="auto"/>
              </w:rPr>
              <w:t>2025</w:t>
            </w:r>
          </w:p>
        </w:tc>
        <w:tc>
          <w:tcPr>
            <w:tcW w:w="800" w:type="dxa"/>
            <w:vAlign w:val="bottom"/>
            <w:tcBorders>
              <w:bottom w:val="single" w:sz="8" w:color="D8D7D7"/>
            </w:tcBorders>
          </w:tcPr>
          <w:p>
            <w:pPr>
              <w:jc w:val="right"/>
              <w:ind w:right="53"/>
              <w:spacing w:after="0"/>
              <w:rPr>
                <w:sz w:val="20"/>
                <w:szCs w:val="20"/>
                <w:color w:val="auto"/>
              </w:rPr>
            </w:pPr>
            <w:r>
              <w:rPr>
                <w:rFonts w:ascii="Arial" w:cs="Arial" w:eastAsia="Arial" w:hAnsi="Arial"/>
                <w:sz w:val="13"/>
                <w:szCs w:val="13"/>
                <w:color w:val="auto"/>
              </w:rPr>
              <w:t>1,350,000</w:t>
            </w:r>
          </w:p>
        </w:tc>
        <w:tc>
          <w:tcPr>
            <w:tcW w:w="84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14,892,221</w:t>
            </w:r>
          </w:p>
        </w:tc>
        <w:tc>
          <w:tcPr>
            <w:tcW w:w="760" w:type="dxa"/>
            <w:vAlign w:val="bottom"/>
            <w:tcBorders>
              <w:bottom w:val="single" w:sz="8" w:color="D8D7D7"/>
            </w:tcBorders>
          </w:tcPr>
          <w:p>
            <w:pPr>
              <w:ind w:left="620"/>
              <w:spacing w:after="0"/>
              <w:rPr>
                <w:sz w:val="20"/>
                <w:szCs w:val="20"/>
                <w:color w:val="auto"/>
              </w:rPr>
            </w:pPr>
            <w:r>
              <w:rPr>
                <w:rFonts w:ascii="Arial" w:cs="Arial" w:eastAsia="Arial" w:hAnsi="Arial"/>
                <w:sz w:val="13"/>
                <w:szCs w:val="13"/>
                <w:color w:val="auto"/>
                <w:w w:val="91"/>
              </w:rPr>
              <w:t>—</w:t>
            </w:r>
          </w:p>
        </w:tc>
        <w:tc>
          <w:tcPr>
            <w:tcW w:w="380" w:type="dxa"/>
            <w:vAlign w:val="bottom"/>
            <w:tcBorders>
              <w:bottom w:val="single" w:sz="8" w:color="D8D7D7"/>
            </w:tcBorders>
          </w:tcPr>
          <w:p>
            <w:pPr>
              <w:spacing w:after="0"/>
              <w:rPr>
                <w:sz w:val="18"/>
                <w:szCs w:val="18"/>
                <w:color w:val="auto"/>
              </w:rPr>
            </w:pPr>
          </w:p>
        </w:tc>
        <w:tc>
          <w:tcPr>
            <w:tcW w:w="820" w:type="dxa"/>
            <w:vAlign w:val="bottom"/>
            <w:tcBorders>
              <w:bottom w:val="single" w:sz="8" w:color="D8D7D7"/>
            </w:tcBorders>
          </w:tcPr>
          <w:p>
            <w:pPr>
              <w:jc w:val="right"/>
              <w:ind w:right="14"/>
              <w:spacing w:after="0"/>
              <w:rPr>
                <w:sz w:val="20"/>
                <w:szCs w:val="20"/>
                <w:color w:val="auto"/>
              </w:rPr>
            </w:pPr>
            <w:r>
              <w:rPr>
                <w:rFonts w:ascii="Arial" w:cs="Arial" w:eastAsia="Arial" w:hAnsi="Arial"/>
                <w:sz w:val="13"/>
                <w:szCs w:val="13"/>
                <w:color w:val="auto"/>
              </w:rPr>
              <w:t>1,991,300</w:t>
            </w:r>
          </w:p>
        </w:tc>
        <w:tc>
          <w:tcPr>
            <w:tcW w:w="10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D8D7D7"/>
            </w:tcBorders>
          </w:tcPr>
          <w:p>
            <w:pPr>
              <w:jc w:val="right"/>
              <w:ind w:right="14"/>
              <w:spacing w:after="0"/>
              <w:rPr>
                <w:sz w:val="20"/>
                <w:szCs w:val="20"/>
                <w:color w:val="auto"/>
              </w:rPr>
            </w:pPr>
            <w:r>
              <w:rPr>
                <w:rFonts w:ascii="Arial" w:cs="Arial" w:eastAsia="Arial" w:hAnsi="Arial"/>
                <w:sz w:val="13"/>
                <w:szCs w:val="13"/>
                <w:color w:val="auto"/>
              </w:rPr>
              <w:t>1,074,469</w:t>
            </w:r>
          </w:p>
        </w:tc>
        <w:tc>
          <w:tcPr>
            <w:tcW w:w="80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19,307,990</w:t>
            </w:r>
          </w:p>
        </w:tc>
        <w:tc>
          <w:tcPr>
            <w:tcW w:w="20" w:type="dxa"/>
            <w:vAlign w:val="bottom"/>
            <w:tcBorders>
              <w:bottom w:val="single" w:sz="8" w:color="D8D7D7"/>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80" w:type="dxa"/>
            <w:vAlign w:val="bottom"/>
            <w:gridSpan w:val="2"/>
          </w:tcPr>
          <w:p>
            <w:pPr>
              <w:ind w:left="60"/>
              <w:spacing w:after="0"/>
              <w:rPr>
                <w:sz w:val="20"/>
                <w:szCs w:val="20"/>
                <w:color w:val="auto"/>
              </w:rPr>
            </w:pPr>
            <w:r>
              <w:rPr>
                <w:rFonts w:ascii="Arial" w:cs="Arial" w:eastAsia="Arial" w:hAnsi="Arial"/>
                <w:sz w:val="13"/>
                <w:szCs w:val="13"/>
                <w:color w:val="auto"/>
              </w:rPr>
              <w:t>President</w:t>
            </w:r>
          </w:p>
        </w:tc>
        <w:tc>
          <w:tcPr>
            <w:tcW w:w="460" w:type="dxa"/>
            <w:vAlign w:val="bottom"/>
            <w:vMerge w:val="restart"/>
          </w:tcPr>
          <w:p>
            <w:pPr>
              <w:jc w:val="right"/>
              <w:ind w:right="33"/>
              <w:spacing w:after="0"/>
              <w:rPr>
                <w:sz w:val="20"/>
                <w:szCs w:val="20"/>
                <w:color w:val="auto"/>
              </w:rPr>
            </w:pPr>
            <w:r>
              <w:rPr>
                <w:rFonts w:ascii="Arial" w:cs="Arial" w:eastAsia="Arial" w:hAnsi="Arial"/>
                <w:sz w:val="13"/>
                <w:szCs w:val="13"/>
                <w:color w:val="auto"/>
              </w:rPr>
              <w:t>2024</w:t>
            </w:r>
          </w:p>
        </w:tc>
        <w:tc>
          <w:tcPr>
            <w:tcW w:w="800" w:type="dxa"/>
            <w:vAlign w:val="bottom"/>
            <w:vMerge w:val="restart"/>
          </w:tcPr>
          <w:p>
            <w:pPr>
              <w:jc w:val="right"/>
              <w:ind w:right="53"/>
              <w:spacing w:after="0"/>
              <w:rPr>
                <w:sz w:val="20"/>
                <w:szCs w:val="20"/>
                <w:color w:val="auto"/>
              </w:rPr>
            </w:pPr>
            <w:r>
              <w:rPr>
                <w:rFonts w:ascii="Arial" w:cs="Arial" w:eastAsia="Arial" w:hAnsi="Arial"/>
                <w:sz w:val="13"/>
                <w:szCs w:val="13"/>
                <w:color w:val="auto"/>
              </w:rPr>
              <w:t>1,350,000</w:t>
            </w:r>
          </w:p>
        </w:tc>
        <w:tc>
          <w:tcPr>
            <w:tcW w:w="840" w:type="dxa"/>
            <w:vAlign w:val="bottom"/>
            <w:vMerge w:val="restart"/>
          </w:tcPr>
          <w:p>
            <w:pPr>
              <w:jc w:val="right"/>
              <w:ind w:right="13"/>
              <w:spacing w:after="0"/>
              <w:rPr>
                <w:sz w:val="20"/>
                <w:szCs w:val="20"/>
                <w:color w:val="auto"/>
              </w:rPr>
            </w:pPr>
            <w:r>
              <w:rPr>
                <w:rFonts w:ascii="Arial" w:cs="Arial" w:eastAsia="Arial" w:hAnsi="Arial"/>
                <w:sz w:val="13"/>
                <w:szCs w:val="13"/>
                <w:color w:val="auto"/>
              </w:rPr>
              <w:t>13,962,535</w:t>
            </w:r>
          </w:p>
        </w:tc>
        <w:tc>
          <w:tcPr>
            <w:tcW w:w="760" w:type="dxa"/>
            <w:vAlign w:val="bottom"/>
            <w:vMerge w:val="restart"/>
          </w:tcPr>
          <w:p>
            <w:pPr>
              <w:ind w:left="62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3"/>
                <w:szCs w:val="13"/>
                <w:color w:val="auto"/>
              </w:rPr>
            </w:pPr>
          </w:p>
        </w:tc>
        <w:tc>
          <w:tcPr>
            <w:tcW w:w="820" w:type="dxa"/>
            <w:vAlign w:val="bottom"/>
            <w:vMerge w:val="restart"/>
          </w:tcPr>
          <w:p>
            <w:pPr>
              <w:jc w:val="right"/>
              <w:ind w:right="34"/>
              <w:spacing w:after="0"/>
              <w:rPr>
                <w:sz w:val="20"/>
                <w:szCs w:val="20"/>
                <w:color w:val="auto"/>
              </w:rPr>
            </w:pPr>
            <w:r>
              <w:rPr>
                <w:rFonts w:ascii="Arial" w:cs="Arial" w:eastAsia="Arial" w:hAnsi="Arial"/>
                <w:sz w:val="13"/>
                <w:szCs w:val="13"/>
                <w:color w:val="auto"/>
              </w:rPr>
              <w:t>2,679,100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34"/>
              <w:spacing w:after="0"/>
              <w:rPr>
                <w:sz w:val="20"/>
                <w:szCs w:val="20"/>
                <w:color w:val="auto"/>
              </w:rPr>
            </w:pPr>
            <w:r>
              <w:rPr>
                <w:rFonts w:ascii="Arial" w:cs="Arial" w:eastAsia="Arial" w:hAnsi="Arial"/>
                <w:sz w:val="13"/>
                <w:szCs w:val="13"/>
                <w:color w:val="auto"/>
              </w:rPr>
              <w:t>465,362</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18,456,997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60" w:type="dxa"/>
            <w:vAlign w:val="bottom"/>
            <w:tcBorders>
              <w:bottom w:val="single" w:sz="8" w:color="D8D7D7"/>
            </w:tcBorders>
            <w:vMerge w:val="continue"/>
          </w:tcPr>
          <w:p>
            <w:pPr>
              <w:spacing w:after="0"/>
              <w:rPr>
                <w:sz w:val="5"/>
                <w:szCs w:val="5"/>
                <w:color w:val="auto"/>
              </w:rPr>
            </w:pPr>
          </w:p>
        </w:tc>
        <w:tc>
          <w:tcPr>
            <w:tcW w:w="800" w:type="dxa"/>
            <w:vAlign w:val="bottom"/>
            <w:tcBorders>
              <w:bottom w:val="single" w:sz="8" w:color="D8D7D7"/>
            </w:tcBorders>
            <w:vMerge w:val="continue"/>
          </w:tcPr>
          <w:p>
            <w:pPr>
              <w:spacing w:after="0"/>
              <w:rPr>
                <w:sz w:val="5"/>
                <w:szCs w:val="5"/>
                <w:color w:val="auto"/>
              </w:rPr>
            </w:pPr>
          </w:p>
        </w:tc>
        <w:tc>
          <w:tcPr>
            <w:tcW w:w="840" w:type="dxa"/>
            <w:vAlign w:val="bottom"/>
            <w:tcBorders>
              <w:bottom w:val="single" w:sz="8" w:color="D8D7D7"/>
            </w:tcBorders>
            <w:vMerge w:val="continue"/>
          </w:tcPr>
          <w:p>
            <w:pPr>
              <w:spacing w:after="0"/>
              <w:rPr>
                <w:sz w:val="5"/>
                <w:szCs w:val="5"/>
                <w:color w:val="auto"/>
              </w:rPr>
            </w:pPr>
          </w:p>
        </w:tc>
        <w:tc>
          <w:tcPr>
            <w:tcW w:w="760" w:type="dxa"/>
            <w:vAlign w:val="bottom"/>
            <w:tcBorders>
              <w:bottom w:val="single" w:sz="8" w:color="D8D7D7"/>
            </w:tcBorders>
            <w:vMerge w:val="continue"/>
          </w:tcPr>
          <w:p>
            <w:pPr>
              <w:spacing w:after="0"/>
              <w:rPr>
                <w:sz w:val="5"/>
                <w:szCs w:val="5"/>
                <w:color w:val="auto"/>
              </w:rPr>
            </w:pPr>
          </w:p>
        </w:tc>
        <w:tc>
          <w:tcPr>
            <w:tcW w:w="380" w:type="dxa"/>
            <w:vAlign w:val="bottom"/>
            <w:tcBorders>
              <w:bottom w:val="single" w:sz="8" w:color="D8D7D7"/>
            </w:tcBorders>
          </w:tcPr>
          <w:p>
            <w:pPr>
              <w:spacing w:after="0"/>
              <w:rPr>
                <w:sz w:val="5"/>
                <w:szCs w:val="5"/>
                <w:color w:val="auto"/>
              </w:rPr>
            </w:pPr>
          </w:p>
        </w:tc>
        <w:tc>
          <w:tcPr>
            <w:tcW w:w="820" w:type="dxa"/>
            <w:vAlign w:val="bottom"/>
            <w:tcBorders>
              <w:bottom w:val="single" w:sz="8" w:color="D8D7D7"/>
            </w:tcBorders>
            <w:vMerge w:val="continue"/>
          </w:tcPr>
          <w:p>
            <w:pPr>
              <w:spacing w:after="0"/>
              <w:rPr>
                <w:sz w:val="5"/>
                <w:szCs w:val="5"/>
                <w:color w:val="auto"/>
              </w:rPr>
            </w:pPr>
          </w:p>
        </w:tc>
        <w:tc>
          <w:tcPr>
            <w:tcW w:w="1020" w:type="dxa"/>
            <w:vAlign w:val="bottom"/>
            <w:tcBorders>
              <w:bottom w:val="single" w:sz="8" w:color="D8D7D7"/>
            </w:tcBorders>
            <w:vMerge w:val="continue"/>
          </w:tcPr>
          <w:p>
            <w:pPr>
              <w:spacing w:after="0"/>
              <w:rPr>
                <w:sz w:val="5"/>
                <w:szCs w:val="5"/>
                <w:color w:val="auto"/>
              </w:rPr>
            </w:pPr>
          </w:p>
        </w:tc>
        <w:tc>
          <w:tcPr>
            <w:tcW w:w="1100" w:type="dxa"/>
            <w:vAlign w:val="bottom"/>
            <w:tcBorders>
              <w:bottom w:val="single" w:sz="8" w:color="D8D7D7"/>
            </w:tcBorders>
            <w:vMerge w:val="continue"/>
          </w:tcPr>
          <w:p>
            <w:pPr>
              <w:spacing w:after="0"/>
              <w:rPr>
                <w:sz w:val="5"/>
                <w:szCs w:val="5"/>
                <w:color w:val="auto"/>
              </w:rPr>
            </w:pPr>
          </w:p>
        </w:tc>
        <w:tc>
          <w:tcPr>
            <w:tcW w:w="800" w:type="dxa"/>
            <w:vAlign w:val="bottom"/>
            <w:tcBorders>
              <w:bottom w:val="single" w:sz="8" w:color="D8D7D7"/>
            </w:tcBorders>
            <w:vMerge w:val="continue"/>
          </w:tcPr>
          <w:p>
            <w:pPr>
              <w:spacing w:after="0"/>
              <w:rPr>
                <w:sz w:val="5"/>
                <w:szCs w:val="5"/>
                <w:color w:val="auto"/>
              </w:rPr>
            </w:pPr>
          </w:p>
        </w:tc>
        <w:tc>
          <w:tcPr>
            <w:tcW w:w="20" w:type="dxa"/>
            <w:vAlign w:val="bottom"/>
            <w:tcBorders>
              <w:bottom w:val="single" w:sz="8" w:color="D8D7D7"/>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D8D7D7"/>
            </w:tcBorders>
          </w:tcPr>
          <w:p>
            <w:pPr>
              <w:spacing w:after="0"/>
              <w:rPr>
                <w:sz w:val="18"/>
                <w:szCs w:val="18"/>
                <w:color w:val="auto"/>
              </w:rPr>
            </w:pPr>
          </w:p>
        </w:tc>
        <w:tc>
          <w:tcPr>
            <w:tcW w:w="1880" w:type="dxa"/>
            <w:vAlign w:val="bottom"/>
            <w:tcBorders>
              <w:bottom w:val="single" w:sz="8" w:color="D8D7D7"/>
            </w:tcBorders>
          </w:tcPr>
          <w:p>
            <w:pPr>
              <w:spacing w:after="0"/>
              <w:rPr>
                <w:sz w:val="18"/>
                <w:szCs w:val="18"/>
                <w:color w:val="auto"/>
              </w:rPr>
            </w:pPr>
          </w:p>
        </w:tc>
        <w:tc>
          <w:tcPr>
            <w:tcW w:w="460" w:type="dxa"/>
            <w:vAlign w:val="bottom"/>
            <w:tcBorders>
              <w:bottom w:val="single" w:sz="8" w:color="D8D7D7"/>
            </w:tcBorders>
          </w:tcPr>
          <w:p>
            <w:pPr>
              <w:jc w:val="right"/>
              <w:ind w:right="33"/>
              <w:spacing w:after="0"/>
              <w:rPr>
                <w:sz w:val="20"/>
                <w:szCs w:val="20"/>
                <w:color w:val="auto"/>
              </w:rPr>
            </w:pPr>
            <w:r>
              <w:rPr>
                <w:rFonts w:ascii="Arial" w:cs="Arial" w:eastAsia="Arial" w:hAnsi="Arial"/>
                <w:sz w:val="13"/>
                <w:szCs w:val="13"/>
                <w:color w:val="auto"/>
              </w:rPr>
              <w:t>2023</w:t>
            </w:r>
          </w:p>
        </w:tc>
        <w:tc>
          <w:tcPr>
            <w:tcW w:w="800" w:type="dxa"/>
            <w:vAlign w:val="bottom"/>
            <w:tcBorders>
              <w:bottom w:val="single" w:sz="8" w:color="D8D7D7"/>
            </w:tcBorders>
          </w:tcPr>
          <w:p>
            <w:pPr>
              <w:jc w:val="right"/>
              <w:ind w:right="53"/>
              <w:spacing w:after="0"/>
              <w:rPr>
                <w:sz w:val="20"/>
                <w:szCs w:val="20"/>
                <w:color w:val="auto"/>
              </w:rPr>
            </w:pPr>
            <w:r>
              <w:rPr>
                <w:rFonts w:ascii="Arial" w:cs="Arial" w:eastAsia="Arial" w:hAnsi="Arial"/>
                <w:sz w:val="13"/>
                <w:szCs w:val="13"/>
                <w:color w:val="auto"/>
              </w:rPr>
              <w:t>1,350,000</w:t>
            </w:r>
          </w:p>
        </w:tc>
        <w:tc>
          <w:tcPr>
            <w:tcW w:w="840" w:type="dxa"/>
            <w:vAlign w:val="bottom"/>
            <w:tcBorders>
              <w:bottom w:val="single" w:sz="8" w:color="D8D7D7"/>
            </w:tcBorders>
          </w:tcPr>
          <w:p>
            <w:pPr>
              <w:ind w:left="120"/>
              <w:spacing w:after="0"/>
              <w:rPr>
                <w:sz w:val="20"/>
                <w:szCs w:val="20"/>
                <w:color w:val="auto"/>
              </w:rPr>
            </w:pPr>
            <w:r>
              <w:rPr>
                <w:rFonts w:ascii="Arial" w:cs="Arial" w:eastAsia="Arial" w:hAnsi="Arial"/>
                <w:sz w:val="13"/>
                <w:szCs w:val="13"/>
                <w:color w:val="auto"/>
              </w:rPr>
              <w:t>10,471,875</w:t>
            </w:r>
          </w:p>
        </w:tc>
        <w:tc>
          <w:tcPr>
            <w:tcW w:w="760" w:type="dxa"/>
            <w:vAlign w:val="bottom"/>
            <w:tcBorders>
              <w:bottom w:val="single" w:sz="8" w:color="D8D7D7"/>
            </w:tcBorders>
          </w:tcPr>
          <w:p>
            <w:pPr>
              <w:ind w:left="40"/>
              <w:spacing w:after="0"/>
              <w:rPr>
                <w:sz w:val="20"/>
                <w:szCs w:val="20"/>
                <w:color w:val="auto"/>
              </w:rPr>
            </w:pPr>
            <w:r>
              <w:rPr>
                <w:rFonts w:ascii="Arial" w:cs="Arial" w:eastAsia="Arial" w:hAnsi="Arial"/>
                <w:sz w:val="13"/>
                <w:szCs w:val="13"/>
                <w:color w:val="auto"/>
              </w:rPr>
              <w:t>3,490,634</w:t>
            </w:r>
          </w:p>
        </w:tc>
        <w:tc>
          <w:tcPr>
            <w:tcW w:w="380" w:type="dxa"/>
            <w:vAlign w:val="bottom"/>
            <w:tcBorders>
              <w:bottom w:val="single" w:sz="8" w:color="D8D7D7"/>
            </w:tcBorders>
          </w:tcPr>
          <w:p>
            <w:pPr>
              <w:spacing w:after="0"/>
              <w:rPr>
                <w:sz w:val="18"/>
                <w:szCs w:val="18"/>
                <w:color w:val="auto"/>
              </w:rPr>
            </w:pPr>
          </w:p>
        </w:tc>
        <w:tc>
          <w:tcPr>
            <w:tcW w:w="820" w:type="dxa"/>
            <w:vAlign w:val="bottom"/>
            <w:tcBorders>
              <w:bottom w:val="single" w:sz="8" w:color="D8D7D7"/>
            </w:tcBorders>
          </w:tcPr>
          <w:p>
            <w:pPr>
              <w:jc w:val="right"/>
              <w:ind w:right="54"/>
              <w:spacing w:after="0"/>
              <w:rPr>
                <w:sz w:val="20"/>
                <w:szCs w:val="20"/>
                <w:color w:val="auto"/>
              </w:rPr>
            </w:pPr>
            <w:r>
              <w:rPr>
                <w:rFonts w:ascii="Arial" w:cs="Arial" w:eastAsia="Arial" w:hAnsi="Arial"/>
                <w:sz w:val="13"/>
                <w:szCs w:val="13"/>
                <w:color w:val="auto"/>
              </w:rPr>
              <w:t>2,109,400</w:t>
            </w:r>
          </w:p>
        </w:tc>
        <w:tc>
          <w:tcPr>
            <w:tcW w:w="1020" w:type="dxa"/>
            <w:vAlign w:val="bottom"/>
            <w:tcBorders>
              <w:bottom w:val="single" w:sz="8" w:color="D8D7D7"/>
            </w:tcBorders>
          </w:tcPr>
          <w:p>
            <w:pPr>
              <w:jc w:val="right"/>
              <w:ind w:right="34"/>
              <w:spacing w:after="0"/>
              <w:rPr>
                <w:sz w:val="20"/>
                <w:szCs w:val="20"/>
                <w:color w:val="auto"/>
              </w:rPr>
            </w:pPr>
            <w:r>
              <w:rPr>
                <w:rFonts w:ascii="Arial" w:cs="Arial" w:eastAsia="Arial" w:hAnsi="Arial"/>
                <w:sz w:val="13"/>
                <w:szCs w:val="13"/>
                <w:color w:val="auto"/>
              </w:rPr>
              <w:t>22,215</w:t>
            </w:r>
          </w:p>
        </w:tc>
        <w:tc>
          <w:tcPr>
            <w:tcW w:w="1100" w:type="dxa"/>
            <w:vAlign w:val="bottom"/>
            <w:tcBorders>
              <w:bottom w:val="single" w:sz="8" w:color="D8D7D7"/>
            </w:tcBorders>
          </w:tcPr>
          <w:p>
            <w:pPr>
              <w:jc w:val="right"/>
              <w:ind w:right="14"/>
              <w:spacing w:after="0"/>
              <w:rPr>
                <w:sz w:val="20"/>
                <w:szCs w:val="20"/>
                <w:color w:val="auto"/>
              </w:rPr>
            </w:pPr>
            <w:r>
              <w:rPr>
                <w:rFonts w:ascii="Arial" w:cs="Arial" w:eastAsia="Arial" w:hAnsi="Arial"/>
                <w:sz w:val="13"/>
                <w:szCs w:val="13"/>
                <w:color w:val="auto"/>
              </w:rPr>
              <w:t>522,168</w:t>
            </w:r>
          </w:p>
        </w:tc>
        <w:tc>
          <w:tcPr>
            <w:tcW w:w="80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17,966,292</w:t>
            </w:r>
          </w:p>
        </w:tc>
        <w:tc>
          <w:tcPr>
            <w:tcW w:w="20" w:type="dxa"/>
            <w:vAlign w:val="bottom"/>
            <w:tcBorders>
              <w:bottom w:val="single" w:sz="8" w:color="D8D7D7"/>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gridSpan w:val="2"/>
          </w:tcPr>
          <w:p>
            <w:pPr>
              <w:ind w:left="60"/>
              <w:spacing w:after="0"/>
              <w:rPr>
                <w:sz w:val="20"/>
                <w:szCs w:val="20"/>
                <w:color w:val="auto"/>
              </w:rPr>
            </w:pPr>
            <w:r>
              <w:rPr>
                <w:rFonts w:ascii="Arial" w:cs="Arial" w:eastAsia="Arial" w:hAnsi="Arial"/>
                <w:sz w:val="13"/>
                <w:szCs w:val="13"/>
                <w:b w:val="1"/>
                <w:bCs w:val="1"/>
                <w:color w:val="0956FF"/>
              </w:rPr>
              <w:t>Sterling J. Anderson</w:t>
            </w:r>
          </w:p>
        </w:tc>
        <w:tc>
          <w:tcPr>
            <w:tcW w:w="460" w:type="dxa"/>
            <w:vAlign w:val="bottom"/>
          </w:tcPr>
          <w:p>
            <w:pPr>
              <w:jc w:val="right"/>
              <w:ind w:right="33"/>
              <w:spacing w:after="0"/>
              <w:rPr>
                <w:sz w:val="20"/>
                <w:szCs w:val="20"/>
                <w:color w:val="auto"/>
              </w:rPr>
            </w:pPr>
            <w:r>
              <w:rPr>
                <w:rFonts w:ascii="Arial" w:cs="Arial" w:eastAsia="Arial" w:hAnsi="Arial"/>
                <w:sz w:val="13"/>
                <w:szCs w:val="13"/>
                <w:color w:val="auto"/>
              </w:rPr>
              <w:t>2025</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583,333</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35,125,345</w:t>
            </w:r>
          </w:p>
        </w:tc>
        <w:tc>
          <w:tcPr>
            <w:tcW w:w="760" w:type="dxa"/>
            <w:vAlign w:val="bottom"/>
          </w:tcPr>
          <w:p>
            <w:pPr>
              <w:ind w:left="62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Arial" w:cs="Arial" w:eastAsia="Arial" w:hAnsi="Arial"/>
                <w:sz w:val="13"/>
                <w:szCs w:val="13"/>
                <w:color w:val="auto"/>
              </w:rPr>
              <w:t>4,475,000</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95,285</w:t>
            </w:r>
          </w:p>
        </w:tc>
        <w:tc>
          <w:tcPr>
            <w:tcW w:w="800" w:type="dxa"/>
            <w:vAlign w:val="bottom"/>
          </w:tcPr>
          <w:p>
            <w:pPr>
              <w:jc w:val="right"/>
              <w:ind w:right="14"/>
              <w:spacing w:after="0"/>
              <w:rPr>
                <w:sz w:val="20"/>
                <w:szCs w:val="20"/>
                <w:color w:val="auto"/>
              </w:rPr>
            </w:pPr>
            <w:r>
              <w:rPr>
                <w:rFonts w:ascii="Arial" w:cs="Arial" w:eastAsia="Arial" w:hAnsi="Arial"/>
                <w:sz w:val="13"/>
                <w:szCs w:val="13"/>
                <w:color w:val="auto"/>
              </w:rPr>
              <w:t>40,278,963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gridSpan w:val="2"/>
          </w:tcPr>
          <w:p>
            <w:pPr>
              <w:ind w:left="60"/>
              <w:spacing w:after="0"/>
              <w:rPr>
                <w:sz w:val="20"/>
                <w:szCs w:val="20"/>
                <w:color w:val="auto"/>
              </w:rPr>
            </w:pPr>
            <w:r>
              <w:rPr>
                <w:rFonts w:ascii="Arial" w:cs="Arial" w:eastAsia="Arial" w:hAnsi="Arial"/>
                <w:sz w:val="13"/>
                <w:szCs w:val="13"/>
                <w:color w:val="auto"/>
              </w:rPr>
              <w:t>Executive Vice President, Global</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gridSpan w:val="2"/>
          </w:tcPr>
          <w:p>
            <w:pPr>
              <w:ind w:left="60"/>
              <w:spacing w:after="0"/>
              <w:rPr>
                <w:sz w:val="20"/>
                <w:szCs w:val="20"/>
                <w:color w:val="auto"/>
              </w:rPr>
            </w:pPr>
            <w:r>
              <w:rPr>
                <w:rFonts w:ascii="Arial" w:cs="Arial" w:eastAsia="Arial" w:hAnsi="Arial"/>
                <w:sz w:val="13"/>
                <w:szCs w:val="13"/>
                <w:color w:val="auto"/>
              </w:rPr>
              <w:t>Product and Chief Product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80" w:type="dxa"/>
            <w:vAlign w:val="bottom"/>
            <w:tcBorders>
              <w:bottom w:val="single" w:sz="8" w:color="D8D7D7"/>
            </w:tcBorders>
            <w:gridSpan w:val="2"/>
          </w:tcPr>
          <w:p>
            <w:pPr>
              <w:ind w:left="60"/>
              <w:spacing w:after="0"/>
              <w:rPr>
                <w:sz w:val="20"/>
                <w:szCs w:val="20"/>
                <w:color w:val="auto"/>
              </w:rPr>
            </w:pPr>
            <w:r>
              <w:rPr>
                <w:rFonts w:ascii="Arial" w:cs="Arial" w:eastAsia="Arial" w:hAnsi="Arial"/>
                <w:sz w:val="13"/>
                <w:szCs w:val="13"/>
                <w:color w:val="auto"/>
              </w:rPr>
              <w:t>Officer</w:t>
            </w:r>
          </w:p>
        </w:tc>
        <w:tc>
          <w:tcPr>
            <w:tcW w:w="460" w:type="dxa"/>
            <w:vAlign w:val="bottom"/>
            <w:tcBorders>
              <w:bottom w:val="single" w:sz="8" w:color="D8D7D7"/>
            </w:tcBorders>
          </w:tcPr>
          <w:p>
            <w:pPr>
              <w:spacing w:after="0"/>
              <w:rPr>
                <w:sz w:val="16"/>
                <w:szCs w:val="16"/>
                <w:color w:val="auto"/>
              </w:rPr>
            </w:pPr>
          </w:p>
        </w:tc>
        <w:tc>
          <w:tcPr>
            <w:tcW w:w="800" w:type="dxa"/>
            <w:vAlign w:val="bottom"/>
            <w:tcBorders>
              <w:bottom w:val="single" w:sz="8" w:color="D8D7D7"/>
            </w:tcBorders>
          </w:tcPr>
          <w:p>
            <w:pPr>
              <w:spacing w:after="0"/>
              <w:rPr>
                <w:sz w:val="16"/>
                <w:szCs w:val="16"/>
                <w:color w:val="auto"/>
              </w:rPr>
            </w:pPr>
          </w:p>
        </w:tc>
        <w:tc>
          <w:tcPr>
            <w:tcW w:w="840" w:type="dxa"/>
            <w:vAlign w:val="bottom"/>
            <w:tcBorders>
              <w:bottom w:val="single" w:sz="8" w:color="D8D7D7"/>
            </w:tcBorders>
          </w:tcPr>
          <w:p>
            <w:pPr>
              <w:spacing w:after="0"/>
              <w:rPr>
                <w:sz w:val="16"/>
                <w:szCs w:val="16"/>
                <w:color w:val="auto"/>
              </w:rPr>
            </w:pPr>
          </w:p>
        </w:tc>
        <w:tc>
          <w:tcPr>
            <w:tcW w:w="760" w:type="dxa"/>
            <w:vAlign w:val="bottom"/>
            <w:tcBorders>
              <w:bottom w:val="single" w:sz="8" w:color="D8D7D7"/>
            </w:tcBorders>
          </w:tcPr>
          <w:p>
            <w:pPr>
              <w:spacing w:after="0"/>
              <w:rPr>
                <w:sz w:val="16"/>
                <w:szCs w:val="16"/>
                <w:color w:val="auto"/>
              </w:rPr>
            </w:pPr>
          </w:p>
        </w:tc>
        <w:tc>
          <w:tcPr>
            <w:tcW w:w="380" w:type="dxa"/>
            <w:vAlign w:val="bottom"/>
            <w:tcBorders>
              <w:bottom w:val="single" w:sz="8" w:color="D8D7D7"/>
            </w:tcBorders>
          </w:tcPr>
          <w:p>
            <w:pPr>
              <w:spacing w:after="0"/>
              <w:rPr>
                <w:sz w:val="16"/>
                <w:szCs w:val="16"/>
                <w:color w:val="auto"/>
              </w:rPr>
            </w:pPr>
          </w:p>
        </w:tc>
        <w:tc>
          <w:tcPr>
            <w:tcW w:w="820" w:type="dxa"/>
            <w:vAlign w:val="bottom"/>
            <w:tcBorders>
              <w:bottom w:val="single" w:sz="8" w:color="D8D7D7"/>
            </w:tcBorders>
          </w:tcPr>
          <w:p>
            <w:pPr>
              <w:spacing w:after="0"/>
              <w:rPr>
                <w:sz w:val="16"/>
                <w:szCs w:val="16"/>
                <w:color w:val="auto"/>
              </w:rPr>
            </w:pPr>
          </w:p>
        </w:tc>
        <w:tc>
          <w:tcPr>
            <w:tcW w:w="1020" w:type="dxa"/>
            <w:vAlign w:val="bottom"/>
            <w:tcBorders>
              <w:bottom w:val="single" w:sz="8" w:color="D8D7D7"/>
            </w:tcBorders>
          </w:tcPr>
          <w:p>
            <w:pPr>
              <w:spacing w:after="0"/>
              <w:rPr>
                <w:sz w:val="16"/>
                <w:szCs w:val="16"/>
                <w:color w:val="auto"/>
              </w:rPr>
            </w:pPr>
          </w:p>
        </w:tc>
        <w:tc>
          <w:tcPr>
            <w:tcW w:w="1100" w:type="dxa"/>
            <w:vAlign w:val="bottom"/>
            <w:tcBorders>
              <w:bottom w:val="single" w:sz="8" w:color="D8D7D7"/>
            </w:tcBorders>
          </w:tcPr>
          <w:p>
            <w:pPr>
              <w:spacing w:after="0"/>
              <w:rPr>
                <w:sz w:val="16"/>
                <w:szCs w:val="16"/>
                <w:color w:val="auto"/>
              </w:rPr>
            </w:pPr>
          </w:p>
        </w:tc>
        <w:tc>
          <w:tcPr>
            <w:tcW w:w="800" w:type="dxa"/>
            <w:vAlign w:val="bottom"/>
            <w:tcBorders>
              <w:bottom w:val="single" w:sz="8" w:color="D8D7D7"/>
            </w:tcBorders>
          </w:tcPr>
          <w:p>
            <w:pPr>
              <w:spacing w:after="0"/>
              <w:rPr>
                <w:sz w:val="16"/>
                <w:szCs w:val="16"/>
                <w:color w:val="auto"/>
              </w:rPr>
            </w:pPr>
          </w:p>
        </w:tc>
        <w:tc>
          <w:tcPr>
            <w:tcW w:w="20" w:type="dxa"/>
            <w:vAlign w:val="bottom"/>
            <w:tcBorders>
              <w:bottom w:val="single" w:sz="8" w:color="D8D7D7"/>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gridSpan w:val="2"/>
          </w:tcPr>
          <w:p>
            <w:pPr>
              <w:ind w:left="60"/>
              <w:spacing w:after="0"/>
              <w:rPr>
                <w:sz w:val="20"/>
                <w:szCs w:val="20"/>
                <w:color w:val="auto"/>
              </w:rPr>
            </w:pPr>
            <w:r>
              <w:rPr>
                <w:rFonts w:ascii="Arial" w:cs="Arial" w:eastAsia="Arial" w:hAnsi="Arial"/>
                <w:sz w:val="13"/>
                <w:szCs w:val="13"/>
                <w:b w:val="1"/>
                <w:bCs w:val="1"/>
                <w:color w:val="0956FF"/>
              </w:rPr>
              <w:t>Rory V. Harvey</w:t>
            </w:r>
          </w:p>
        </w:tc>
        <w:tc>
          <w:tcPr>
            <w:tcW w:w="460" w:type="dxa"/>
            <w:vAlign w:val="bottom"/>
          </w:tcPr>
          <w:p>
            <w:pPr>
              <w:jc w:val="right"/>
              <w:ind w:right="33"/>
              <w:spacing w:after="0"/>
              <w:rPr>
                <w:sz w:val="20"/>
                <w:szCs w:val="20"/>
                <w:color w:val="auto"/>
              </w:rPr>
            </w:pPr>
            <w:r>
              <w:rPr>
                <w:rFonts w:ascii="Arial" w:cs="Arial" w:eastAsia="Arial" w:hAnsi="Arial"/>
                <w:sz w:val="13"/>
                <w:szCs w:val="13"/>
                <w:color w:val="auto"/>
              </w:rPr>
              <w:t>2025</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850,000</w:t>
            </w:r>
          </w:p>
        </w:tc>
        <w:tc>
          <w:tcPr>
            <w:tcW w:w="840" w:type="dxa"/>
            <w:vAlign w:val="bottom"/>
          </w:tcPr>
          <w:p>
            <w:pPr>
              <w:jc w:val="right"/>
              <w:spacing w:after="0"/>
              <w:rPr>
                <w:sz w:val="20"/>
                <w:szCs w:val="20"/>
                <w:color w:val="auto"/>
              </w:rPr>
            </w:pPr>
            <w:r>
              <w:rPr>
                <w:rFonts w:ascii="Arial" w:cs="Arial" w:eastAsia="Arial" w:hAnsi="Arial"/>
                <w:sz w:val="13"/>
                <w:szCs w:val="13"/>
                <w:color w:val="auto"/>
              </w:rPr>
              <w:t>7,298,149</w:t>
            </w:r>
          </w:p>
        </w:tc>
        <w:tc>
          <w:tcPr>
            <w:tcW w:w="760" w:type="dxa"/>
            <w:vAlign w:val="bottom"/>
          </w:tcPr>
          <w:p>
            <w:pPr>
              <w:ind w:left="62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17"/>
                <w:szCs w:val="17"/>
                <w:color w:val="auto"/>
              </w:rPr>
            </w:pP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1,253,800</w:t>
            </w: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209,853</w:t>
            </w:r>
          </w:p>
        </w:tc>
        <w:tc>
          <w:tcPr>
            <w:tcW w:w="1100" w:type="dxa"/>
            <w:vAlign w:val="bottom"/>
          </w:tcPr>
          <w:p>
            <w:pPr>
              <w:jc w:val="right"/>
              <w:spacing w:after="0"/>
              <w:rPr>
                <w:sz w:val="20"/>
                <w:szCs w:val="20"/>
                <w:color w:val="auto"/>
              </w:rPr>
            </w:pPr>
            <w:r>
              <w:rPr>
                <w:rFonts w:ascii="Arial" w:cs="Arial" w:eastAsia="Arial" w:hAnsi="Arial"/>
                <w:sz w:val="13"/>
                <w:szCs w:val="13"/>
                <w:color w:val="auto"/>
              </w:rPr>
              <w:t>187,293</w:t>
            </w:r>
          </w:p>
        </w:tc>
        <w:tc>
          <w:tcPr>
            <w:tcW w:w="800" w:type="dxa"/>
            <w:vAlign w:val="bottom"/>
          </w:tcPr>
          <w:p>
            <w:pPr>
              <w:jc w:val="right"/>
              <w:spacing w:after="0"/>
              <w:rPr>
                <w:sz w:val="20"/>
                <w:szCs w:val="20"/>
                <w:color w:val="auto"/>
              </w:rPr>
            </w:pPr>
            <w:r>
              <w:rPr>
                <w:rFonts w:ascii="Arial" w:cs="Arial" w:eastAsia="Arial" w:hAnsi="Arial"/>
                <w:sz w:val="13"/>
                <w:szCs w:val="13"/>
                <w:color w:val="auto"/>
              </w:rPr>
              <w:t>9,799,095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2080" w:type="dxa"/>
            <w:vAlign w:val="bottom"/>
            <w:gridSpan w:val="2"/>
            <w:vMerge w:val="restart"/>
          </w:tcPr>
          <w:p>
            <w:pPr>
              <w:ind w:left="60"/>
              <w:spacing w:after="0"/>
              <w:rPr>
                <w:sz w:val="20"/>
                <w:szCs w:val="20"/>
                <w:color w:val="auto"/>
              </w:rPr>
            </w:pPr>
            <w:r>
              <w:rPr>
                <w:rFonts w:ascii="Arial" w:cs="Arial" w:eastAsia="Arial" w:hAnsi="Arial"/>
                <w:sz w:val="13"/>
                <w:szCs w:val="13"/>
                <w:color w:val="auto"/>
              </w:rPr>
              <w:t>Executive Vice President and</w:t>
            </w:r>
          </w:p>
        </w:tc>
        <w:tc>
          <w:tcPr>
            <w:tcW w:w="460" w:type="dxa"/>
            <w:vAlign w:val="bottom"/>
            <w:tcBorders>
              <w:bottom w:val="single" w:sz="8" w:color="D8D7D7"/>
            </w:tcBorders>
          </w:tcPr>
          <w:p>
            <w:pPr>
              <w:spacing w:after="0"/>
              <w:rPr>
                <w:sz w:val="5"/>
                <w:szCs w:val="5"/>
                <w:color w:val="auto"/>
              </w:rPr>
            </w:pPr>
          </w:p>
        </w:tc>
        <w:tc>
          <w:tcPr>
            <w:tcW w:w="800" w:type="dxa"/>
            <w:vAlign w:val="bottom"/>
            <w:tcBorders>
              <w:bottom w:val="single" w:sz="8" w:color="D8D7D7"/>
            </w:tcBorders>
          </w:tcPr>
          <w:p>
            <w:pPr>
              <w:spacing w:after="0"/>
              <w:rPr>
                <w:sz w:val="5"/>
                <w:szCs w:val="5"/>
                <w:color w:val="auto"/>
              </w:rPr>
            </w:pPr>
          </w:p>
        </w:tc>
        <w:tc>
          <w:tcPr>
            <w:tcW w:w="840" w:type="dxa"/>
            <w:vAlign w:val="bottom"/>
            <w:tcBorders>
              <w:bottom w:val="single" w:sz="8" w:color="D8D7D7"/>
            </w:tcBorders>
          </w:tcPr>
          <w:p>
            <w:pPr>
              <w:spacing w:after="0"/>
              <w:rPr>
                <w:sz w:val="5"/>
                <w:szCs w:val="5"/>
                <w:color w:val="auto"/>
              </w:rPr>
            </w:pPr>
          </w:p>
        </w:tc>
        <w:tc>
          <w:tcPr>
            <w:tcW w:w="760" w:type="dxa"/>
            <w:vAlign w:val="bottom"/>
            <w:tcBorders>
              <w:bottom w:val="single" w:sz="8" w:color="D8D7D7"/>
            </w:tcBorders>
          </w:tcPr>
          <w:p>
            <w:pPr>
              <w:spacing w:after="0"/>
              <w:rPr>
                <w:sz w:val="5"/>
                <w:szCs w:val="5"/>
                <w:color w:val="auto"/>
              </w:rPr>
            </w:pPr>
          </w:p>
        </w:tc>
        <w:tc>
          <w:tcPr>
            <w:tcW w:w="380" w:type="dxa"/>
            <w:vAlign w:val="bottom"/>
            <w:tcBorders>
              <w:bottom w:val="single" w:sz="8" w:color="D8D7D7"/>
            </w:tcBorders>
          </w:tcPr>
          <w:p>
            <w:pPr>
              <w:spacing w:after="0"/>
              <w:rPr>
                <w:sz w:val="5"/>
                <w:szCs w:val="5"/>
                <w:color w:val="auto"/>
              </w:rPr>
            </w:pPr>
          </w:p>
        </w:tc>
        <w:tc>
          <w:tcPr>
            <w:tcW w:w="820" w:type="dxa"/>
            <w:vAlign w:val="bottom"/>
            <w:tcBorders>
              <w:bottom w:val="single" w:sz="8" w:color="D8D7D7"/>
            </w:tcBorders>
          </w:tcPr>
          <w:p>
            <w:pPr>
              <w:spacing w:after="0"/>
              <w:rPr>
                <w:sz w:val="5"/>
                <w:szCs w:val="5"/>
                <w:color w:val="auto"/>
              </w:rPr>
            </w:pPr>
          </w:p>
        </w:tc>
        <w:tc>
          <w:tcPr>
            <w:tcW w:w="1020" w:type="dxa"/>
            <w:vAlign w:val="bottom"/>
            <w:tcBorders>
              <w:bottom w:val="single" w:sz="8" w:color="D8D7D7"/>
            </w:tcBorders>
          </w:tcPr>
          <w:p>
            <w:pPr>
              <w:spacing w:after="0"/>
              <w:rPr>
                <w:sz w:val="5"/>
                <w:szCs w:val="5"/>
                <w:color w:val="auto"/>
              </w:rPr>
            </w:pPr>
          </w:p>
        </w:tc>
        <w:tc>
          <w:tcPr>
            <w:tcW w:w="1100" w:type="dxa"/>
            <w:vAlign w:val="bottom"/>
            <w:tcBorders>
              <w:bottom w:val="single" w:sz="8" w:color="D8D7D7"/>
            </w:tcBorders>
          </w:tcPr>
          <w:p>
            <w:pPr>
              <w:spacing w:after="0"/>
              <w:rPr>
                <w:sz w:val="5"/>
                <w:szCs w:val="5"/>
                <w:color w:val="auto"/>
              </w:rPr>
            </w:pPr>
          </w:p>
        </w:tc>
        <w:tc>
          <w:tcPr>
            <w:tcW w:w="800" w:type="dxa"/>
            <w:vAlign w:val="bottom"/>
            <w:tcBorders>
              <w:bottom w:val="single" w:sz="8" w:color="D8D7D7"/>
            </w:tcBorders>
          </w:tcPr>
          <w:p>
            <w:pPr>
              <w:spacing w:after="0"/>
              <w:rPr>
                <w:sz w:val="5"/>
                <w:szCs w:val="5"/>
                <w:color w:val="auto"/>
              </w:rPr>
            </w:pPr>
          </w:p>
        </w:tc>
        <w:tc>
          <w:tcPr>
            <w:tcW w:w="20" w:type="dxa"/>
            <w:vAlign w:val="bottom"/>
            <w:tcBorders>
              <w:bottom w:val="single" w:sz="8" w:color="D8D7D7"/>
            </w:tcBorders>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80" w:type="dxa"/>
            <w:vAlign w:val="bottom"/>
            <w:gridSpan w:val="2"/>
            <w:vMerge w:val="continue"/>
          </w:tcPr>
          <w:p>
            <w:pPr>
              <w:spacing w:after="0"/>
              <w:rPr>
                <w:sz w:val="7"/>
                <w:szCs w:val="7"/>
                <w:color w:val="auto"/>
              </w:rPr>
            </w:pPr>
          </w:p>
        </w:tc>
        <w:tc>
          <w:tcPr>
            <w:tcW w:w="460" w:type="dxa"/>
            <w:vAlign w:val="bottom"/>
            <w:vMerge w:val="restart"/>
          </w:tcPr>
          <w:p>
            <w:pPr>
              <w:jc w:val="right"/>
              <w:ind w:right="33"/>
              <w:spacing w:after="0"/>
              <w:rPr>
                <w:sz w:val="20"/>
                <w:szCs w:val="20"/>
                <w:color w:val="auto"/>
              </w:rPr>
            </w:pPr>
            <w:r>
              <w:rPr>
                <w:rFonts w:ascii="Arial" w:cs="Arial" w:eastAsia="Arial" w:hAnsi="Arial"/>
                <w:sz w:val="13"/>
                <w:szCs w:val="13"/>
                <w:color w:val="auto"/>
              </w:rPr>
              <w:t>2024</w:t>
            </w:r>
          </w:p>
        </w:tc>
        <w:tc>
          <w:tcPr>
            <w:tcW w:w="800" w:type="dxa"/>
            <w:vAlign w:val="bottom"/>
            <w:vMerge w:val="restart"/>
          </w:tcPr>
          <w:p>
            <w:pPr>
              <w:jc w:val="right"/>
              <w:ind w:right="73"/>
              <w:spacing w:after="0"/>
              <w:rPr>
                <w:sz w:val="20"/>
                <w:szCs w:val="20"/>
                <w:color w:val="auto"/>
              </w:rPr>
            </w:pPr>
            <w:r>
              <w:rPr>
                <w:rFonts w:ascii="Arial" w:cs="Arial" w:eastAsia="Arial" w:hAnsi="Arial"/>
                <w:sz w:val="13"/>
                <w:szCs w:val="13"/>
                <w:color w:val="auto"/>
              </w:rPr>
              <w:t>850,000</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7,087,519</w:t>
            </w:r>
          </w:p>
        </w:tc>
        <w:tc>
          <w:tcPr>
            <w:tcW w:w="760" w:type="dxa"/>
            <w:vAlign w:val="bottom"/>
            <w:vMerge w:val="restart"/>
          </w:tcPr>
          <w:p>
            <w:pPr>
              <w:ind w:left="620"/>
              <w:spacing w:after="0"/>
              <w:rPr>
                <w:sz w:val="20"/>
                <w:szCs w:val="20"/>
                <w:color w:val="auto"/>
              </w:rPr>
            </w:pPr>
            <w:r>
              <w:rPr>
                <w:rFonts w:ascii="Arial" w:cs="Arial" w:eastAsia="Arial" w:hAnsi="Arial"/>
                <w:sz w:val="13"/>
                <w:szCs w:val="13"/>
                <w:color w:val="auto"/>
                <w:w w:val="91"/>
              </w:rPr>
              <w:t>—</w:t>
            </w:r>
          </w:p>
        </w:tc>
        <w:tc>
          <w:tcPr>
            <w:tcW w:w="3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1,718,100</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4"/>
              <w:spacing w:after="0"/>
              <w:rPr>
                <w:sz w:val="20"/>
                <w:szCs w:val="20"/>
                <w:color w:val="auto"/>
              </w:rPr>
            </w:pPr>
            <w:r>
              <w:rPr>
                <w:rFonts w:ascii="Arial" w:cs="Arial" w:eastAsia="Arial" w:hAnsi="Arial"/>
                <w:sz w:val="13"/>
                <w:szCs w:val="13"/>
                <w:color w:val="auto"/>
              </w:rPr>
              <w:t>153,808</w:t>
            </w:r>
          </w:p>
        </w:tc>
        <w:tc>
          <w:tcPr>
            <w:tcW w:w="800" w:type="dxa"/>
            <w:vAlign w:val="bottom"/>
            <w:vMerge w:val="restart"/>
          </w:tcPr>
          <w:p>
            <w:pPr>
              <w:jc w:val="right"/>
              <w:ind w:right="14"/>
              <w:spacing w:after="0"/>
              <w:rPr>
                <w:sz w:val="20"/>
                <w:szCs w:val="20"/>
                <w:color w:val="auto"/>
              </w:rPr>
            </w:pPr>
            <w:r>
              <w:rPr>
                <w:rFonts w:ascii="Arial" w:cs="Arial" w:eastAsia="Arial" w:hAnsi="Arial"/>
                <w:sz w:val="13"/>
                <w:szCs w:val="13"/>
                <w:color w:val="auto"/>
              </w:rPr>
              <w:t>9,809,427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80" w:type="dxa"/>
            <w:vAlign w:val="bottom"/>
            <w:gridSpan w:val="2"/>
            <w:vMerge w:val="restart"/>
          </w:tcPr>
          <w:p>
            <w:pPr>
              <w:ind w:left="60"/>
              <w:spacing w:after="0"/>
              <w:rPr>
                <w:sz w:val="20"/>
                <w:szCs w:val="20"/>
                <w:color w:val="auto"/>
              </w:rPr>
            </w:pPr>
            <w:r>
              <w:rPr>
                <w:rFonts w:ascii="Arial" w:cs="Arial" w:eastAsia="Arial" w:hAnsi="Arial"/>
                <w:sz w:val="13"/>
                <w:szCs w:val="13"/>
                <w:color w:val="auto"/>
              </w:rPr>
              <w:t>President, Global Markets</w:t>
            </w:r>
          </w:p>
        </w:tc>
        <w:tc>
          <w:tcPr>
            <w:tcW w:w="4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80" w:type="dxa"/>
            <w:vAlign w:val="bottom"/>
            <w:tcBorders>
              <w:bottom w:val="single" w:sz="8" w:color="0956FF"/>
            </w:tcBorders>
            <w:gridSpan w:val="2"/>
            <w:vMerge w:val="continue"/>
          </w:tcPr>
          <w:p>
            <w:pPr>
              <w:spacing w:after="0"/>
              <w:rPr>
                <w:sz w:val="5"/>
                <w:szCs w:val="5"/>
                <w:color w:val="auto"/>
              </w:rPr>
            </w:pPr>
          </w:p>
        </w:tc>
        <w:tc>
          <w:tcPr>
            <w:tcW w:w="460" w:type="dxa"/>
            <w:vAlign w:val="bottom"/>
            <w:tcBorders>
              <w:bottom w:val="single" w:sz="8" w:color="0956FF"/>
            </w:tcBorders>
          </w:tcPr>
          <w:p>
            <w:pPr>
              <w:spacing w:after="0"/>
              <w:rPr>
                <w:sz w:val="5"/>
                <w:szCs w:val="5"/>
                <w:color w:val="auto"/>
              </w:rPr>
            </w:pPr>
          </w:p>
        </w:tc>
        <w:tc>
          <w:tcPr>
            <w:tcW w:w="800" w:type="dxa"/>
            <w:vAlign w:val="bottom"/>
            <w:tcBorders>
              <w:bottom w:val="single" w:sz="8" w:color="0956FF"/>
            </w:tcBorders>
          </w:tcPr>
          <w:p>
            <w:pPr>
              <w:spacing w:after="0"/>
              <w:rPr>
                <w:sz w:val="5"/>
                <w:szCs w:val="5"/>
                <w:color w:val="auto"/>
              </w:rPr>
            </w:pPr>
          </w:p>
        </w:tc>
        <w:tc>
          <w:tcPr>
            <w:tcW w:w="840" w:type="dxa"/>
            <w:vAlign w:val="bottom"/>
            <w:tcBorders>
              <w:bottom w:val="single" w:sz="8" w:color="0956FF"/>
            </w:tcBorders>
          </w:tcPr>
          <w:p>
            <w:pPr>
              <w:spacing w:after="0"/>
              <w:rPr>
                <w:sz w:val="5"/>
                <w:szCs w:val="5"/>
                <w:color w:val="auto"/>
              </w:rPr>
            </w:pPr>
          </w:p>
        </w:tc>
        <w:tc>
          <w:tcPr>
            <w:tcW w:w="760" w:type="dxa"/>
            <w:vAlign w:val="bottom"/>
            <w:tcBorders>
              <w:bottom w:val="single" w:sz="8" w:color="0956FF"/>
            </w:tcBorders>
          </w:tcPr>
          <w:p>
            <w:pPr>
              <w:spacing w:after="0"/>
              <w:rPr>
                <w:sz w:val="5"/>
                <w:szCs w:val="5"/>
                <w:color w:val="auto"/>
              </w:rPr>
            </w:pPr>
          </w:p>
        </w:tc>
        <w:tc>
          <w:tcPr>
            <w:tcW w:w="380" w:type="dxa"/>
            <w:vAlign w:val="bottom"/>
            <w:tcBorders>
              <w:bottom w:val="single" w:sz="8" w:color="0956FF"/>
            </w:tcBorders>
          </w:tcPr>
          <w:p>
            <w:pPr>
              <w:spacing w:after="0"/>
              <w:rPr>
                <w:sz w:val="5"/>
                <w:szCs w:val="5"/>
                <w:color w:val="auto"/>
              </w:rPr>
            </w:pPr>
          </w:p>
        </w:tc>
        <w:tc>
          <w:tcPr>
            <w:tcW w:w="820" w:type="dxa"/>
            <w:vAlign w:val="bottom"/>
            <w:tcBorders>
              <w:bottom w:val="single" w:sz="8" w:color="0956FF"/>
            </w:tcBorders>
          </w:tcPr>
          <w:p>
            <w:pPr>
              <w:spacing w:after="0"/>
              <w:rPr>
                <w:sz w:val="5"/>
                <w:szCs w:val="5"/>
                <w:color w:val="auto"/>
              </w:rPr>
            </w:pPr>
          </w:p>
        </w:tc>
        <w:tc>
          <w:tcPr>
            <w:tcW w:w="1020" w:type="dxa"/>
            <w:vAlign w:val="bottom"/>
            <w:tcBorders>
              <w:bottom w:val="single" w:sz="8" w:color="0956FF"/>
            </w:tcBorders>
          </w:tcPr>
          <w:p>
            <w:pPr>
              <w:spacing w:after="0"/>
              <w:rPr>
                <w:sz w:val="5"/>
                <w:szCs w:val="5"/>
                <w:color w:val="auto"/>
              </w:rPr>
            </w:pPr>
          </w:p>
        </w:tc>
        <w:tc>
          <w:tcPr>
            <w:tcW w:w="1100" w:type="dxa"/>
            <w:vAlign w:val="bottom"/>
            <w:tcBorders>
              <w:bottom w:val="single" w:sz="8" w:color="0956FF"/>
            </w:tcBorders>
          </w:tcPr>
          <w:p>
            <w:pPr>
              <w:spacing w:after="0"/>
              <w:rPr>
                <w:sz w:val="5"/>
                <w:szCs w:val="5"/>
                <w:color w:val="auto"/>
              </w:rPr>
            </w:pPr>
          </w:p>
        </w:tc>
        <w:tc>
          <w:tcPr>
            <w:tcW w:w="800" w:type="dxa"/>
            <w:vAlign w:val="bottom"/>
            <w:tcBorders>
              <w:bottom w:val="single" w:sz="8" w:color="0956FF"/>
            </w:tcBorders>
          </w:tcPr>
          <w:p>
            <w:pPr>
              <w:spacing w:after="0"/>
              <w:rPr>
                <w:sz w:val="5"/>
                <w:szCs w:val="5"/>
                <w:color w:val="auto"/>
              </w:rPr>
            </w:pPr>
          </w:p>
        </w:tc>
        <w:tc>
          <w:tcPr>
            <w:tcW w:w="20" w:type="dxa"/>
            <w:vAlign w:val="bottom"/>
            <w:tcBorders>
              <w:bottom w:val="single" w:sz="8" w:color="0956FF"/>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0" w:type="dxa"/>
            <w:vAlign w:val="bottom"/>
          </w:tcPr>
          <w:p>
            <w:pPr>
              <w:spacing w:after="0"/>
              <w:rPr>
                <w:sz w:val="20"/>
                <w:szCs w:val="20"/>
                <w:color w:val="auto"/>
              </w:rPr>
            </w:pPr>
            <w:r>
              <w:rPr>
                <w:rFonts w:ascii="Arial" w:cs="Arial" w:eastAsia="Arial" w:hAnsi="Arial"/>
                <w:sz w:val="9"/>
                <w:szCs w:val="9"/>
                <w:color w:val="auto"/>
              </w:rPr>
              <w:t>(1)</w:t>
            </w:r>
          </w:p>
        </w:tc>
        <w:tc>
          <w:tcPr>
            <w:tcW w:w="8880" w:type="dxa"/>
            <w:vAlign w:val="bottom"/>
            <w:gridSpan w:val="11"/>
          </w:tcPr>
          <w:p>
            <w:pPr>
              <w:spacing w:after="0"/>
              <w:rPr>
                <w:sz w:val="20"/>
                <w:szCs w:val="20"/>
                <w:color w:val="auto"/>
              </w:rPr>
            </w:pPr>
            <w:r>
              <w:rPr>
                <w:rFonts w:ascii="Arial" w:cs="Arial" w:eastAsia="Arial" w:hAnsi="Arial"/>
                <w:sz w:val="14"/>
                <w:szCs w:val="14"/>
                <w:color w:val="auto"/>
              </w:rPr>
              <w:t>Titles reflect position as of December 31, 2025. Mr. Harvey was not a NEO in 2023. Mr. Anderson was appointed in May 2025 and was not</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an NEO in 2024 and 2023.</w:t>
            </w: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0" w:type="dxa"/>
            <w:vAlign w:val="bottom"/>
          </w:tcPr>
          <w:p>
            <w:pPr>
              <w:spacing w:after="0"/>
              <w:rPr>
                <w:sz w:val="20"/>
                <w:szCs w:val="20"/>
                <w:color w:val="auto"/>
              </w:rPr>
            </w:pPr>
            <w:r>
              <w:rPr>
                <w:rFonts w:ascii="Arial" w:cs="Arial" w:eastAsia="Arial" w:hAnsi="Arial"/>
                <w:sz w:val="9"/>
                <w:szCs w:val="9"/>
                <w:color w:val="auto"/>
              </w:rPr>
              <w:t>(2)</w:t>
            </w:r>
          </w:p>
        </w:tc>
        <w:tc>
          <w:tcPr>
            <w:tcW w:w="8880" w:type="dxa"/>
            <w:vAlign w:val="bottom"/>
            <w:gridSpan w:val="11"/>
          </w:tcPr>
          <w:p>
            <w:pPr>
              <w:spacing w:after="0"/>
              <w:rPr>
                <w:sz w:val="20"/>
                <w:szCs w:val="20"/>
                <w:color w:val="auto"/>
              </w:rPr>
            </w:pPr>
            <w:r>
              <w:rPr>
                <w:rFonts w:ascii="Arial" w:cs="Arial" w:eastAsia="Arial" w:hAnsi="Arial"/>
                <w:sz w:val="14"/>
                <w:szCs w:val="14"/>
                <w:color w:val="auto"/>
              </w:rPr>
              <w:t>Stock Awards displays the grant date fair values of PSUs and RSUs issued under the LTIP, computed in accordance with Financial</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8880" w:type="dxa"/>
            <w:vAlign w:val="bottom"/>
            <w:gridSpan w:val="11"/>
          </w:tcPr>
          <w:p>
            <w:pPr>
              <w:spacing w:after="0"/>
              <w:rPr>
                <w:sz w:val="20"/>
                <w:szCs w:val="20"/>
                <w:color w:val="auto"/>
              </w:rPr>
            </w:pPr>
            <w:r>
              <w:rPr>
                <w:rFonts w:ascii="Arial" w:cs="Arial" w:eastAsia="Arial" w:hAnsi="Arial"/>
                <w:sz w:val="14"/>
                <w:szCs w:val="14"/>
                <w:color w:val="auto"/>
              </w:rPr>
              <w:t>Accounting Standards Board (“FASB”) Accounting Standards Codification (“ASC”) Topic 718. The PSU awards below will vest based on</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8880" w:type="dxa"/>
            <w:vAlign w:val="bottom"/>
            <w:gridSpan w:val="11"/>
          </w:tcPr>
          <w:p>
            <w:pPr>
              <w:spacing w:after="0"/>
              <w:rPr>
                <w:sz w:val="20"/>
                <w:szCs w:val="20"/>
                <w:color w:val="auto"/>
              </w:rPr>
            </w:pPr>
            <w:r>
              <w:rPr>
                <w:rFonts w:ascii="Arial" w:cs="Arial" w:eastAsia="Arial" w:hAnsi="Arial"/>
                <w:sz w:val="14"/>
                <w:szCs w:val="14"/>
                <w:color w:val="auto"/>
              </w:rPr>
              <w:t>GM’s performance against Relative TSR, OCF, and Relative EBIT-adjusted Margin . The fair value of the non-TSR PSUs is based on the</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8880" w:type="dxa"/>
            <w:vAlign w:val="bottom"/>
            <w:gridSpan w:val="11"/>
          </w:tcPr>
          <w:p>
            <w:pPr>
              <w:spacing w:after="0"/>
              <w:rPr>
                <w:sz w:val="20"/>
                <w:szCs w:val="20"/>
                <w:color w:val="auto"/>
              </w:rPr>
            </w:pPr>
            <w:r>
              <w:rPr>
                <w:rFonts w:ascii="Arial" w:cs="Arial" w:eastAsia="Arial" w:hAnsi="Arial"/>
                <w:sz w:val="14"/>
                <w:szCs w:val="14"/>
                <w:color w:val="auto"/>
              </w:rPr>
              <w:t>closing stock price on the date of grant. The assumptions used for the Monte Carlo valuation of the Relative TSR portion of the PSUs are</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summarized below:</w:t>
            </w: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9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880" w:type="dxa"/>
            <w:vAlign w:val="bottom"/>
            <w:shd w:val="clear" w:color="auto" w:fill="ECEBEB"/>
          </w:tcPr>
          <w:p>
            <w:pPr>
              <w:spacing w:after="0"/>
              <w:rPr>
                <w:sz w:val="17"/>
                <w:szCs w:val="17"/>
                <w:color w:val="auto"/>
              </w:rPr>
            </w:pPr>
          </w:p>
        </w:tc>
        <w:tc>
          <w:tcPr>
            <w:tcW w:w="460" w:type="dxa"/>
            <w:vAlign w:val="bottom"/>
            <w:shd w:val="clear" w:color="auto" w:fill="ECEBEB"/>
          </w:tcPr>
          <w:p>
            <w:pPr>
              <w:spacing w:after="0"/>
              <w:rPr>
                <w:sz w:val="17"/>
                <w:szCs w:val="17"/>
                <w:color w:val="auto"/>
              </w:rPr>
            </w:pPr>
          </w:p>
        </w:tc>
        <w:tc>
          <w:tcPr>
            <w:tcW w:w="800" w:type="dxa"/>
            <w:vAlign w:val="bottom"/>
            <w:shd w:val="clear" w:color="auto" w:fill="ECEBEB"/>
          </w:tcPr>
          <w:p>
            <w:pPr>
              <w:spacing w:after="0"/>
              <w:rPr>
                <w:sz w:val="17"/>
                <w:szCs w:val="17"/>
                <w:color w:val="auto"/>
              </w:rPr>
            </w:pPr>
          </w:p>
        </w:tc>
        <w:tc>
          <w:tcPr>
            <w:tcW w:w="840" w:type="dxa"/>
            <w:vAlign w:val="bottom"/>
            <w:shd w:val="clear" w:color="auto" w:fill="ECEBEB"/>
          </w:tcPr>
          <w:p>
            <w:pPr>
              <w:spacing w:after="0"/>
              <w:rPr>
                <w:sz w:val="17"/>
                <w:szCs w:val="17"/>
                <w:color w:val="auto"/>
              </w:rPr>
            </w:pPr>
          </w:p>
        </w:tc>
        <w:tc>
          <w:tcPr>
            <w:tcW w:w="760" w:type="dxa"/>
            <w:vAlign w:val="bottom"/>
            <w:shd w:val="clear" w:color="auto" w:fill="ECEBEB"/>
          </w:tcPr>
          <w:p>
            <w:pPr>
              <w:spacing w:after="0"/>
              <w:rPr>
                <w:sz w:val="17"/>
                <w:szCs w:val="17"/>
                <w:color w:val="auto"/>
              </w:rPr>
            </w:pPr>
          </w:p>
        </w:tc>
        <w:tc>
          <w:tcPr>
            <w:tcW w:w="380" w:type="dxa"/>
            <w:vAlign w:val="bottom"/>
            <w:shd w:val="clear" w:color="auto" w:fill="ECEBEB"/>
          </w:tcPr>
          <w:p>
            <w:pPr>
              <w:spacing w:after="0"/>
              <w:rPr>
                <w:sz w:val="17"/>
                <w:szCs w:val="17"/>
                <w:color w:val="auto"/>
              </w:rPr>
            </w:pPr>
          </w:p>
        </w:tc>
        <w:tc>
          <w:tcPr>
            <w:tcW w:w="820" w:type="dxa"/>
            <w:vAlign w:val="bottom"/>
            <w:shd w:val="clear" w:color="auto" w:fill="ECEBEB"/>
          </w:tcPr>
          <w:p>
            <w:pPr>
              <w:spacing w:after="0"/>
              <w:rPr>
                <w:sz w:val="17"/>
                <w:szCs w:val="17"/>
                <w:color w:val="auto"/>
              </w:rPr>
            </w:pPr>
          </w:p>
        </w:tc>
        <w:tc>
          <w:tcPr>
            <w:tcW w:w="1020" w:type="dxa"/>
            <w:vAlign w:val="bottom"/>
            <w:shd w:val="clear" w:color="auto" w:fill="ECEBEB"/>
          </w:tcPr>
          <w:p>
            <w:pPr>
              <w:spacing w:after="0"/>
              <w:rPr>
                <w:sz w:val="17"/>
                <w:szCs w:val="17"/>
                <w:color w:val="auto"/>
              </w:rPr>
            </w:pPr>
          </w:p>
        </w:tc>
        <w:tc>
          <w:tcPr>
            <w:tcW w:w="1900" w:type="dxa"/>
            <w:vAlign w:val="bottom"/>
            <w:gridSpan w:val="2"/>
            <w:shd w:val="clear" w:color="auto" w:fill="ECEBEB"/>
          </w:tcPr>
          <w:p>
            <w:pPr>
              <w:jc w:val="right"/>
              <w:spacing w:after="0"/>
              <w:rPr>
                <w:sz w:val="20"/>
                <w:szCs w:val="20"/>
                <w:color w:val="auto"/>
              </w:rPr>
            </w:pPr>
            <w:r>
              <w:rPr>
                <w:rFonts w:ascii="Arial" w:cs="Arial" w:eastAsia="Arial" w:hAnsi="Arial"/>
                <w:sz w:val="12"/>
                <w:szCs w:val="12"/>
                <w:b w:val="1"/>
                <w:bCs w:val="1"/>
                <w:color w:val="auto"/>
              </w:rPr>
              <w:t>Valuation Price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880" w:type="dxa"/>
            <w:vAlign w:val="bottom"/>
            <w:shd w:val="clear" w:color="auto" w:fill="ECEBEB"/>
          </w:tcPr>
          <w:p>
            <w:pPr>
              <w:spacing w:after="0"/>
              <w:rPr>
                <w:sz w:val="11"/>
                <w:szCs w:val="11"/>
                <w:color w:val="auto"/>
              </w:rPr>
            </w:pPr>
          </w:p>
        </w:tc>
        <w:tc>
          <w:tcPr>
            <w:tcW w:w="460" w:type="dxa"/>
            <w:vAlign w:val="bottom"/>
            <w:shd w:val="clear" w:color="auto" w:fill="ECEBEB"/>
          </w:tcPr>
          <w:p>
            <w:pPr>
              <w:spacing w:after="0"/>
              <w:rPr>
                <w:sz w:val="11"/>
                <w:szCs w:val="11"/>
                <w:color w:val="auto"/>
              </w:rPr>
            </w:pPr>
          </w:p>
        </w:tc>
        <w:tc>
          <w:tcPr>
            <w:tcW w:w="800" w:type="dxa"/>
            <w:vAlign w:val="bottom"/>
            <w:shd w:val="clear" w:color="auto" w:fill="ECEBEB"/>
          </w:tcPr>
          <w:p>
            <w:pPr>
              <w:spacing w:after="0"/>
              <w:rPr>
                <w:sz w:val="11"/>
                <w:szCs w:val="11"/>
                <w:color w:val="auto"/>
              </w:rPr>
            </w:pPr>
          </w:p>
        </w:tc>
        <w:tc>
          <w:tcPr>
            <w:tcW w:w="840" w:type="dxa"/>
            <w:vAlign w:val="bottom"/>
            <w:shd w:val="clear" w:color="auto" w:fill="ECEBEB"/>
          </w:tcPr>
          <w:p>
            <w:pPr>
              <w:spacing w:after="0"/>
              <w:rPr>
                <w:sz w:val="11"/>
                <w:szCs w:val="11"/>
                <w:color w:val="auto"/>
              </w:rPr>
            </w:pPr>
          </w:p>
        </w:tc>
        <w:tc>
          <w:tcPr>
            <w:tcW w:w="1140" w:type="dxa"/>
            <w:vAlign w:val="bottom"/>
            <w:gridSpan w:val="2"/>
            <w:shd w:val="clear" w:color="auto" w:fill="ECEBEB"/>
          </w:tcPr>
          <w:p>
            <w:pPr>
              <w:jc w:val="right"/>
              <w:ind w:right="16"/>
              <w:spacing w:after="0" w:line="135" w:lineRule="exact"/>
              <w:rPr>
                <w:sz w:val="20"/>
                <w:szCs w:val="20"/>
                <w:color w:val="auto"/>
              </w:rPr>
            </w:pPr>
            <w:r>
              <w:rPr>
                <w:rFonts w:ascii="Arial" w:cs="Arial" w:eastAsia="Arial" w:hAnsi="Arial"/>
                <w:sz w:val="12"/>
                <w:szCs w:val="12"/>
                <w:b w:val="1"/>
                <w:bCs w:val="1"/>
                <w:color w:val="auto"/>
              </w:rPr>
              <w:t>Stock</w:t>
            </w:r>
          </w:p>
        </w:tc>
        <w:tc>
          <w:tcPr>
            <w:tcW w:w="820" w:type="dxa"/>
            <w:vAlign w:val="bottom"/>
            <w:shd w:val="clear" w:color="auto" w:fill="ECEBEB"/>
          </w:tcPr>
          <w:p>
            <w:pPr>
              <w:jc w:val="right"/>
              <w:ind w:right="14"/>
              <w:spacing w:after="0" w:line="135" w:lineRule="exact"/>
              <w:rPr>
                <w:sz w:val="20"/>
                <w:szCs w:val="20"/>
                <w:color w:val="auto"/>
              </w:rPr>
            </w:pPr>
            <w:r>
              <w:rPr>
                <w:rFonts w:ascii="Arial" w:cs="Arial" w:eastAsia="Arial" w:hAnsi="Arial"/>
                <w:sz w:val="12"/>
                <w:szCs w:val="12"/>
                <w:b w:val="1"/>
                <w:bCs w:val="1"/>
                <w:color w:val="auto"/>
              </w:rPr>
              <w:t>Implied</w:t>
            </w:r>
          </w:p>
        </w:tc>
        <w:tc>
          <w:tcPr>
            <w:tcW w:w="1020" w:type="dxa"/>
            <w:vAlign w:val="bottom"/>
            <w:shd w:val="clear" w:color="auto" w:fill="ECEBEB"/>
          </w:tcPr>
          <w:p>
            <w:pPr>
              <w:jc w:val="right"/>
              <w:ind w:right="14"/>
              <w:spacing w:after="0" w:line="135" w:lineRule="exact"/>
              <w:rPr>
                <w:sz w:val="20"/>
                <w:szCs w:val="20"/>
                <w:color w:val="auto"/>
              </w:rPr>
            </w:pPr>
            <w:r>
              <w:rPr>
                <w:rFonts w:ascii="Arial" w:cs="Arial" w:eastAsia="Arial" w:hAnsi="Arial"/>
                <w:sz w:val="12"/>
                <w:szCs w:val="12"/>
                <w:b w:val="1"/>
                <w:bCs w:val="1"/>
                <w:color w:val="auto"/>
              </w:rPr>
              <w:t>Risk-Free</w:t>
            </w:r>
          </w:p>
        </w:tc>
        <w:tc>
          <w:tcPr>
            <w:tcW w:w="1100" w:type="dxa"/>
            <w:vAlign w:val="bottom"/>
            <w:shd w:val="clear" w:color="auto" w:fill="ECEBEB"/>
          </w:tcPr>
          <w:p>
            <w:pPr>
              <w:jc w:val="right"/>
              <w:ind w:right="334"/>
              <w:spacing w:after="0" w:line="135" w:lineRule="exact"/>
              <w:rPr>
                <w:sz w:val="20"/>
                <w:szCs w:val="20"/>
                <w:color w:val="auto"/>
              </w:rPr>
            </w:pPr>
            <w:r>
              <w:rPr>
                <w:rFonts w:ascii="Arial" w:cs="Arial" w:eastAsia="Arial" w:hAnsi="Arial"/>
                <w:sz w:val="12"/>
                <w:szCs w:val="12"/>
                <w:b w:val="1"/>
                <w:bCs w:val="1"/>
                <w:color w:val="auto"/>
              </w:rPr>
              <w:t>Valuation</w:t>
            </w:r>
          </w:p>
        </w:tc>
        <w:tc>
          <w:tcPr>
            <w:tcW w:w="800" w:type="dxa"/>
            <w:vAlign w:val="bottom"/>
            <w:shd w:val="clear" w:color="auto" w:fill="ECEBEB"/>
          </w:tcPr>
          <w:p>
            <w:pPr>
              <w:jc w:val="right"/>
              <w:spacing w:after="0" w:line="135" w:lineRule="exact"/>
              <w:rPr>
                <w:sz w:val="20"/>
                <w:szCs w:val="20"/>
                <w:color w:val="auto"/>
              </w:rPr>
            </w:pPr>
            <w:r>
              <w:rPr>
                <w:rFonts w:ascii="Arial" w:cs="Arial" w:eastAsia="Arial" w:hAnsi="Arial"/>
                <w:sz w:val="12"/>
                <w:szCs w:val="12"/>
                <w:b w:val="1"/>
                <w:bCs w:val="1"/>
                <w:color w:val="auto"/>
              </w:rPr>
              <w:t>as a Percent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0" w:type="dxa"/>
            <w:vAlign w:val="bottom"/>
          </w:tcPr>
          <w:p>
            <w:pPr>
              <w:spacing w:after="0"/>
              <w:rPr>
                <w:sz w:val="13"/>
                <w:szCs w:val="13"/>
                <w:color w:val="auto"/>
              </w:rPr>
            </w:pPr>
          </w:p>
        </w:tc>
        <w:tc>
          <w:tcPr>
            <w:tcW w:w="188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2"/>
                <w:szCs w:val="12"/>
                <w:b w:val="1"/>
                <w:bCs w:val="1"/>
                <w:color w:val="auto"/>
              </w:rPr>
              <w:t>Grant Date</w:t>
            </w:r>
          </w:p>
        </w:tc>
        <w:tc>
          <w:tcPr>
            <w:tcW w:w="460" w:type="dxa"/>
            <w:vAlign w:val="bottom"/>
            <w:tcBorders>
              <w:bottom w:val="single" w:sz="8" w:color="0956FF"/>
            </w:tcBorders>
            <w:shd w:val="clear" w:color="auto" w:fill="ECEBEB"/>
          </w:tcPr>
          <w:p>
            <w:pPr>
              <w:spacing w:after="0"/>
              <w:rPr>
                <w:sz w:val="13"/>
                <w:szCs w:val="13"/>
                <w:color w:val="auto"/>
              </w:rPr>
            </w:pPr>
          </w:p>
        </w:tc>
        <w:tc>
          <w:tcPr>
            <w:tcW w:w="800" w:type="dxa"/>
            <w:vAlign w:val="bottom"/>
            <w:tcBorders>
              <w:bottom w:val="single" w:sz="8" w:color="0956FF"/>
            </w:tcBorders>
            <w:shd w:val="clear" w:color="auto" w:fill="ECEBEB"/>
          </w:tcPr>
          <w:p>
            <w:pPr>
              <w:spacing w:after="0"/>
              <w:rPr>
                <w:sz w:val="13"/>
                <w:szCs w:val="13"/>
                <w:color w:val="auto"/>
              </w:rPr>
            </w:pPr>
          </w:p>
        </w:tc>
        <w:tc>
          <w:tcPr>
            <w:tcW w:w="840" w:type="dxa"/>
            <w:vAlign w:val="bottom"/>
            <w:tcBorders>
              <w:bottom w:val="single" w:sz="8" w:color="0956FF"/>
            </w:tcBorders>
            <w:shd w:val="clear" w:color="auto" w:fill="ECEBEB"/>
          </w:tcPr>
          <w:p>
            <w:pPr>
              <w:spacing w:after="0"/>
              <w:rPr>
                <w:sz w:val="13"/>
                <w:szCs w:val="13"/>
                <w:color w:val="auto"/>
              </w:rPr>
            </w:pPr>
          </w:p>
        </w:tc>
        <w:tc>
          <w:tcPr>
            <w:tcW w:w="760" w:type="dxa"/>
            <w:vAlign w:val="bottom"/>
            <w:tcBorders>
              <w:bottom w:val="single" w:sz="8" w:color="0956FF"/>
            </w:tcBorders>
            <w:shd w:val="clear" w:color="auto" w:fill="ECEBEB"/>
          </w:tcPr>
          <w:p>
            <w:pPr>
              <w:spacing w:after="0"/>
              <w:rPr>
                <w:sz w:val="13"/>
                <w:szCs w:val="13"/>
                <w:color w:val="auto"/>
              </w:rPr>
            </w:pPr>
          </w:p>
        </w:tc>
        <w:tc>
          <w:tcPr>
            <w:tcW w:w="380" w:type="dxa"/>
            <w:vAlign w:val="bottom"/>
            <w:tcBorders>
              <w:bottom w:val="single" w:sz="8" w:color="0956FF"/>
            </w:tcBorders>
            <w:shd w:val="clear" w:color="auto" w:fill="ECEBEB"/>
          </w:tcPr>
          <w:p>
            <w:pPr>
              <w:jc w:val="right"/>
              <w:ind w:right="36"/>
              <w:spacing w:after="0"/>
              <w:rPr>
                <w:sz w:val="20"/>
                <w:szCs w:val="20"/>
                <w:color w:val="auto"/>
              </w:rPr>
            </w:pPr>
            <w:r>
              <w:rPr>
                <w:rFonts w:ascii="Arial" w:cs="Arial" w:eastAsia="Arial" w:hAnsi="Arial"/>
                <w:sz w:val="12"/>
                <w:szCs w:val="12"/>
                <w:b w:val="1"/>
                <w:bCs w:val="1"/>
                <w:color w:val="auto"/>
                <w:w w:val="88"/>
              </w:rPr>
              <w:t>Price</w:t>
            </w:r>
          </w:p>
        </w:tc>
        <w:tc>
          <w:tcPr>
            <w:tcW w:w="820" w:type="dxa"/>
            <w:vAlign w:val="bottom"/>
            <w:tcBorders>
              <w:bottom w:val="single" w:sz="8" w:color="0956FF"/>
            </w:tcBorders>
            <w:shd w:val="clear" w:color="auto" w:fill="ECEBEB"/>
          </w:tcPr>
          <w:p>
            <w:pPr>
              <w:jc w:val="right"/>
              <w:ind w:right="54"/>
              <w:spacing w:after="0"/>
              <w:rPr>
                <w:sz w:val="20"/>
                <w:szCs w:val="20"/>
                <w:color w:val="auto"/>
              </w:rPr>
            </w:pPr>
            <w:r>
              <w:rPr>
                <w:rFonts w:ascii="Arial" w:cs="Arial" w:eastAsia="Arial" w:hAnsi="Arial"/>
                <w:sz w:val="12"/>
                <w:szCs w:val="12"/>
                <w:b w:val="1"/>
                <w:bCs w:val="1"/>
                <w:color w:val="auto"/>
              </w:rPr>
              <w:t>Volatility</w:t>
            </w:r>
          </w:p>
        </w:tc>
        <w:tc>
          <w:tcPr>
            <w:tcW w:w="1020" w:type="dxa"/>
            <w:vAlign w:val="bottom"/>
            <w:tcBorders>
              <w:bottom w:val="single" w:sz="8" w:color="0956FF"/>
            </w:tcBorders>
            <w:shd w:val="clear" w:color="auto" w:fill="ECEBEB"/>
          </w:tcPr>
          <w:p>
            <w:pPr>
              <w:jc w:val="right"/>
              <w:ind w:right="34"/>
              <w:spacing w:after="0"/>
              <w:rPr>
                <w:sz w:val="20"/>
                <w:szCs w:val="20"/>
                <w:color w:val="auto"/>
              </w:rPr>
            </w:pPr>
            <w:r>
              <w:rPr>
                <w:rFonts w:ascii="Arial" w:cs="Arial" w:eastAsia="Arial" w:hAnsi="Arial"/>
                <w:sz w:val="12"/>
                <w:szCs w:val="12"/>
                <w:b w:val="1"/>
                <w:bCs w:val="1"/>
                <w:color w:val="auto"/>
              </w:rPr>
              <w:t>Interest Rate</w:t>
            </w:r>
          </w:p>
        </w:tc>
        <w:tc>
          <w:tcPr>
            <w:tcW w:w="1100" w:type="dxa"/>
            <w:vAlign w:val="bottom"/>
            <w:tcBorders>
              <w:bottom w:val="single" w:sz="8" w:color="0956FF"/>
            </w:tcBorders>
            <w:shd w:val="clear" w:color="auto" w:fill="ECEBEB"/>
          </w:tcPr>
          <w:p>
            <w:pPr>
              <w:jc w:val="right"/>
              <w:ind w:right="314"/>
              <w:spacing w:after="0"/>
              <w:rPr>
                <w:sz w:val="20"/>
                <w:szCs w:val="20"/>
                <w:color w:val="auto"/>
              </w:rPr>
            </w:pPr>
            <w:r>
              <w:rPr>
                <w:rFonts w:ascii="Arial" w:cs="Arial" w:eastAsia="Arial" w:hAnsi="Arial"/>
                <w:sz w:val="12"/>
                <w:szCs w:val="12"/>
                <w:b w:val="1"/>
                <w:bCs w:val="1"/>
                <w:color w:val="auto"/>
              </w:rPr>
              <w:t>Price</w:t>
            </w:r>
          </w:p>
        </w:tc>
        <w:tc>
          <w:tcPr>
            <w:tcW w:w="80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2"/>
                <w:szCs w:val="12"/>
                <w:b w:val="1"/>
                <w:bCs w:val="1"/>
                <w:color w:val="auto"/>
              </w:rPr>
              <w:t>of Target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880" w:type="dxa"/>
            <w:vAlign w:val="bottom"/>
          </w:tcPr>
          <w:p>
            <w:pPr>
              <w:ind w:left="60"/>
              <w:spacing w:after="0"/>
              <w:rPr>
                <w:sz w:val="20"/>
                <w:szCs w:val="20"/>
                <w:color w:val="auto"/>
              </w:rPr>
            </w:pPr>
            <w:r>
              <w:rPr>
                <w:rFonts w:ascii="Arial" w:cs="Arial" w:eastAsia="Arial" w:hAnsi="Arial"/>
                <w:sz w:val="13"/>
                <w:szCs w:val="13"/>
                <w:color w:val="auto"/>
              </w:rPr>
              <w:t>2/4/2025</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gridSpan w:val="2"/>
          </w:tcPr>
          <w:p>
            <w:pPr>
              <w:ind w:left="640"/>
              <w:spacing w:after="0"/>
              <w:rPr>
                <w:sz w:val="20"/>
                <w:szCs w:val="20"/>
                <w:color w:val="auto"/>
              </w:rPr>
            </w:pPr>
            <w:r>
              <w:rPr>
                <w:rFonts w:ascii="Arial" w:cs="Arial" w:eastAsia="Arial" w:hAnsi="Arial"/>
                <w:sz w:val="13"/>
                <w:szCs w:val="13"/>
                <w:color w:val="auto"/>
              </w:rPr>
              <w:t>$48.57</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34%</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4.25%</w:t>
            </w:r>
          </w:p>
        </w:tc>
        <w:tc>
          <w:tcPr>
            <w:tcW w:w="1100" w:type="dxa"/>
            <w:vAlign w:val="bottom"/>
          </w:tcPr>
          <w:p>
            <w:pPr>
              <w:jc w:val="right"/>
              <w:ind w:right="354"/>
              <w:spacing w:after="0"/>
              <w:rPr>
                <w:sz w:val="20"/>
                <w:szCs w:val="20"/>
                <w:color w:val="auto"/>
              </w:rPr>
            </w:pPr>
            <w:r>
              <w:rPr>
                <w:rFonts w:ascii="Arial" w:cs="Arial" w:eastAsia="Arial" w:hAnsi="Arial"/>
                <w:sz w:val="13"/>
                <w:szCs w:val="13"/>
                <w:color w:val="auto"/>
              </w:rPr>
              <w:t>$53.38</w:t>
            </w:r>
          </w:p>
        </w:tc>
        <w:tc>
          <w:tcPr>
            <w:tcW w:w="800" w:type="dxa"/>
            <w:vAlign w:val="bottom"/>
          </w:tcPr>
          <w:p>
            <w:pPr>
              <w:jc w:val="right"/>
              <w:spacing w:after="0"/>
              <w:rPr>
                <w:sz w:val="20"/>
                <w:szCs w:val="20"/>
                <w:color w:val="auto"/>
              </w:rPr>
            </w:pPr>
            <w:r>
              <w:rPr>
                <w:rFonts w:ascii="Arial" w:cs="Arial" w:eastAsia="Arial" w:hAnsi="Arial"/>
                <w:sz w:val="13"/>
                <w:szCs w:val="13"/>
                <w:color w:val="auto"/>
              </w:rPr>
              <w:t>109.9%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1880" w:type="dxa"/>
            <w:vAlign w:val="bottom"/>
            <w:tcBorders>
              <w:bottom w:val="single" w:sz="8" w:color="D8D7D7"/>
            </w:tcBorders>
          </w:tcPr>
          <w:p>
            <w:pPr>
              <w:spacing w:after="0"/>
              <w:rPr>
                <w:sz w:val="2"/>
                <w:szCs w:val="2"/>
                <w:color w:val="auto"/>
              </w:rPr>
            </w:pPr>
          </w:p>
        </w:tc>
        <w:tc>
          <w:tcPr>
            <w:tcW w:w="46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1140" w:type="dxa"/>
            <w:vAlign w:val="bottom"/>
            <w:tcBorders>
              <w:bottom w:val="single" w:sz="8" w:color="D8D7D7"/>
            </w:tcBorders>
            <w:gridSpan w:val="2"/>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1020" w:type="dxa"/>
            <w:vAlign w:val="bottom"/>
            <w:tcBorders>
              <w:bottom w:val="single" w:sz="8" w:color="D8D7D7"/>
            </w:tcBorders>
          </w:tcPr>
          <w:p>
            <w:pPr>
              <w:spacing w:after="0"/>
              <w:rPr>
                <w:sz w:val="2"/>
                <w:szCs w:val="2"/>
                <w:color w:val="auto"/>
              </w:rPr>
            </w:pPr>
          </w:p>
        </w:tc>
        <w:tc>
          <w:tcPr>
            <w:tcW w:w="110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1880" w:type="dxa"/>
            <w:vAlign w:val="bottom"/>
          </w:tcPr>
          <w:p>
            <w:pPr>
              <w:ind w:left="60"/>
              <w:spacing w:after="0"/>
              <w:rPr>
                <w:sz w:val="20"/>
                <w:szCs w:val="20"/>
                <w:color w:val="auto"/>
              </w:rPr>
            </w:pPr>
            <w:r>
              <w:rPr>
                <w:rFonts w:ascii="Arial" w:cs="Arial" w:eastAsia="Arial" w:hAnsi="Arial"/>
                <w:sz w:val="13"/>
                <w:szCs w:val="13"/>
                <w:color w:val="auto"/>
              </w:rPr>
              <w:t>7/29/2025</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gridSpan w:val="2"/>
          </w:tcPr>
          <w:p>
            <w:pPr>
              <w:jc w:val="right"/>
              <w:ind w:right="16"/>
              <w:spacing w:after="0"/>
              <w:rPr>
                <w:sz w:val="20"/>
                <w:szCs w:val="20"/>
                <w:color w:val="auto"/>
              </w:rPr>
            </w:pPr>
            <w:r>
              <w:rPr>
                <w:rFonts w:ascii="Arial" w:cs="Arial" w:eastAsia="Arial" w:hAnsi="Arial"/>
                <w:sz w:val="13"/>
                <w:szCs w:val="13"/>
                <w:color w:val="auto"/>
              </w:rPr>
              <w:t>$52.11</w:t>
            </w:r>
          </w:p>
        </w:tc>
        <w:tc>
          <w:tcPr>
            <w:tcW w:w="820" w:type="dxa"/>
            <w:vAlign w:val="bottom"/>
          </w:tcPr>
          <w:p>
            <w:pPr>
              <w:jc w:val="right"/>
              <w:ind w:right="34"/>
              <w:spacing w:after="0"/>
              <w:rPr>
                <w:sz w:val="20"/>
                <w:szCs w:val="20"/>
                <w:color w:val="auto"/>
              </w:rPr>
            </w:pPr>
            <w:r>
              <w:rPr>
                <w:rFonts w:ascii="Arial" w:cs="Arial" w:eastAsia="Arial" w:hAnsi="Arial"/>
                <w:sz w:val="13"/>
                <w:szCs w:val="13"/>
                <w:color w:val="auto"/>
              </w:rPr>
              <w:t>32%</w:t>
            </w:r>
          </w:p>
        </w:tc>
        <w:tc>
          <w:tcPr>
            <w:tcW w:w="1020" w:type="dxa"/>
            <w:vAlign w:val="bottom"/>
          </w:tcPr>
          <w:p>
            <w:pPr>
              <w:jc w:val="right"/>
              <w:ind w:right="34"/>
              <w:spacing w:after="0"/>
              <w:rPr>
                <w:sz w:val="20"/>
                <w:szCs w:val="20"/>
                <w:color w:val="auto"/>
              </w:rPr>
            </w:pPr>
            <w:r>
              <w:rPr>
                <w:rFonts w:ascii="Arial" w:cs="Arial" w:eastAsia="Arial" w:hAnsi="Arial"/>
                <w:sz w:val="13"/>
                <w:szCs w:val="13"/>
                <w:color w:val="auto"/>
              </w:rPr>
              <w:t>3.84%</w:t>
            </w:r>
          </w:p>
        </w:tc>
        <w:tc>
          <w:tcPr>
            <w:tcW w:w="1100" w:type="dxa"/>
            <w:vAlign w:val="bottom"/>
          </w:tcPr>
          <w:p>
            <w:pPr>
              <w:jc w:val="right"/>
              <w:ind w:right="354"/>
              <w:spacing w:after="0"/>
              <w:rPr>
                <w:sz w:val="20"/>
                <w:szCs w:val="20"/>
                <w:color w:val="auto"/>
              </w:rPr>
            </w:pPr>
            <w:r>
              <w:rPr>
                <w:rFonts w:ascii="Arial" w:cs="Arial" w:eastAsia="Arial" w:hAnsi="Arial"/>
                <w:sz w:val="13"/>
                <w:szCs w:val="13"/>
                <w:color w:val="auto"/>
              </w:rPr>
              <w:t>$56.85</w:t>
            </w:r>
          </w:p>
        </w:tc>
        <w:tc>
          <w:tcPr>
            <w:tcW w:w="800" w:type="dxa"/>
            <w:vAlign w:val="bottom"/>
          </w:tcPr>
          <w:p>
            <w:pPr>
              <w:jc w:val="right"/>
              <w:spacing w:after="0"/>
              <w:rPr>
                <w:sz w:val="20"/>
                <w:szCs w:val="20"/>
                <w:color w:val="auto"/>
              </w:rPr>
            </w:pPr>
            <w:r>
              <w:rPr>
                <w:rFonts w:ascii="Arial" w:cs="Arial" w:eastAsia="Arial" w:hAnsi="Arial"/>
                <w:sz w:val="13"/>
                <w:szCs w:val="13"/>
                <w:color w:val="auto"/>
              </w:rPr>
              <w:t>109.1%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0" w:type="dxa"/>
            <w:vAlign w:val="bottom"/>
          </w:tcPr>
          <w:p>
            <w:pPr>
              <w:spacing w:after="0"/>
              <w:rPr>
                <w:sz w:val="2"/>
                <w:szCs w:val="2"/>
                <w:color w:val="auto"/>
              </w:rPr>
            </w:pPr>
          </w:p>
        </w:tc>
        <w:tc>
          <w:tcPr>
            <w:tcW w:w="8860" w:type="dxa"/>
            <w:vAlign w:val="bottom"/>
            <w:tcBorders>
              <w:bottom w:val="single" w:sz="8" w:color="0956FF"/>
            </w:tcBorders>
            <w:gridSpan w:val="1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0" w:type="dxa"/>
            <w:vAlign w:val="bottom"/>
          </w:tcPr>
          <w:p>
            <w:pPr>
              <w:spacing w:after="0"/>
              <w:rPr>
                <w:sz w:val="23"/>
                <w:szCs w:val="23"/>
                <w:color w:val="auto"/>
              </w:rPr>
            </w:pPr>
          </w:p>
        </w:tc>
        <w:tc>
          <w:tcPr>
            <w:tcW w:w="8880" w:type="dxa"/>
            <w:vAlign w:val="bottom"/>
            <w:gridSpan w:val="11"/>
          </w:tcPr>
          <w:p>
            <w:pPr>
              <w:spacing w:after="0"/>
              <w:rPr>
                <w:sz w:val="20"/>
                <w:szCs w:val="20"/>
                <w:color w:val="auto"/>
              </w:rPr>
            </w:pPr>
            <w:r>
              <w:rPr>
                <w:rFonts w:ascii="Arial" w:cs="Arial" w:eastAsia="Arial" w:hAnsi="Arial"/>
                <w:sz w:val="14"/>
                <w:szCs w:val="14"/>
                <w:color w:val="auto"/>
              </w:rPr>
              <w:t>There is no dividend yield, as dividends are assumed to be reinvested for the TSR calculation. The maximum award for PSUs for the</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8880" w:type="dxa"/>
            <w:vAlign w:val="bottom"/>
            <w:gridSpan w:val="11"/>
          </w:tcPr>
          <w:p>
            <w:pPr>
              <w:spacing w:after="0"/>
              <w:rPr>
                <w:sz w:val="20"/>
                <w:szCs w:val="20"/>
                <w:color w:val="auto"/>
              </w:rPr>
            </w:pPr>
            <w:r>
              <w:rPr>
                <w:rFonts w:ascii="Arial" w:cs="Arial" w:eastAsia="Arial" w:hAnsi="Arial"/>
                <w:sz w:val="14"/>
                <w:szCs w:val="14"/>
                <w:color w:val="auto"/>
              </w:rPr>
              <w:t>2025–2027 performance period is 200% of PSUs granted. If the maximum level of performance is achieved, the grant date fair values for</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8060" w:type="dxa"/>
            <w:vAlign w:val="bottom"/>
            <w:gridSpan w:val="9"/>
          </w:tcPr>
          <w:p>
            <w:pPr>
              <w:spacing w:after="0"/>
              <w:rPr>
                <w:sz w:val="20"/>
                <w:szCs w:val="20"/>
                <w:color w:val="auto"/>
              </w:rPr>
            </w:pPr>
            <w:r>
              <w:rPr>
                <w:rFonts w:ascii="Arial" w:cs="Arial" w:eastAsia="Arial" w:hAnsi="Arial"/>
                <w:sz w:val="14"/>
                <w:szCs w:val="14"/>
                <w:color w:val="auto"/>
              </w:rPr>
              <w:t>the PSUs granted on 2/4/2025 would be $32,747,884 (Ms. Barra), $16,062,142 (Mr. Jacobson), $22,553,146 (Mr. Reuss), and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8880" w:type="dxa"/>
            <w:vAlign w:val="bottom"/>
            <w:gridSpan w:val="11"/>
          </w:tcPr>
          <w:p>
            <w:pPr>
              <w:spacing w:after="0"/>
              <w:rPr>
                <w:sz w:val="20"/>
                <w:szCs w:val="20"/>
                <w:color w:val="auto"/>
              </w:rPr>
            </w:pPr>
            <w:r>
              <w:rPr>
                <w:rFonts w:ascii="Arial" w:cs="Arial" w:eastAsia="Arial" w:hAnsi="Arial"/>
                <w:sz w:val="14"/>
                <w:szCs w:val="14"/>
                <w:color w:val="auto"/>
              </w:rPr>
              <w:t>$11,052,534 (Mr. Harvey). If the maximum level of performance is achieved, the grant date fair value for the PSUs granted on 7/29/2025</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Arial" w:cs="Arial" w:eastAsia="Arial" w:hAnsi="Arial"/>
                <w:sz w:val="14"/>
                <w:szCs w:val="14"/>
                <w:color w:val="auto"/>
              </w:rPr>
              <w:t>would be $21,375,574 for Mr. Anderson.</w:t>
            </w: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0" w:type="dxa"/>
            <w:vAlign w:val="bottom"/>
          </w:tcPr>
          <w:p>
            <w:pPr>
              <w:spacing w:after="0"/>
              <w:rPr>
                <w:sz w:val="20"/>
                <w:szCs w:val="20"/>
                <w:color w:val="auto"/>
              </w:rPr>
            </w:pPr>
            <w:r>
              <w:rPr>
                <w:rFonts w:ascii="Arial" w:cs="Arial" w:eastAsia="Arial" w:hAnsi="Arial"/>
                <w:sz w:val="9"/>
                <w:szCs w:val="9"/>
                <w:color w:val="auto"/>
              </w:rPr>
              <w:t>(3)</w:t>
            </w:r>
          </w:p>
        </w:tc>
        <w:tc>
          <w:tcPr>
            <w:tcW w:w="8880" w:type="dxa"/>
            <w:vAlign w:val="bottom"/>
            <w:gridSpan w:val="11"/>
          </w:tcPr>
          <w:p>
            <w:pPr>
              <w:spacing w:after="0"/>
              <w:rPr>
                <w:sz w:val="20"/>
                <w:szCs w:val="20"/>
                <w:color w:val="auto"/>
              </w:rPr>
            </w:pPr>
            <w:r>
              <w:rPr>
                <w:rFonts w:ascii="Arial" w:cs="Arial" w:eastAsia="Arial" w:hAnsi="Arial"/>
                <w:sz w:val="14"/>
                <w:szCs w:val="14"/>
                <w:color w:val="auto"/>
              </w:rPr>
              <w:t>Option Awards displays the grant date fair value of stock options issued under the LTIP, computed in accordance with FASB ASC Topic</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6960" w:type="dxa"/>
            <w:vAlign w:val="bottom"/>
            <w:gridSpan w:val="8"/>
          </w:tcPr>
          <w:p>
            <w:pPr>
              <w:spacing w:after="0"/>
              <w:rPr>
                <w:sz w:val="20"/>
                <w:szCs w:val="20"/>
                <w:color w:val="auto"/>
              </w:rPr>
            </w:pPr>
            <w:r>
              <w:rPr>
                <w:rFonts w:ascii="Arial" w:cs="Arial" w:eastAsia="Arial" w:hAnsi="Arial"/>
                <w:sz w:val="14"/>
                <w:szCs w:val="14"/>
                <w:color w:val="auto"/>
              </w:rPr>
              <w:t>718 using a Black-Scholes valuation. No stock options were granted to NEOs in 2024 and 2025.</w:t>
            </w: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Arial" w:cs="Arial" w:eastAsia="Arial" w:hAnsi="Arial"/>
                <w:sz w:val="9"/>
                <w:szCs w:val="9"/>
                <w:color w:val="auto"/>
              </w:rPr>
              <w:t>(4)</w:t>
            </w:r>
          </w:p>
        </w:tc>
        <w:tc>
          <w:tcPr>
            <w:tcW w:w="8880" w:type="dxa"/>
            <w:vAlign w:val="bottom"/>
            <w:gridSpan w:val="11"/>
          </w:tcPr>
          <w:p>
            <w:pPr>
              <w:spacing w:after="0"/>
              <w:rPr>
                <w:sz w:val="20"/>
                <w:szCs w:val="20"/>
                <w:color w:val="auto"/>
              </w:rPr>
            </w:pPr>
            <w:r>
              <w:rPr>
                <w:rFonts w:ascii="Arial" w:cs="Arial" w:eastAsia="Arial" w:hAnsi="Arial"/>
                <w:sz w:val="14"/>
                <w:szCs w:val="14"/>
                <w:color w:val="auto"/>
              </w:rPr>
              <w:t>All NEOs were eligible for a payment under the STIP for 2025 performance based on the Company’s achievement of annual performance</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8880" w:type="dxa"/>
            <w:vAlign w:val="bottom"/>
            <w:gridSpan w:val="11"/>
          </w:tcPr>
          <w:p>
            <w:pPr>
              <w:spacing w:after="0"/>
              <w:rPr>
                <w:sz w:val="20"/>
                <w:szCs w:val="20"/>
                <w:color w:val="auto"/>
              </w:rPr>
            </w:pPr>
            <w:r>
              <w:rPr>
                <w:rFonts w:ascii="Arial" w:cs="Arial" w:eastAsia="Arial" w:hAnsi="Arial"/>
                <w:sz w:val="14"/>
                <w:szCs w:val="14"/>
                <w:color w:val="auto"/>
              </w:rPr>
              <w:t>goals. For Mr. Anderson, includes $3,000,000 in performance cash that vested on December 15, 2025, based on achievement of</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1880" w:type="dxa"/>
            <w:vAlign w:val="bottom"/>
          </w:tcPr>
          <w:p>
            <w:pPr>
              <w:spacing w:after="0"/>
              <w:rPr>
                <w:sz w:val="20"/>
                <w:szCs w:val="20"/>
                <w:color w:val="auto"/>
              </w:rPr>
            </w:pPr>
            <w:r>
              <w:rPr>
                <w:rFonts w:ascii="Arial" w:cs="Arial" w:eastAsia="Arial" w:hAnsi="Arial"/>
                <w:sz w:val="14"/>
                <w:szCs w:val="14"/>
                <w:color w:val="auto"/>
              </w:rPr>
              <w:t>individual goals.</w:t>
            </w: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20"/>
                <w:szCs w:val="20"/>
                <w:color w:val="auto"/>
              </w:rPr>
            </w:pPr>
            <w:r>
              <w:rPr>
                <w:rFonts w:ascii="Arial" w:cs="Arial" w:eastAsia="Arial" w:hAnsi="Arial"/>
                <w:sz w:val="9"/>
                <w:szCs w:val="9"/>
                <w:color w:val="auto"/>
              </w:rPr>
              <w:t>(5)</w:t>
            </w:r>
          </w:p>
        </w:tc>
        <w:tc>
          <w:tcPr>
            <w:tcW w:w="8880" w:type="dxa"/>
            <w:vAlign w:val="bottom"/>
            <w:gridSpan w:val="11"/>
          </w:tcPr>
          <w:p>
            <w:pPr>
              <w:spacing w:after="0"/>
              <w:rPr>
                <w:sz w:val="20"/>
                <w:szCs w:val="20"/>
                <w:color w:val="auto"/>
              </w:rPr>
            </w:pPr>
            <w:r>
              <w:rPr>
                <w:rFonts w:ascii="Arial" w:cs="Arial" w:eastAsia="Arial" w:hAnsi="Arial"/>
                <w:sz w:val="14"/>
                <w:szCs w:val="14"/>
                <w:color w:val="auto"/>
              </w:rPr>
              <w:t>These amounts represent the actuarial change in the present value of the NEO’s accrued benefit for 2025 attributed to year-over-year</w:t>
            </w: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8880" w:type="dxa"/>
            <w:vAlign w:val="bottom"/>
            <w:gridSpan w:val="11"/>
          </w:tcPr>
          <w:p>
            <w:pPr>
              <w:spacing w:after="0"/>
              <w:rPr>
                <w:sz w:val="20"/>
                <w:szCs w:val="20"/>
                <w:color w:val="auto"/>
              </w:rPr>
            </w:pPr>
            <w:r>
              <w:rPr>
                <w:rFonts w:ascii="Arial" w:cs="Arial" w:eastAsia="Arial" w:hAnsi="Arial"/>
                <w:sz w:val="14"/>
                <w:szCs w:val="14"/>
                <w:color w:val="auto"/>
              </w:rPr>
              <w:t>variances in applicable discount rates, lump sum interest rates, mortality rates, and employer contributions to tax-qualified and non-tax-</w:t>
            </w: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3980" w:type="dxa"/>
            <w:vAlign w:val="bottom"/>
            <w:gridSpan w:val="4"/>
          </w:tcPr>
          <w:p>
            <w:pPr>
              <w:spacing w:after="0"/>
              <w:rPr>
                <w:sz w:val="20"/>
                <w:szCs w:val="20"/>
                <w:color w:val="auto"/>
              </w:rPr>
            </w:pPr>
            <w:r>
              <w:rPr>
                <w:rFonts w:ascii="Arial" w:cs="Arial" w:eastAsia="Arial" w:hAnsi="Arial"/>
                <w:sz w:val="14"/>
                <w:szCs w:val="14"/>
                <w:color w:val="auto"/>
              </w:rPr>
              <w:t>qualified plans, as described in “Pension Benefits” on page</w:t>
            </w:r>
          </w:p>
        </w:tc>
        <w:tc>
          <w:tcPr>
            <w:tcW w:w="4900" w:type="dxa"/>
            <w:vAlign w:val="bottom"/>
            <w:gridSpan w:val="7"/>
          </w:tcPr>
          <w:p>
            <w:pPr>
              <w:ind w:left="40"/>
              <w:spacing w:after="0"/>
              <w:rPr>
                <w:sz w:val="20"/>
                <w:szCs w:val="20"/>
                <w:color w:val="auto"/>
              </w:rPr>
            </w:pPr>
            <w:r>
              <w:rPr>
                <w:rFonts w:ascii="Arial" w:cs="Arial" w:eastAsia="Arial" w:hAnsi="Arial"/>
                <w:sz w:val="14"/>
                <w:szCs w:val="14"/>
                <w:color w:val="auto"/>
              </w:rPr>
              <w:t>66. The Company does not credit interest at above-market rates to any</w:t>
            </w:r>
          </w:p>
        </w:tc>
        <w:tc>
          <w:tcPr>
            <w:tcW w:w="0" w:type="dxa"/>
            <w:vAlign w:val="bottom"/>
          </w:tcPr>
          <w:p>
            <w:pPr>
              <w:spacing w:after="0"/>
              <w:rPr>
                <w:sz w:val="1"/>
                <w:szCs w:val="1"/>
                <w:color w:val="auto"/>
              </w:rPr>
            </w:pPr>
          </w:p>
        </w:tc>
      </w:tr>
    </w:tbl>
    <w:p>
      <w:pPr>
        <w:ind w:left="200" w:right="100"/>
        <w:spacing w:after="0" w:line="275" w:lineRule="auto"/>
        <w:rPr>
          <w:sz w:val="20"/>
          <w:szCs w:val="20"/>
          <w:color w:val="auto"/>
        </w:rPr>
      </w:pPr>
      <w:r>
        <w:rPr>
          <w:rFonts w:ascii="Arial" w:cs="Arial" w:eastAsia="Arial" w:hAnsi="Arial"/>
          <w:sz w:val="14"/>
          <w:szCs w:val="14"/>
          <w:color w:val="auto"/>
        </w:rPr>
        <w:t>deferred retirement accounts, and no interest amounts are included in these totals. In 2025, the actuarial present value decreased in the amount of $69,758 (Ms. Barra) and $11,009 (Mr. Reuss). Messrs. Jacobson, Anderson and Harvey are not eligible to participate in the GM Salaried Retirement Plan (“SRP”) and GM Executive Retirement Plan (“DB ERP”) based on their respective dates of service. Mr. Harvey participates in the Vauxhall Motors Pension Plan (“UK VML Plan”), but is not eligible to participate in the SRP or DB ERP.</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62</w:t>
      </w:r>
    </w:p>
    <w:p>
      <w:pPr>
        <w:sectPr>
          <w:pgSz w:w="11900" w:h="16838" w:orient="portrait"/>
          <w:cols w:equalWidth="0" w:num="1">
            <w:col w:w="9080"/>
          </w:cols>
          <w:pgMar w:left="1400" w:top="657" w:right="141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ind w:left="200" w:hanging="192"/>
        <w:spacing w:after="0"/>
        <w:tabs>
          <w:tab w:leader="none" w:pos="200"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The amounts included as All Other Compensation are described in the table below.</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All Other Compensation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20" w:type="dxa"/>
            <w:vAlign w:val="bottom"/>
            <w:shd w:val="clear" w:color="auto" w:fill="ECEBEB"/>
          </w:tcPr>
          <w:p>
            <w:pPr>
              <w:spacing w:after="0"/>
              <w:rPr>
                <w:sz w:val="21"/>
                <w:szCs w:val="21"/>
                <w:color w:val="auto"/>
              </w:rPr>
            </w:pPr>
          </w:p>
        </w:tc>
        <w:tc>
          <w:tcPr>
            <w:tcW w:w="1240" w:type="dxa"/>
            <w:vAlign w:val="bottom"/>
            <w:shd w:val="clear" w:color="auto" w:fill="ECEBEB"/>
          </w:tcPr>
          <w:p>
            <w:pPr>
              <w:jc w:val="center"/>
              <w:ind w:left="282"/>
              <w:spacing w:after="0"/>
              <w:rPr>
                <w:sz w:val="20"/>
                <w:szCs w:val="20"/>
                <w:color w:val="auto"/>
              </w:rPr>
            </w:pPr>
            <w:r>
              <w:rPr>
                <w:rFonts w:ascii="Arial" w:cs="Arial" w:eastAsia="Arial" w:hAnsi="Arial"/>
                <w:sz w:val="14"/>
                <w:szCs w:val="14"/>
                <w:b w:val="1"/>
                <w:bCs w:val="1"/>
                <w:color w:val="auto"/>
                <w:w w:val="99"/>
              </w:rPr>
              <w:t>M.T. Barra</w:t>
            </w:r>
          </w:p>
        </w:tc>
        <w:tc>
          <w:tcPr>
            <w:tcW w:w="1160" w:type="dxa"/>
            <w:vAlign w:val="bottom"/>
            <w:shd w:val="clear" w:color="auto" w:fill="ECEBEB"/>
          </w:tcPr>
          <w:p>
            <w:pPr>
              <w:jc w:val="right"/>
              <w:ind w:right="82"/>
              <w:spacing w:after="0"/>
              <w:rPr>
                <w:sz w:val="20"/>
                <w:szCs w:val="20"/>
                <w:color w:val="auto"/>
              </w:rPr>
            </w:pPr>
            <w:r>
              <w:rPr>
                <w:rFonts w:ascii="Arial" w:cs="Arial" w:eastAsia="Arial" w:hAnsi="Arial"/>
                <w:sz w:val="14"/>
                <w:szCs w:val="14"/>
                <w:b w:val="1"/>
                <w:bCs w:val="1"/>
                <w:color w:val="auto"/>
              </w:rPr>
              <w:t>P.A. Jacobson</w:t>
            </w:r>
          </w:p>
        </w:tc>
        <w:tc>
          <w:tcPr>
            <w:tcW w:w="96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M.L. Reuss</w:t>
            </w:r>
          </w:p>
        </w:tc>
        <w:tc>
          <w:tcPr>
            <w:tcW w:w="1140" w:type="dxa"/>
            <w:vAlign w:val="bottom"/>
            <w:shd w:val="clear" w:color="auto" w:fill="ECEBEB"/>
          </w:tcPr>
          <w:p>
            <w:pPr>
              <w:jc w:val="right"/>
              <w:ind w:right="42"/>
              <w:spacing w:after="0"/>
              <w:rPr>
                <w:sz w:val="20"/>
                <w:szCs w:val="20"/>
                <w:color w:val="auto"/>
              </w:rPr>
            </w:pPr>
            <w:r>
              <w:rPr>
                <w:rFonts w:ascii="Arial" w:cs="Arial" w:eastAsia="Arial" w:hAnsi="Arial"/>
                <w:sz w:val="14"/>
                <w:szCs w:val="14"/>
                <w:b w:val="1"/>
                <w:bCs w:val="1"/>
                <w:color w:val="auto"/>
              </w:rPr>
              <w:t>S.J. Anderson</w:t>
            </w:r>
          </w:p>
        </w:tc>
        <w:tc>
          <w:tcPr>
            <w:tcW w:w="96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R.V. Harvey</w:t>
            </w:r>
          </w:p>
        </w:tc>
      </w:tr>
      <w:tr>
        <w:trPr>
          <w:trHeight w:val="171"/>
        </w:trPr>
        <w:tc>
          <w:tcPr>
            <w:tcW w:w="3620" w:type="dxa"/>
            <w:vAlign w:val="bottom"/>
            <w:tcBorders>
              <w:bottom w:val="single" w:sz="8" w:color="0956FF"/>
            </w:tcBorders>
            <w:shd w:val="clear" w:color="auto" w:fill="ECEBEB"/>
          </w:tcPr>
          <w:p>
            <w:pPr>
              <w:spacing w:after="0"/>
              <w:rPr>
                <w:sz w:val="14"/>
                <w:szCs w:val="14"/>
                <w:color w:val="auto"/>
              </w:rPr>
            </w:pPr>
          </w:p>
        </w:tc>
        <w:tc>
          <w:tcPr>
            <w:tcW w:w="1240" w:type="dxa"/>
            <w:vAlign w:val="bottom"/>
            <w:tcBorders>
              <w:bottom w:val="single" w:sz="8" w:color="0956FF"/>
            </w:tcBorders>
            <w:shd w:val="clear" w:color="auto" w:fill="ECEBEB"/>
          </w:tcPr>
          <w:p>
            <w:pPr>
              <w:jc w:val="right"/>
              <w:ind w:right="22"/>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956FF"/>
            </w:tcBorders>
            <w:shd w:val="clear" w:color="auto" w:fill="ECEBEB"/>
          </w:tcPr>
          <w:p>
            <w:pPr>
              <w:jc w:val="right"/>
              <w:ind w:right="12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956FF"/>
            </w:tcBorders>
            <w:shd w:val="clear" w:color="auto" w:fill="ECEBEB"/>
          </w:tcPr>
          <w:p>
            <w:pPr>
              <w:jc w:val="right"/>
              <w:ind w:right="22"/>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956FF"/>
            </w:tcBorders>
            <w:shd w:val="clear" w:color="auto" w:fill="ECEBEB"/>
          </w:tcPr>
          <w:p>
            <w:pPr>
              <w:jc w:val="right"/>
              <w:ind w:right="102"/>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36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Perquisites and Other Personal Benefits </w:t>
            </w:r>
            <w:r>
              <w:rPr>
                <w:rFonts w:ascii="Arial" w:cs="Arial" w:eastAsia="Arial" w:hAnsi="Arial"/>
                <w:sz w:val="21"/>
                <w:szCs w:val="21"/>
                <w:color w:val="auto"/>
                <w:vertAlign w:val="superscript"/>
              </w:rPr>
              <w:t>(1)</w:t>
            </w:r>
          </w:p>
        </w:tc>
        <w:tc>
          <w:tcPr>
            <w:tcW w:w="1240" w:type="dxa"/>
            <w:vAlign w:val="bottom"/>
            <w:tcBorders>
              <w:bottom w:val="single" w:sz="8" w:color="D8D7D7"/>
            </w:tcBorders>
          </w:tcPr>
          <w:p>
            <w:pPr>
              <w:jc w:val="center"/>
              <w:ind w:left="302"/>
              <w:spacing w:after="0"/>
              <w:rPr>
                <w:sz w:val="20"/>
                <w:szCs w:val="20"/>
                <w:color w:val="auto"/>
              </w:rPr>
            </w:pPr>
            <w:r>
              <w:rPr>
                <w:rFonts w:ascii="Arial" w:cs="Arial" w:eastAsia="Arial" w:hAnsi="Arial"/>
                <w:sz w:val="16"/>
                <w:szCs w:val="16"/>
                <w:color w:val="auto"/>
              </w:rPr>
              <w:t>539,764</w:t>
            </w:r>
          </w:p>
        </w:tc>
        <w:tc>
          <w:tcPr>
            <w:tcW w:w="1160" w:type="dxa"/>
            <w:vAlign w:val="bottom"/>
            <w:tcBorders>
              <w:bottom w:val="single" w:sz="8" w:color="D8D7D7"/>
            </w:tcBorders>
          </w:tcPr>
          <w:p>
            <w:pPr>
              <w:jc w:val="right"/>
              <w:ind w:right="142"/>
              <w:spacing w:after="0"/>
              <w:rPr>
                <w:sz w:val="20"/>
                <w:szCs w:val="20"/>
                <w:color w:val="auto"/>
              </w:rPr>
            </w:pPr>
            <w:r>
              <w:rPr>
                <w:rFonts w:ascii="Arial" w:cs="Arial" w:eastAsia="Arial" w:hAnsi="Arial"/>
                <w:sz w:val="16"/>
                <w:szCs w:val="16"/>
                <w:color w:val="auto"/>
              </w:rPr>
              <w:t>42,516</w:t>
            </w:r>
          </w:p>
        </w:tc>
        <w:tc>
          <w:tcPr>
            <w:tcW w:w="960" w:type="dxa"/>
            <w:vAlign w:val="bottom"/>
            <w:tcBorders>
              <w:bottom w:val="single" w:sz="8" w:color="D8D7D7"/>
            </w:tcBorders>
          </w:tcPr>
          <w:p>
            <w:pPr>
              <w:jc w:val="right"/>
              <w:ind w:right="42"/>
              <w:spacing w:after="0"/>
              <w:rPr>
                <w:sz w:val="20"/>
                <w:szCs w:val="20"/>
                <w:color w:val="auto"/>
              </w:rPr>
            </w:pPr>
            <w:r>
              <w:rPr>
                <w:rFonts w:ascii="Arial" w:cs="Arial" w:eastAsia="Arial" w:hAnsi="Arial"/>
                <w:sz w:val="16"/>
                <w:szCs w:val="16"/>
                <w:color w:val="auto"/>
              </w:rPr>
              <w:t>735,414</w:t>
            </w:r>
          </w:p>
        </w:tc>
        <w:tc>
          <w:tcPr>
            <w:tcW w:w="1140" w:type="dxa"/>
            <w:vAlign w:val="bottom"/>
            <w:tcBorders>
              <w:bottom w:val="single" w:sz="8" w:color="D8D7D7"/>
            </w:tcBorders>
          </w:tcPr>
          <w:p>
            <w:pPr>
              <w:jc w:val="right"/>
              <w:ind w:right="142"/>
              <w:spacing w:after="0"/>
              <w:rPr>
                <w:sz w:val="20"/>
                <w:szCs w:val="20"/>
                <w:color w:val="auto"/>
              </w:rPr>
            </w:pPr>
            <w:r>
              <w:rPr>
                <w:rFonts w:ascii="Arial" w:cs="Arial" w:eastAsia="Arial" w:hAnsi="Arial"/>
                <w:sz w:val="16"/>
                <w:szCs w:val="16"/>
                <w:color w:val="auto"/>
              </w:rPr>
              <w:t>38,594</w:t>
            </w:r>
          </w:p>
        </w:tc>
        <w:tc>
          <w:tcPr>
            <w:tcW w:w="960" w:type="dxa"/>
            <w:vAlign w:val="bottom"/>
            <w:tcBorders>
              <w:bottom w:val="single" w:sz="8" w:color="D8D7D7"/>
            </w:tcBorders>
          </w:tcPr>
          <w:p>
            <w:pPr>
              <w:jc w:val="right"/>
              <w:ind w:right="2"/>
              <w:spacing w:after="0"/>
              <w:rPr>
                <w:sz w:val="20"/>
                <w:szCs w:val="20"/>
                <w:color w:val="auto"/>
              </w:rPr>
            </w:pPr>
            <w:r>
              <w:rPr>
                <w:rFonts w:ascii="Arial" w:cs="Arial" w:eastAsia="Arial" w:hAnsi="Arial"/>
                <w:sz w:val="16"/>
                <w:szCs w:val="16"/>
                <w:color w:val="auto"/>
              </w:rPr>
              <w:t>28,143</w:t>
            </w:r>
          </w:p>
        </w:tc>
      </w:tr>
      <w:tr>
        <w:trPr>
          <w:trHeight w:val="250"/>
        </w:trPr>
        <w:tc>
          <w:tcPr>
            <w:tcW w:w="36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Employer Contributions to Savings Plans </w:t>
            </w:r>
            <w:r>
              <w:rPr>
                <w:rFonts w:ascii="Arial" w:cs="Arial" w:eastAsia="Arial" w:hAnsi="Arial"/>
                <w:sz w:val="21"/>
                <w:szCs w:val="21"/>
                <w:color w:val="auto"/>
                <w:vertAlign w:val="superscript"/>
              </w:rPr>
              <w:t>(2)</w:t>
            </w:r>
          </w:p>
        </w:tc>
        <w:tc>
          <w:tcPr>
            <w:tcW w:w="1240" w:type="dxa"/>
            <w:vAlign w:val="bottom"/>
            <w:tcBorders>
              <w:bottom w:val="single" w:sz="8" w:color="D8D7D7"/>
            </w:tcBorders>
          </w:tcPr>
          <w:p>
            <w:pPr>
              <w:jc w:val="right"/>
              <w:ind w:right="82"/>
              <w:spacing w:after="0"/>
              <w:rPr>
                <w:sz w:val="20"/>
                <w:szCs w:val="20"/>
                <w:color w:val="auto"/>
              </w:rPr>
            </w:pPr>
            <w:r>
              <w:rPr>
                <w:rFonts w:ascii="Arial" w:cs="Arial" w:eastAsia="Arial" w:hAnsi="Arial"/>
                <w:sz w:val="16"/>
                <w:szCs w:val="16"/>
                <w:color w:val="auto"/>
              </w:rPr>
              <w:t>652,080</w:t>
            </w:r>
          </w:p>
        </w:tc>
        <w:tc>
          <w:tcPr>
            <w:tcW w:w="1160" w:type="dxa"/>
            <w:vAlign w:val="bottom"/>
            <w:tcBorders>
              <w:bottom w:val="single" w:sz="8" w:color="D8D7D7"/>
            </w:tcBorders>
          </w:tcPr>
          <w:p>
            <w:pPr>
              <w:jc w:val="right"/>
              <w:ind w:right="142"/>
              <w:spacing w:after="0"/>
              <w:rPr>
                <w:sz w:val="20"/>
                <w:szCs w:val="20"/>
                <w:color w:val="auto"/>
              </w:rPr>
            </w:pPr>
            <w:r>
              <w:rPr>
                <w:rFonts w:ascii="Arial" w:cs="Arial" w:eastAsia="Arial" w:hAnsi="Arial"/>
                <w:sz w:val="16"/>
                <w:szCs w:val="16"/>
                <w:color w:val="auto"/>
              </w:rPr>
              <w:t>215,256</w:t>
            </w:r>
          </w:p>
        </w:tc>
        <w:tc>
          <w:tcPr>
            <w:tcW w:w="960" w:type="dxa"/>
            <w:vAlign w:val="bottom"/>
            <w:tcBorders>
              <w:bottom w:val="single" w:sz="8" w:color="D8D7D7"/>
            </w:tcBorders>
          </w:tcPr>
          <w:p>
            <w:pPr>
              <w:jc w:val="right"/>
              <w:ind w:right="62"/>
              <w:spacing w:after="0"/>
              <w:rPr>
                <w:sz w:val="20"/>
                <w:szCs w:val="20"/>
                <w:color w:val="auto"/>
              </w:rPr>
            </w:pPr>
            <w:r>
              <w:rPr>
                <w:rFonts w:ascii="Arial" w:cs="Arial" w:eastAsia="Arial" w:hAnsi="Arial"/>
                <w:sz w:val="16"/>
                <w:szCs w:val="16"/>
                <w:color w:val="auto"/>
              </w:rPr>
              <w:t>322,746</w:t>
            </w:r>
          </w:p>
        </w:tc>
        <w:tc>
          <w:tcPr>
            <w:tcW w:w="1140" w:type="dxa"/>
            <w:vAlign w:val="bottom"/>
            <w:tcBorders>
              <w:bottom w:val="single" w:sz="8" w:color="D8D7D7"/>
            </w:tcBorders>
          </w:tcPr>
          <w:p>
            <w:pPr>
              <w:jc w:val="right"/>
              <w:ind w:right="122"/>
              <w:spacing w:after="0"/>
              <w:rPr>
                <w:sz w:val="20"/>
                <w:szCs w:val="20"/>
                <w:color w:val="auto"/>
              </w:rPr>
            </w:pPr>
            <w:r>
              <w:rPr>
                <w:rFonts w:ascii="Arial" w:cs="Arial" w:eastAsia="Arial" w:hAnsi="Arial"/>
                <w:sz w:val="16"/>
                <w:szCs w:val="16"/>
                <w:color w:val="auto"/>
              </w:rPr>
              <w:t>55,833</w:t>
            </w:r>
          </w:p>
        </w:tc>
        <w:tc>
          <w:tcPr>
            <w:tcW w:w="960" w:type="dxa"/>
            <w:vAlign w:val="bottom"/>
            <w:tcBorders>
              <w:bottom w:val="single" w:sz="8" w:color="D8D7D7"/>
            </w:tcBorders>
          </w:tcPr>
          <w:p>
            <w:pPr>
              <w:jc w:val="right"/>
              <w:ind w:right="2"/>
              <w:spacing w:after="0"/>
              <w:rPr>
                <w:sz w:val="20"/>
                <w:szCs w:val="20"/>
                <w:color w:val="auto"/>
              </w:rPr>
            </w:pPr>
            <w:r>
              <w:rPr>
                <w:rFonts w:ascii="Arial" w:cs="Arial" w:eastAsia="Arial" w:hAnsi="Arial"/>
                <w:sz w:val="16"/>
                <w:szCs w:val="16"/>
                <w:color w:val="auto"/>
              </w:rPr>
              <w:t>153,724</w:t>
            </w:r>
          </w:p>
        </w:tc>
      </w:tr>
      <w:tr>
        <w:trPr>
          <w:trHeight w:val="250"/>
        </w:trPr>
        <w:tc>
          <w:tcPr>
            <w:tcW w:w="36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Life and Other Insurance Benefits </w:t>
            </w:r>
            <w:r>
              <w:rPr>
                <w:rFonts w:ascii="Arial" w:cs="Arial" w:eastAsia="Arial" w:hAnsi="Arial"/>
                <w:sz w:val="21"/>
                <w:szCs w:val="21"/>
                <w:color w:val="auto"/>
                <w:vertAlign w:val="superscript"/>
              </w:rPr>
              <w:t>(3)</w:t>
            </w:r>
          </w:p>
        </w:tc>
        <w:tc>
          <w:tcPr>
            <w:tcW w:w="1240" w:type="dxa"/>
            <w:vAlign w:val="bottom"/>
            <w:tcBorders>
              <w:bottom w:val="single" w:sz="8" w:color="D8D7D7"/>
            </w:tcBorders>
          </w:tcPr>
          <w:p>
            <w:pPr>
              <w:jc w:val="right"/>
              <w:ind w:right="82"/>
              <w:spacing w:after="0"/>
              <w:rPr>
                <w:sz w:val="20"/>
                <w:szCs w:val="20"/>
                <w:color w:val="auto"/>
              </w:rPr>
            </w:pPr>
            <w:r>
              <w:rPr>
                <w:rFonts w:ascii="Arial" w:cs="Arial" w:eastAsia="Arial" w:hAnsi="Arial"/>
                <w:sz w:val="16"/>
                <w:szCs w:val="16"/>
                <w:color w:val="auto"/>
              </w:rPr>
              <w:t>24,054</w:t>
            </w:r>
          </w:p>
        </w:tc>
        <w:tc>
          <w:tcPr>
            <w:tcW w:w="1160" w:type="dxa"/>
            <w:vAlign w:val="bottom"/>
            <w:tcBorders>
              <w:bottom w:val="single" w:sz="8" w:color="D8D7D7"/>
            </w:tcBorders>
          </w:tcPr>
          <w:p>
            <w:pPr>
              <w:jc w:val="right"/>
              <w:ind w:right="162"/>
              <w:spacing w:after="0"/>
              <w:rPr>
                <w:sz w:val="20"/>
                <w:szCs w:val="20"/>
                <w:color w:val="auto"/>
              </w:rPr>
            </w:pPr>
            <w:r>
              <w:rPr>
                <w:rFonts w:ascii="Arial" w:cs="Arial" w:eastAsia="Arial" w:hAnsi="Arial"/>
                <w:sz w:val="16"/>
                <w:szCs w:val="16"/>
                <w:color w:val="auto"/>
              </w:rPr>
              <w:t>6,098</w:t>
            </w:r>
          </w:p>
        </w:tc>
        <w:tc>
          <w:tcPr>
            <w:tcW w:w="960" w:type="dxa"/>
            <w:vAlign w:val="bottom"/>
            <w:tcBorders>
              <w:bottom w:val="single" w:sz="8" w:color="D8D7D7"/>
            </w:tcBorders>
          </w:tcPr>
          <w:p>
            <w:pPr>
              <w:jc w:val="right"/>
              <w:ind w:right="22"/>
              <w:spacing w:after="0"/>
              <w:rPr>
                <w:sz w:val="20"/>
                <w:szCs w:val="20"/>
                <w:color w:val="auto"/>
              </w:rPr>
            </w:pPr>
            <w:r>
              <w:rPr>
                <w:rFonts w:ascii="Arial" w:cs="Arial" w:eastAsia="Arial" w:hAnsi="Arial"/>
                <w:sz w:val="16"/>
                <w:szCs w:val="16"/>
                <w:color w:val="auto"/>
              </w:rPr>
              <w:t>15,309</w:t>
            </w:r>
          </w:p>
        </w:tc>
        <w:tc>
          <w:tcPr>
            <w:tcW w:w="1140" w:type="dxa"/>
            <w:vAlign w:val="bottom"/>
            <w:tcBorders>
              <w:bottom w:val="single" w:sz="8" w:color="D8D7D7"/>
            </w:tcBorders>
          </w:tcPr>
          <w:p>
            <w:pPr>
              <w:jc w:val="right"/>
              <w:ind w:right="122"/>
              <w:spacing w:after="0"/>
              <w:rPr>
                <w:sz w:val="20"/>
                <w:szCs w:val="20"/>
                <w:color w:val="auto"/>
              </w:rPr>
            </w:pPr>
            <w:r>
              <w:rPr>
                <w:rFonts w:ascii="Arial" w:cs="Arial" w:eastAsia="Arial" w:hAnsi="Arial"/>
                <w:sz w:val="16"/>
                <w:szCs w:val="16"/>
                <w:color w:val="auto"/>
              </w:rPr>
              <w:t>858</w:t>
            </w:r>
          </w:p>
        </w:tc>
        <w:tc>
          <w:tcPr>
            <w:tcW w:w="960" w:type="dxa"/>
            <w:vAlign w:val="bottom"/>
            <w:tcBorders>
              <w:bottom w:val="single" w:sz="8" w:color="D8D7D7"/>
            </w:tcBorders>
          </w:tcPr>
          <w:p>
            <w:pPr>
              <w:jc w:val="right"/>
              <w:ind w:right="22"/>
              <w:spacing w:after="0"/>
              <w:rPr>
                <w:sz w:val="20"/>
                <w:szCs w:val="20"/>
                <w:color w:val="auto"/>
              </w:rPr>
            </w:pPr>
            <w:r>
              <w:rPr>
                <w:rFonts w:ascii="Arial" w:cs="Arial" w:eastAsia="Arial" w:hAnsi="Arial"/>
                <w:sz w:val="16"/>
                <w:szCs w:val="16"/>
                <w:color w:val="auto"/>
              </w:rPr>
              <w:t>5,426</w:t>
            </w:r>
          </w:p>
        </w:tc>
      </w:tr>
      <w:tr>
        <w:trPr>
          <w:trHeight w:val="250"/>
        </w:trPr>
        <w:tc>
          <w:tcPr>
            <w:tcW w:w="36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(4)</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8D7D7"/>
            </w:tcBorders>
          </w:tcPr>
          <w:p>
            <w:pPr>
              <w:jc w:val="right"/>
              <w:ind w:right="6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8D7D7"/>
            </w:tcBorders>
          </w:tcPr>
          <w:p>
            <w:pPr>
              <w:jc w:val="right"/>
              <w:ind w:right="42"/>
              <w:spacing w:after="0"/>
              <w:rPr>
                <w:sz w:val="20"/>
                <w:szCs w:val="20"/>
                <w:color w:val="auto"/>
              </w:rPr>
            </w:pPr>
            <w:r>
              <w:rPr>
                <w:rFonts w:ascii="Arial" w:cs="Arial" w:eastAsia="Arial" w:hAnsi="Arial"/>
                <w:sz w:val="16"/>
                <w:szCs w:val="16"/>
                <w:color w:val="auto"/>
              </w:rPr>
              <w:t>1,000</w:t>
            </w:r>
          </w:p>
        </w:tc>
        <w:tc>
          <w:tcPr>
            <w:tcW w:w="1140" w:type="dxa"/>
            <w:vAlign w:val="bottom"/>
            <w:tcBorders>
              <w:bottom w:val="single" w:sz="8" w:color="D8D7D7"/>
            </w:tcBorders>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362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0956FF"/>
            </w:tcBorders>
          </w:tcPr>
          <w:p>
            <w:pPr>
              <w:jc w:val="center"/>
              <w:ind w:left="282"/>
              <w:spacing w:after="0"/>
              <w:rPr>
                <w:sz w:val="20"/>
                <w:szCs w:val="20"/>
                <w:color w:val="auto"/>
              </w:rPr>
            </w:pPr>
            <w:r>
              <w:rPr>
                <w:rFonts w:ascii="Arial" w:cs="Arial" w:eastAsia="Arial" w:hAnsi="Arial"/>
                <w:sz w:val="16"/>
                <w:szCs w:val="16"/>
                <w:color w:val="auto"/>
              </w:rPr>
              <w:t>1,215,898</w:t>
            </w:r>
          </w:p>
        </w:tc>
        <w:tc>
          <w:tcPr>
            <w:tcW w:w="1160" w:type="dxa"/>
            <w:vAlign w:val="bottom"/>
            <w:tcBorders>
              <w:bottom w:val="single" w:sz="8" w:color="0956FF"/>
            </w:tcBorders>
          </w:tcPr>
          <w:p>
            <w:pPr>
              <w:jc w:val="right"/>
              <w:ind w:right="162"/>
              <w:spacing w:after="0"/>
              <w:rPr>
                <w:sz w:val="20"/>
                <w:szCs w:val="20"/>
                <w:color w:val="auto"/>
              </w:rPr>
            </w:pPr>
            <w:r>
              <w:rPr>
                <w:rFonts w:ascii="Arial" w:cs="Arial" w:eastAsia="Arial" w:hAnsi="Arial"/>
                <w:sz w:val="16"/>
                <w:szCs w:val="16"/>
                <w:color w:val="auto"/>
              </w:rPr>
              <w:t>263,870</w:t>
            </w:r>
          </w:p>
        </w:tc>
        <w:tc>
          <w:tcPr>
            <w:tcW w:w="960" w:type="dxa"/>
            <w:vAlign w:val="bottom"/>
            <w:tcBorders>
              <w:bottom w:val="single" w:sz="8" w:color="0956FF"/>
            </w:tcBorders>
          </w:tcPr>
          <w:p>
            <w:pPr>
              <w:jc w:val="right"/>
              <w:ind w:right="42"/>
              <w:spacing w:after="0"/>
              <w:rPr>
                <w:sz w:val="20"/>
                <w:szCs w:val="20"/>
                <w:color w:val="auto"/>
              </w:rPr>
            </w:pPr>
            <w:r>
              <w:rPr>
                <w:rFonts w:ascii="Arial" w:cs="Arial" w:eastAsia="Arial" w:hAnsi="Arial"/>
                <w:sz w:val="16"/>
                <w:szCs w:val="16"/>
                <w:color w:val="auto"/>
              </w:rPr>
              <w:t>1,074,469</w:t>
            </w:r>
          </w:p>
        </w:tc>
        <w:tc>
          <w:tcPr>
            <w:tcW w:w="1140" w:type="dxa"/>
            <w:vAlign w:val="bottom"/>
            <w:tcBorders>
              <w:bottom w:val="single" w:sz="8" w:color="0956FF"/>
            </w:tcBorders>
          </w:tcPr>
          <w:p>
            <w:pPr>
              <w:jc w:val="right"/>
              <w:ind w:right="122"/>
              <w:spacing w:after="0"/>
              <w:rPr>
                <w:sz w:val="20"/>
                <w:szCs w:val="20"/>
                <w:color w:val="auto"/>
              </w:rPr>
            </w:pPr>
            <w:r>
              <w:rPr>
                <w:rFonts w:ascii="Arial" w:cs="Arial" w:eastAsia="Arial" w:hAnsi="Arial"/>
                <w:sz w:val="16"/>
                <w:szCs w:val="16"/>
                <w:color w:val="auto"/>
              </w:rPr>
              <w:t>95,285</w:t>
            </w:r>
          </w:p>
        </w:tc>
        <w:tc>
          <w:tcPr>
            <w:tcW w:w="960" w:type="dxa"/>
            <w:vAlign w:val="bottom"/>
            <w:tcBorders>
              <w:bottom w:val="single" w:sz="8" w:color="0956FF"/>
            </w:tcBorders>
          </w:tcPr>
          <w:p>
            <w:pPr>
              <w:jc w:val="right"/>
              <w:spacing w:after="0"/>
              <w:rPr>
                <w:sz w:val="20"/>
                <w:szCs w:val="20"/>
                <w:color w:val="auto"/>
              </w:rPr>
            </w:pPr>
            <w:r>
              <w:rPr>
                <w:rFonts w:ascii="Arial" w:cs="Arial" w:eastAsia="Arial" w:hAnsi="Arial"/>
                <w:sz w:val="16"/>
                <w:szCs w:val="16"/>
                <w:color w:val="auto"/>
              </w:rPr>
              <w:t>187,293</w:t>
            </w:r>
          </w:p>
        </w:tc>
      </w:tr>
    </w:tbl>
    <w:p>
      <w:pPr>
        <w:spacing w:after="0" w:line="98" w:lineRule="exact"/>
        <w:rPr>
          <w:sz w:val="20"/>
          <w:szCs w:val="20"/>
          <w:color w:val="auto"/>
        </w:rPr>
      </w:pPr>
    </w:p>
    <w:p>
      <w:pPr>
        <w:ind w:left="200" w:hanging="192"/>
        <w:spacing w:after="0"/>
        <w:tabs>
          <w:tab w:leader="none" w:pos="20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The amounts included as Perquisites and Other Personal Benefits are described in the table below.</w:t>
      </w:r>
    </w:p>
    <w:p>
      <w:pPr>
        <w:spacing w:after="0" w:line="43" w:lineRule="exact"/>
        <w:rPr>
          <w:rFonts w:ascii="Arial" w:cs="Arial" w:eastAsia="Arial" w:hAnsi="Arial"/>
          <w:sz w:val="19"/>
          <w:szCs w:val="19"/>
          <w:color w:val="auto"/>
          <w:vertAlign w:val="superscript"/>
        </w:rPr>
      </w:pPr>
    </w:p>
    <w:p>
      <w:pPr>
        <w:ind w:left="200" w:hanging="192"/>
        <w:spacing w:after="0" w:line="204" w:lineRule="auto"/>
        <w:tabs>
          <w:tab w:leader="none" w:pos="20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Includes employer contributions to tax-qualified and non-tax-qualified savings and retirement plans during 2025.</w:t>
      </w:r>
    </w:p>
    <w:p>
      <w:pPr>
        <w:spacing w:after="0" w:line="53" w:lineRule="exact"/>
        <w:rPr>
          <w:rFonts w:ascii="Arial" w:cs="Arial" w:eastAsia="Arial" w:hAnsi="Arial"/>
          <w:sz w:val="19"/>
          <w:szCs w:val="19"/>
          <w:color w:val="auto"/>
          <w:vertAlign w:val="superscript"/>
        </w:rPr>
      </w:pPr>
    </w:p>
    <w:p>
      <w:pPr>
        <w:ind w:left="200" w:right="380" w:hanging="192"/>
        <w:spacing w:after="0"/>
        <w:tabs>
          <w:tab w:leader="none" w:pos="20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Includes premiums paid by the Company for Group Variable Universal Life insurance for executives. For Ms. Barra, the amount also includes premiums paid by the Company for providing personal accident insurance for members of the Board. NEOs are responsible for any ordinary income taxes resulting from the cost of Company-paid premiums.</w:t>
      </w:r>
    </w:p>
    <w:p>
      <w:pPr>
        <w:spacing w:after="0" w:line="11"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88"/>
        </w:numPr>
        <w:rPr>
          <w:rFonts w:ascii="Arial" w:cs="Arial" w:eastAsia="Arial" w:hAnsi="Arial"/>
          <w:sz w:val="19"/>
          <w:szCs w:val="19"/>
          <w:color w:val="auto"/>
          <w:vertAlign w:val="superscript"/>
        </w:rPr>
      </w:pPr>
      <w:r>
        <w:rPr>
          <w:rFonts w:ascii="Arial" w:cs="Arial" w:eastAsia="Arial" w:hAnsi="Arial"/>
          <w:sz w:val="14"/>
          <w:szCs w:val="14"/>
          <w:color w:val="auto"/>
        </w:rPr>
        <w:t>Reflects patent awards granted to Mr. Reuss during 2025 .</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Perquisites and Other Personal Benefits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shd w:val="clear" w:color="auto" w:fill="ECEBEB"/>
          </w:tcPr>
          <w:p>
            <w:pPr>
              <w:spacing w:after="0"/>
              <w:rPr>
                <w:sz w:val="20"/>
                <w:szCs w:val="20"/>
                <w:color w:val="auto"/>
              </w:rPr>
            </w:pPr>
          </w:p>
        </w:tc>
        <w:tc>
          <w:tcPr>
            <w:tcW w:w="1700" w:type="dxa"/>
            <w:vAlign w:val="bottom"/>
            <w:shd w:val="clear" w:color="auto" w:fill="ECEBEB"/>
          </w:tcPr>
          <w:p>
            <w:pPr>
              <w:jc w:val="right"/>
              <w:ind w:right="1"/>
              <w:spacing w:after="0"/>
              <w:rPr>
                <w:sz w:val="20"/>
                <w:szCs w:val="20"/>
                <w:color w:val="auto"/>
              </w:rPr>
            </w:pPr>
            <w:r>
              <w:rPr>
                <w:rFonts w:ascii="Arial" w:cs="Arial" w:eastAsia="Arial" w:hAnsi="Arial"/>
                <w:sz w:val="14"/>
                <w:szCs w:val="14"/>
                <w:b w:val="1"/>
                <w:bCs w:val="1"/>
                <w:color w:val="auto"/>
              </w:rPr>
              <w:t>M.T. Barra</w:t>
            </w:r>
          </w:p>
        </w:tc>
        <w:tc>
          <w:tcPr>
            <w:tcW w:w="1200" w:type="dxa"/>
            <w:vAlign w:val="bottom"/>
            <w:shd w:val="clear" w:color="auto" w:fill="ECEBEB"/>
          </w:tcPr>
          <w:p>
            <w:pPr>
              <w:ind w:left="40"/>
              <w:spacing w:after="0"/>
              <w:rPr>
                <w:sz w:val="20"/>
                <w:szCs w:val="20"/>
                <w:color w:val="auto"/>
              </w:rPr>
            </w:pPr>
            <w:r>
              <w:rPr>
                <w:rFonts w:ascii="Arial" w:cs="Arial" w:eastAsia="Arial" w:hAnsi="Arial"/>
                <w:sz w:val="14"/>
                <w:szCs w:val="14"/>
                <w:b w:val="1"/>
                <w:bCs w:val="1"/>
                <w:color w:val="auto"/>
              </w:rPr>
              <w:t>P.A. Jacobson</w:t>
            </w:r>
          </w:p>
        </w:tc>
        <w:tc>
          <w:tcPr>
            <w:tcW w:w="9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M.L. Reuss</w:t>
            </w:r>
          </w:p>
        </w:tc>
        <w:tc>
          <w:tcPr>
            <w:tcW w:w="1140" w:type="dxa"/>
            <w:vAlign w:val="bottom"/>
            <w:shd w:val="clear" w:color="auto" w:fill="ECEBEB"/>
          </w:tcPr>
          <w:p>
            <w:pPr>
              <w:jc w:val="right"/>
              <w:ind w:right="41"/>
              <w:spacing w:after="0"/>
              <w:rPr>
                <w:sz w:val="20"/>
                <w:szCs w:val="20"/>
                <w:color w:val="auto"/>
              </w:rPr>
            </w:pPr>
            <w:r>
              <w:rPr>
                <w:rFonts w:ascii="Arial" w:cs="Arial" w:eastAsia="Arial" w:hAnsi="Arial"/>
                <w:sz w:val="14"/>
                <w:szCs w:val="14"/>
                <w:b w:val="1"/>
                <w:bCs w:val="1"/>
                <w:color w:val="auto"/>
              </w:rPr>
              <w:t>S.J. Anderson</w:t>
            </w:r>
          </w:p>
        </w:tc>
        <w:tc>
          <w:tcPr>
            <w:tcW w:w="960" w:type="dxa"/>
            <w:vAlign w:val="bottom"/>
            <w:shd w:val="clear" w:color="auto" w:fill="ECEBEB"/>
          </w:tcPr>
          <w:p>
            <w:pPr>
              <w:ind w:left="120"/>
              <w:spacing w:after="0"/>
              <w:rPr>
                <w:sz w:val="20"/>
                <w:szCs w:val="20"/>
                <w:color w:val="auto"/>
              </w:rPr>
            </w:pPr>
            <w:r>
              <w:rPr>
                <w:rFonts w:ascii="Arial" w:cs="Arial" w:eastAsia="Arial" w:hAnsi="Arial"/>
                <w:sz w:val="14"/>
                <w:szCs w:val="14"/>
                <w:b w:val="1"/>
                <w:bCs w:val="1"/>
                <w:color w:val="auto"/>
              </w:rPr>
              <w:t>R.V. Harvey</w:t>
            </w:r>
          </w:p>
        </w:tc>
      </w:tr>
      <w:tr>
        <w:trPr>
          <w:trHeight w:val="185"/>
        </w:trPr>
        <w:tc>
          <w:tcPr>
            <w:tcW w:w="3140" w:type="dxa"/>
            <w:vAlign w:val="bottom"/>
            <w:tcBorders>
              <w:bottom w:val="single" w:sz="8" w:color="0956FF"/>
            </w:tcBorders>
            <w:shd w:val="clear" w:color="auto" w:fill="ECEBEB"/>
          </w:tcPr>
          <w:p>
            <w:pPr>
              <w:spacing w:after="0"/>
              <w:rPr>
                <w:sz w:val="16"/>
                <w:szCs w:val="16"/>
                <w:color w:val="auto"/>
              </w:rPr>
            </w:pPr>
          </w:p>
        </w:tc>
        <w:tc>
          <w:tcPr>
            <w:tcW w:w="1700" w:type="dxa"/>
            <w:vAlign w:val="bottom"/>
            <w:tcBorders>
              <w:bottom w:val="single" w:sz="8" w:color="0956FF"/>
            </w:tcBorders>
            <w:shd w:val="clear" w:color="auto" w:fill="ECEBEB"/>
          </w:tcPr>
          <w:p>
            <w:pPr>
              <w:jc w:val="right"/>
              <w:ind w:right="21"/>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0956FF"/>
            </w:tcBorders>
            <w:shd w:val="clear" w:color="auto" w:fill="ECEBEB"/>
          </w:tcPr>
          <w:p>
            <w:pPr>
              <w:ind w:left="80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0956FF"/>
            </w:tcBorders>
            <w:shd w:val="clear" w:color="auto" w:fill="ECEBEB"/>
          </w:tcPr>
          <w:p>
            <w:pPr>
              <w:jc w:val="right"/>
              <w:ind w:right="21"/>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956FF"/>
            </w:tcBorders>
            <w:shd w:val="clear" w:color="auto" w:fill="ECEBEB"/>
          </w:tcPr>
          <w:p>
            <w:pPr>
              <w:jc w:val="right"/>
              <w:ind w:right="101"/>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3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Personal Travel </w:t>
            </w:r>
            <w:r>
              <w:rPr>
                <w:rFonts w:ascii="Arial" w:cs="Arial" w:eastAsia="Arial" w:hAnsi="Arial"/>
                <w:sz w:val="21"/>
                <w:szCs w:val="21"/>
                <w:color w:val="auto"/>
                <w:vertAlign w:val="superscript"/>
              </w:rPr>
              <w:t>(1)</w:t>
            </w:r>
          </w:p>
        </w:tc>
        <w:tc>
          <w:tcPr>
            <w:tcW w:w="170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354,089</w:t>
            </w:r>
          </w:p>
        </w:tc>
        <w:tc>
          <w:tcPr>
            <w:tcW w:w="1200" w:type="dxa"/>
            <w:vAlign w:val="bottom"/>
            <w:tcBorders>
              <w:bottom w:val="single" w:sz="8" w:color="D8D7D7"/>
            </w:tcBorders>
          </w:tcPr>
          <w:p>
            <w:pPr>
              <w:ind w:left="8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267,734</w:t>
            </w:r>
          </w:p>
        </w:tc>
        <w:tc>
          <w:tcPr>
            <w:tcW w:w="114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8D7D7"/>
            </w:tcBorders>
          </w:tcPr>
          <w:p>
            <w:pPr>
              <w:ind w:left="800"/>
              <w:spacing w:after="0"/>
              <w:rPr>
                <w:sz w:val="20"/>
                <w:szCs w:val="20"/>
                <w:color w:val="auto"/>
              </w:rPr>
            </w:pPr>
            <w:r>
              <w:rPr>
                <w:rFonts w:ascii="Arial" w:cs="Arial" w:eastAsia="Arial" w:hAnsi="Arial"/>
                <w:sz w:val="16"/>
                <w:szCs w:val="16"/>
                <w:color w:val="auto"/>
                <w:w w:val="87"/>
              </w:rPr>
              <w:t>—</w:t>
            </w:r>
          </w:p>
        </w:tc>
      </w:tr>
      <w:tr>
        <w:trPr>
          <w:trHeight w:val="250"/>
        </w:trPr>
        <w:tc>
          <w:tcPr>
            <w:tcW w:w="3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Security </w:t>
            </w:r>
            <w:r>
              <w:rPr>
                <w:rFonts w:ascii="Arial" w:cs="Arial" w:eastAsia="Arial" w:hAnsi="Arial"/>
                <w:sz w:val="21"/>
                <w:szCs w:val="21"/>
                <w:color w:val="auto"/>
                <w:vertAlign w:val="superscript"/>
              </w:rPr>
              <w:t>(2)</w:t>
            </w:r>
          </w:p>
        </w:tc>
        <w:tc>
          <w:tcPr>
            <w:tcW w:w="170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154,941</w:t>
            </w:r>
          </w:p>
        </w:tc>
        <w:tc>
          <w:tcPr>
            <w:tcW w:w="1200" w:type="dxa"/>
            <w:vAlign w:val="bottom"/>
            <w:tcBorders>
              <w:bottom w:val="single" w:sz="8" w:color="D8D7D7"/>
            </w:tcBorders>
          </w:tcPr>
          <w:p>
            <w:pPr>
              <w:ind w:left="8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431,425</w:t>
            </w:r>
          </w:p>
        </w:tc>
        <w:tc>
          <w:tcPr>
            <w:tcW w:w="114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8D7D7"/>
            </w:tcBorders>
          </w:tcPr>
          <w:p>
            <w:pPr>
              <w:ind w:left="800"/>
              <w:spacing w:after="0"/>
              <w:rPr>
                <w:sz w:val="20"/>
                <w:szCs w:val="20"/>
                <w:color w:val="auto"/>
              </w:rPr>
            </w:pPr>
            <w:r>
              <w:rPr>
                <w:rFonts w:ascii="Arial" w:cs="Arial" w:eastAsia="Arial" w:hAnsi="Arial"/>
                <w:sz w:val="16"/>
                <w:szCs w:val="16"/>
                <w:color w:val="auto"/>
                <w:w w:val="87"/>
              </w:rPr>
              <w:t>—</w:t>
            </w:r>
          </w:p>
        </w:tc>
      </w:tr>
      <w:tr>
        <w:trPr>
          <w:trHeight w:val="250"/>
        </w:trPr>
        <w:tc>
          <w:tcPr>
            <w:tcW w:w="3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Company Vehicle Programs </w:t>
            </w:r>
            <w:r>
              <w:rPr>
                <w:rFonts w:ascii="Arial" w:cs="Arial" w:eastAsia="Arial" w:hAnsi="Arial"/>
                <w:sz w:val="21"/>
                <w:szCs w:val="21"/>
                <w:color w:val="auto"/>
                <w:vertAlign w:val="superscript"/>
              </w:rPr>
              <w:t>(3)</w:t>
            </w:r>
          </w:p>
        </w:tc>
        <w:tc>
          <w:tcPr>
            <w:tcW w:w="170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15,743</w:t>
            </w:r>
          </w:p>
        </w:tc>
        <w:tc>
          <w:tcPr>
            <w:tcW w:w="1200" w:type="dxa"/>
            <w:vAlign w:val="bottom"/>
            <w:tcBorders>
              <w:bottom w:val="single" w:sz="8" w:color="D8D7D7"/>
            </w:tcBorders>
          </w:tcPr>
          <w:p>
            <w:pPr>
              <w:ind w:left="440"/>
              <w:spacing w:after="0"/>
              <w:rPr>
                <w:sz w:val="20"/>
                <w:szCs w:val="20"/>
                <w:color w:val="auto"/>
              </w:rPr>
            </w:pPr>
            <w:r>
              <w:rPr>
                <w:rFonts w:ascii="Arial" w:cs="Arial" w:eastAsia="Arial" w:hAnsi="Arial"/>
                <w:sz w:val="16"/>
                <w:szCs w:val="16"/>
                <w:color w:val="auto"/>
              </w:rPr>
              <w:t>27,882</w:t>
            </w:r>
          </w:p>
        </w:tc>
        <w:tc>
          <w:tcPr>
            <w:tcW w:w="94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16,910</w:t>
            </w:r>
          </w:p>
        </w:tc>
        <w:tc>
          <w:tcPr>
            <w:tcW w:w="114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13,404</w:t>
            </w:r>
          </w:p>
        </w:tc>
        <w:tc>
          <w:tcPr>
            <w:tcW w:w="960" w:type="dxa"/>
            <w:vAlign w:val="bottom"/>
            <w:tcBorders>
              <w:bottom w:val="single" w:sz="8" w:color="D8D7D7"/>
            </w:tcBorders>
          </w:tcPr>
          <w:p>
            <w:pPr>
              <w:ind w:left="800"/>
              <w:spacing w:after="0"/>
              <w:rPr>
                <w:sz w:val="20"/>
                <w:szCs w:val="20"/>
                <w:color w:val="auto"/>
              </w:rPr>
            </w:pPr>
            <w:r>
              <w:rPr>
                <w:rFonts w:ascii="Arial" w:cs="Arial" w:eastAsia="Arial" w:hAnsi="Arial"/>
                <w:sz w:val="16"/>
                <w:szCs w:val="16"/>
                <w:color w:val="auto"/>
                <w:w w:val="87"/>
              </w:rPr>
              <w:t>—</w:t>
            </w:r>
          </w:p>
        </w:tc>
      </w:tr>
      <w:tr>
        <w:trPr>
          <w:trHeight w:val="250"/>
        </w:trPr>
        <w:tc>
          <w:tcPr>
            <w:tcW w:w="3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Executive Physical </w:t>
            </w:r>
            <w:r>
              <w:rPr>
                <w:rFonts w:ascii="Arial" w:cs="Arial" w:eastAsia="Arial" w:hAnsi="Arial"/>
                <w:sz w:val="21"/>
                <w:szCs w:val="21"/>
                <w:color w:val="auto"/>
                <w:vertAlign w:val="superscript"/>
              </w:rPr>
              <w:t>(4)</w:t>
            </w:r>
          </w:p>
        </w:tc>
        <w:tc>
          <w:tcPr>
            <w:tcW w:w="170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4,631</w:t>
            </w:r>
          </w:p>
        </w:tc>
        <w:tc>
          <w:tcPr>
            <w:tcW w:w="1200" w:type="dxa"/>
            <w:vAlign w:val="bottom"/>
            <w:tcBorders>
              <w:bottom w:val="single" w:sz="8" w:color="D8D7D7"/>
            </w:tcBorders>
          </w:tcPr>
          <w:p>
            <w:pPr>
              <w:ind w:left="460"/>
              <w:spacing w:after="0"/>
              <w:rPr>
                <w:sz w:val="20"/>
                <w:szCs w:val="20"/>
                <w:color w:val="auto"/>
              </w:rPr>
            </w:pPr>
            <w:r>
              <w:rPr>
                <w:rFonts w:ascii="Arial" w:cs="Arial" w:eastAsia="Arial" w:hAnsi="Arial"/>
                <w:sz w:val="16"/>
                <w:szCs w:val="16"/>
                <w:color w:val="auto"/>
              </w:rPr>
              <w:t>14,634</w:t>
            </w:r>
          </w:p>
        </w:tc>
        <w:tc>
          <w:tcPr>
            <w:tcW w:w="9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6,542</w:t>
            </w:r>
          </w:p>
        </w:tc>
        <w:tc>
          <w:tcPr>
            <w:tcW w:w="114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17,783</w:t>
            </w:r>
          </w:p>
        </w:tc>
      </w:tr>
      <w:tr>
        <w:trPr>
          <w:trHeight w:val="250"/>
        </w:trPr>
        <w:tc>
          <w:tcPr>
            <w:tcW w:w="3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Financial Counseling</w:t>
            </w:r>
            <w:r>
              <w:rPr>
                <w:rFonts w:ascii="Arial" w:cs="Arial" w:eastAsia="Arial" w:hAnsi="Arial"/>
                <w:sz w:val="21"/>
                <w:szCs w:val="21"/>
                <w:color w:val="auto"/>
                <w:vertAlign w:val="superscript"/>
              </w:rPr>
              <w:t>(5)</w:t>
            </w:r>
          </w:p>
        </w:tc>
        <w:tc>
          <w:tcPr>
            <w:tcW w:w="170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10,360</w:t>
            </w:r>
          </w:p>
        </w:tc>
        <w:tc>
          <w:tcPr>
            <w:tcW w:w="1200" w:type="dxa"/>
            <w:vAlign w:val="bottom"/>
            <w:tcBorders>
              <w:bottom w:val="single" w:sz="8" w:color="D8D7D7"/>
            </w:tcBorders>
          </w:tcPr>
          <w:p>
            <w:pPr>
              <w:ind w:left="8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10,360</w:t>
            </w:r>
          </w:p>
        </w:tc>
        <w:tc>
          <w:tcPr>
            <w:tcW w:w="114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5,934</w:t>
            </w:r>
          </w:p>
        </w:tc>
        <w:tc>
          <w:tcPr>
            <w:tcW w:w="96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10,360</w:t>
            </w:r>
          </w:p>
        </w:tc>
      </w:tr>
      <w:tr>
        <w:trPr>
          <w:trHeight w:val="250"/>
        </w:trPr>
        <w:tc>
          <w:tcPr>
            <w:tcW w:w="31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(6)</w:t>
            </w:r>
          </w:p>
        </w:tc>
        <w:tc>
          <w:tcPr>
            <w:tcW w:w="17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D8D7D7"/>
            </w:tcBorders>
          </w:tcPr>
          <w:p>
            <w:pPr>
              <w:ind w:left="8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2,443</w:t>
            </w:r>
          </w:p>
        </w:tc>
        <w:tc>
          <w:tcPr>
            <w:tcW w:w="1140" w:type="dxa"/>
            <w:vAlign w:val="bottom"/>
            <w:tcBorders>
              <w:bottom w:val="single" w:sz="8" w:color="D8D7D7"/>
            </w:tcBorders>
          </w:tcPr>
          <w:p>
            <w:pPr>
              <w:jc w:val="right"/>
              <w:ind w:right="101"/>
              <w:spacing w:after="0"/>
              <w:rPr>
                <w:sz w:val="20"/>
                <w:szCs w:val="20"/>
                <w:color w:val="auto"/>
              </w:rPr>
            </w:pPr>
            <w:r>
              <w:rPr>
                <w:rFonts w:ascii="Arial" w:cs="Arial" w:eastAsia="Arial" w:hAnsi="Arial"/>
                <w:sz w:val="16"/>
                <w:szCs w:val="16"/>
                <w:color w:val="auto"/>
              </w:rPr>
              <w:t>19,256</w:t>
            </w:r>
          </w:p>
        </w:tc>
        <w:tc>
          <w:tcPr>
            <w:tcW w:w="960" w:type="dxa"/>
            <w:vAlign w:val="bottom"/>
            <w:tcBorders>
              <w:bottom w:val="single" w:sz="8" w:color="D8D7D7"/>
            </w:tcBorders>
          </w:tcPr>
          <w:p>
            <w:pPr>
              <w:ind w:left="800"/>
              <w:spacing w:after="0"/>
              <w:rPr>
                <w:sz w:val="20"/>
                <w:szCs w:val="20"/>
                <w:color w:val="auto"/>
              </w:rPr>
            </w:pPr>
            <w:r>
              <w:rPr>
                <w:rFonts w:ascii="Arial" w:cs="Arial" w:eastAsia="Arial" w:hAnsi="Arial"/>
                <w:sz w:val="16"/>
                <w:szCs w:val="16"/>
                <w:color w:val="auto"/>
                <w:w w:val="87"/>
              </w:rPr>
              <w:t>—</w:t>
            </w:r>
          </w:p>
        </w:tc>
      </w:tr>
      <w:tr>
        <w:trPr>
          <w:trHeight w:val="246"/>
        </w:trPr>
        <w:tc>
          <w:tcPr>
            <w:tcW w:w="314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0956FF"/>
            </w:tcBorders>
          </w:tcPr>
          <w:p>
            <w:pPr>
              <w:jc w:val="right"/>
              <w:ind w:right="41"/>
              <w:spacing w:after="0"/>
              <w:rPr>
                <w:sz w:val="20"/>
                <w:szCs w:val="20"/>
                <w:color w:val="auto"/>
              </w:rPr>
            </w:pPr>
            <w:r>
              <w:rPr>
                <w:rFonts w:ascii="Arial" w:cs="Arial" w:eastAsia="Arial" w:hAnsi="Arial"/>
                <w:sz w:val="16"/>
                <w:szCs w:val="16"/>
                <w:color w:val="auto"/>
              </w:rPr>
              <w:t>539,764</w:t>
            </w:r>
          </w:p>
        </w:tc>
        <w:tc>
          <w:tcPr>
            <w:tcW w:w="1200" w:type="dxa"/>
            <w:vAlign w:val="bottom"/>
            <w:tcBorders>
              <w:bottom w:val="single" w:sz="8" w:color="0956FF"/>
            </w:tcBorders>
          </w:tcPr>
          <w:p>
            <w:pPr>
              <w:ind w:left="480"/>
              <w:spacing w:after="0"/>
              <w:rPr>
                <w:sz w:val="20"/>
                <w:szCs w:val="20"/>
                <w:color w:val="auto"/>
              </w:rPr>
            </w:pPr>
            <w:r>
              <w:rPr>
                <w:rFonts w:ascii="Arial" w:cs="Arial" w:eastAsia="Arial" w:hAnsi="Arial"/>
                <w:sz w:val="16"/>
                <w:szCs w:val="16"/>
                <w:color w:val="auto"/>
              </w:rPr>
              <w:t>42,516</w:t>
            </w:r>
          </w:p>
        </w:tc>
        <w:tc>
          <w:tcPr>
            <w:tcW w:w="940" w:type="dxa"/>
            <w:vAlign w:val="bottom"/>
            <w:tcBorders>
              <w:bottom w:val="single" w:sz="8" w:color="0956FF"/>
            </w:tcBorders>
          </w:tcPr>
          <w:p>
            <w:pPr>
              <w:jc w:val="right"/>
              <w:ind w:right="41"/>
              <w:spacing w:after="0"/>
              <w:rPr>
                <w:sz w:val="20"/>
                <w:szCs w:val="20"/>
                <w:color w:val="auto"/>
              </w:rPr>
            </w:pPr>
            <w:r>
              <w:rPr>
                <w:rFonts w:ascii="Arial" w:cs="Arial" w:eastAsia="Arial" w:hAnsi="Arial"/>
                <w:sz w:val="16"/>
                <w:szCs w:val="16"/>
                <w:color w:val="auto"/>
              </w:rPr>
              <w:t>735,414</w:t>
            </w:r>
          </w:p>
        </w:tc>
        <w:tc>
          <w:tcPr>
            <w:tcW w:w="1140" w:type="dxa"/>
            <w:vAlign w:val="bottom"/>
            <w:tcBorders>
              <w:bottom w:val="single" w:sz="8" w:color="0956FF"/>
            </w:tcBorders>
          </w:tcPr>
          <w:p>
            <w:pPr>
              <w:jc w:val="right"/>
              <w:ind w:right="141"/>
              <w:spacing w:after="0"/>
              <w:rPr>
                <w:sz w:val="20"/>
                <w:szCs w:val="20"/>
                <w:color w:val="auto"/>
              </w:rPr>
            </w:pPr>
            <w:r>
              <w:rPr>
                <w:rFonts w:ascii="Arial" w:cs="Arial" w:eastAsia="Arial" w:hAnsi="Arial"/>
                <w:sz w:val="16"/>
                <w:szCs w:val="16"/>
                <w:color w:val="auto"/>
              </w:rPr>
              <w:t>38,594</w:t>
            </w:r>
          </w:p>
        </w:tc>
        <w:tc>
          <w:tcPr>
            <w:tcW w:w="960" w:type="dxa"/>
            <w:vAlign w:val="bottom"/>
            <w:tcBorders>
              <w:bottom w:val="single" w:sz="8" w:color="0956FF"/>
            </w:tcBorders>
          </w:tcPr>
          <w:p>
            <w:pPr>
              <w:jc w:val="right"/>
              <w:ind w:right="1"/>
              <w:spacing w:after="0"/>
              <w:rPr>
                <w:sz w:val="20"/>
                <w:szCs w:val="20"/>
                <w:color w:val="auto"/>
              </w:rPr>
            </w:pPr>
            <w:r>
              <w:rPr>
                <w:rFonts w:ascii="Arial" w:cs="Arial" w:eastAsia="Arial" w:hAnsi="Arial"/>
                <w:sz w:val="16"/>
                <w:szCs w:val="16"/>
                <w:color w:val="auto"/>
              </w:rPr>
              <w:t>28,143</w:t>
            </w:r>
          </w:p>
        </w:tc>
      </w:tr>
    </w:tbl>
    <w:p>
      <w:pPr>
        <w:spacing w:after="0" w:line="83" w:lineRule="exact"/>
        <w:rPr>
          <w:sz w:val="20"/>
          <w:szCs w:val="20"/>
          <w:color w:val="auto"/>
        </w:rPr>
      </w:pPr>
    </w:p>
    <w:p>
      <w:pPr>
        <w:ind w:left="200" w:right="340" w:hanging="199"/>
        <w:spacing w:after="0" w:line="231" w:lineRule="auto"/>
        <w:tabs>
          <w:tab w:leader="none" w:pos="180" w:val="left"/>
        </w:tabs>
        <w:rPr>
          <w:sz w:val="20"/>
          <w:szCs w:val="20"/>
          <w:color w:val="auto"/>
        </w:rPr>
      </w:pPr>
      <w:r>
        <w:rPr>
          <w:rFonts w:ascii="Arial" w:cs="Arial" w:eastAsia="Arial" w:hAnsi="Arial"/>
          <w:sz w:val="19"/>
          <w:szCs w:val="19"/>
          <w:color w:val="auto"/>
          <w:vertAlign w:val="superscript"/>
        </w:rPr>
        <w:t>(1)</w:t>
      </w:r>
      <w:r>
        <w:rPr>
          <w:sz w:val="20"/>
          <w:szCs w:val="20"/>
          <w:color w:val="auto"/>
        </w:rPr>
        <w:tab/>
      </w:r>
      <w:r>
        <w:rPr>
          <w:rFonts w:ascii="Arial" w:cs="Arial" w:eastAsia="Arial" w:hAnsi="Arial"/>
          <w:sz w:val="14"/>
          <w:szCs w:val="14"/>
          <w:color w:val="auto"/>
        </w:rPr>
        <w:t>Personal travel, pursuant to Company policy as discussed on page 54 , includes incremental costs (fuel, flight crew expenses, landing fees, ground transportation fees, and other miscellaneous variable expenses) associated with aircraft use.</w:t>
      </w:r>
    </w:p>
    <w:p>
      <w:pPr>
        <w:spacing w:after="0" w:line="56" w:lineRule="exact"/>
        <w:rPr>
          <w:sz w:val="20"/>
          <w:szCs w:val="20"/>
          <w:color w:val="auto"/>
        </w:rPr>
      </w:pPr>
    </w:p>
    <w:p>
      <w:pPr>
        <w:ind w:left="200" w:right="400" w:hanging="192"/>
        <w:spacing w:after="0" w:line="179" w:lineRule="exact"/>
        <w:tabs>
          <w:tab w:leader="none" w:pos="20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Includes the incremental cost of providing security services and residential security system monitoring for Ms. Barra and Mr. Reuss as recommended by an independent third-party security consultant and our security team. Mr. Reuss’ amount for the year also reflects one</w:t>
      </w:r>
      <w:r>
        <w:rPr>
          <w:rFonts w:ascii="MS PGothic" w:cs="MS PGothic" w:eastAsia="MS PGothic" w:hAnsi="MS PGothic"/>
          <w:sz w:val="14"/>
          <w:szCs w:val="14"/>
          <w:color w:val="auto"/>
        </w:rPr>
        <w:t>‑</w:t>
      </w:r>
      <w:r>
        <w:rPr>
          <w:rFonts w:ascii="Arial" w:cs="Arial" w:eastAsia="Arial" w:hAnsi="Arial"/>
          <w:sz w:val="14"/>
          <w:szCs w:val="14"/>
          <w:color w:val="auto"/>
        </w:rPr>
        <w:t>time costs associated with upgrades to his residential security systems. For security personnel employed by the Company, the cost is the actual incremental cost of expenses incurred by the applicable security personnel. Total salary, wages, and benefits are not allocated as the Company already incurs these costs for business purposes.</w:t>
      </w:r>
    </w:p>
    <w:p>
      <w:pPr>
        <w:spacing w:after="0" w:line="40" w:lineRule="exact"/>
        <w:rPr>
          <w:rFonts w:ascii="Arial" w:cs="Arial" w:eastAsia="Arial" w:hAnsi="Arial"/>
          <w:sz w:val="19"/>
          <w:szCs w:val="19"/>
          <w:color w:val="auto"/>
          <w:vertAlign w:val="superscript"/>
        </w:rPr>
      </w:pPr>
    </w:p>
    <w:p>
      <w:pPr>
        <w:ind w:left="200" w:right="360" w:hanging="192"/>
        <w:spacing w:after="0" w:line="254" w:lineRule="auto"/>
        <w:tabs>
          <w:tab w:leader="none" w:pos="20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Includes the cost of providing cars, drivers, and the estimated annual lease value of Company vehicles, inclusive of fuel and insurance, driven by NEOs. The annual lease value is included because it is more reflective of the value of the Company vehicle perquisite than of the Company’s incremental costs, which are generally significantly lower because the Company manufactures and ordinarily disposes of Company vehicles for a profit, resulting in minimal incremental costs, if any. Taxes related to imputed income are the responsibility of each participant.</w:t>
      </w:r>
    </w:p>
    <w:p>
      <w:pPr>
        <w:spacing w:after="0" w:line="3"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Reflects costs associated with executive physicals with an approved provider as discussed on page 55.</w:t>
      </w:r>
    </w:p>
    <w:p>
      <w:pPr>
        <w:spacing w:after="0" w:line="43" w:lineRule="exact"/>
        <w:rPr>
          <w:rFonts w:ascii="Arial" w:cs="Arial" w:eastAsia="Arial" w:hAnsi="Arial"/>
          <w:sz w:val="19"/>
          <w:szCs w:val="19"/>
          <w:color w:val="auto"/>
          <w:vertAlign w:val="superscript"/>
        </w:rPr>
      </w:pPr>
    </w:p>
    <w:p>
      <w:pPr>
        <w:ind w:left="200" w:hanging="192"/>
        <w:spacing w:after="0" w:line="204" w:lineRule="auto"/>
        <w:tabs>
          <w:tab w:leader="none" w:pos="20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Reflects costs associated with financial counseling and estate planning services with an approved provider.</w:t>
      </w:r>
    </w:p>
    <w:p>
      <w:pPr>
        <w:spacing w:after="0" w:line="43" w:lineRule="exact"/>
        <w:rPr>
          <w:rFonts w:ascii="Arial" w:cs="Arial" w:eastAsia="Arial" w:hAnsi="Arial"/>
          <w:sz w:val="19"/>
          <w:szCs w:val="19"/>
          <w:color w:val="auto"/>
          <w:vertAlign w:val="superscript"/>
        </w:rPr>
      </w:pPr>
    </w:p>
    <w:p>
      <w:pPr>
        <w:ind w:left="200" w:right="280" w:hanging="192"/>
        <w:spacing w:after="0" w:line="271" w:lineRule="auto"/>
        <w:tabs>
          <w:tab w:leader="none" w:pos="20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Reflects costs associated with housing for Mr. Anderson, and event tickets for Messrs. Anderson and Reuss. Occasionally, unused tickets from sponsorship agreements are made available for personal use. Tickets are included in sponsorship agreements and typically result in no incremental costs to the Company. In 2025, there were incremental costs associated with the personal use of tickets to GM-sponsored events. Occasionally, limited souvenirs may be included as part of a sponsorship agreement and no incremental costs are incurred by the Company.</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63</w:t>
      </w:r>
    </w:p>
    <w:p>
      <w:pPr>
        <w:sectPr>
          <w:pgSz w:w="11900" w:h="16838" w:orient="portrait"/>
          <w:cols w:equalWidth="0" w:num="1">
            <w:col w:w="9220"/>
          </w:cols>
          <w:pgMar w:left="1400" w:top="657" w:right="127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Grants of Plan-Based Awards</w:t>
      </w:r>
    </w:p>
    <w:p>
      <w:pPr>
        <w:spacing w:after="0" w:line="13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STIP awards for the 2025 performance year were made under the terms of the General Motors Company 2017 Short-Term Incentive Plan. Equity awards granted to each NEO were made under the terms of the General Motors Company 2020 Long-Term Incentive Plan. PSUs vest and deliver at the end of the performance period and can be earned at a level between 0 and 200 percent of target. PSUs are based on the achievement of performance conditions relating to Relative TSR, OCF, and Relative EBIT-adjusted Margin over a three-year performance period from January 1, 2025, to December 31, 2027. RSUs vest ratably over a three-year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shd w:val="clear" w:color="auto" w:fill="ECEBEB"/>
          </w:tcPr>
          <w:p>
            <w:pPr>
              <w:spacing w:after="0"/>
              <w:rPr>
                <w:sz w:val="16"/>
                <w:szCs w:val="16"/>
                <w:color w:val="auto"/>
              </w:rPr>
            </w:pPr>
          </w:p>
        </w:tc>
        <w:tc>
          <w:tcPr>
            <w:tcW w:w="820" w:type="dxa"/>
            <w:vAlign w:val="bottom"/>
            <w:shd w:val="clear" w:color="auto" w:fill="ECEBEB"/>
          </w:tcPr>
          <w:p>
            <w:pPr>
              <w:spacing w:after="0"/>
              <w:rPr>
                <w:sz w:val="16"/>
                <w:szCs w:val="16"/>
                <w:color w:val="auto"/>
              </w:rPr>
            </w:pPr>
          </w:p>
        </w:tc>
        <w:tc>
          <w:tcPr>
            <w:tcW w:w="700" w:type="dxa"/>
            <w:vAlign w:val="bottom"/>
            <w:shd w:val="clear" w:color="auto" w:fill="ECEBEB"/>
          </w:tcPr>
          <w:p>
            <w:pPr>
              <w:spacing w:after="0"/>
              <w:rPr>
                <w:sz w:val="16"/>
                <w:szCs w:val="16"/>
                <w:color w:val="auto"/>
              </w:rPr>
            </w:pPr>
          </w:p>
        </w:tc>
        <w:tc>
          <w:tcPr>
            <w:tcW w:w="720" w:type="dxa"/>
            <w:vAlign w:val="bottom"/>
            <w:shd w:val="clear" w:color="auto" w:fill="ECEBEB"/>
          </w:tcPr>
          <w:p>
            <w:pPr>
              <w:spacing w:after="0"/>
              <w:rPr>
                <w:sz w:val="16"/>
                <w:szCs w:val="16"/>
                <w:color w:val="auto"/>
              </w:rPr>
            </w:pPr>
          </w:p>
        </w:tc>
        <w:tc>
          <w:tcPr>
            <w:tcW w:w="640" w:type="dxa"/>
            <w:vAlign w:val="bottom"/>
            <w:shd w:val="clear" w:color="auto" w:fill="ECEBEB"/>
          </w:tcPr>
          <w:p>
            <w:pPr>
              <w:spacing w:after="0"/>
              <w:rPr>
                <w:sz w:val="16"/>
                <w:szCs w:val="16"/>
                <w:color w:val="auto"/>
              </w:rPr>
            </w:pPr>
          </w:p>
        </w:tc>
        <w:tc>
          <w:tcPr>
            <w:tcW w:w="700" w:type="dxa"/>
            <w:vAlign w:val="bottom"/>
            <w:shd w:val="clear" w:color="auto" w:fill="ECEBEB"/>
          </w:tcPr>
          <w:p>
            <w:pPr>
              <w:spacing w:after="0"/>
              <w:rPr>
                <w:sz w:val="16"/>
                <w:szCs w:val="16"/>
                <w:color w:val="auto"/>
              </w:rPr>
            </w:pPr>
          </w:p>
        </w:tc>
        <w:tc>
          <w:tcPr>
            <w:tcW w:w="620" w:type="dxa"/>
            <w:vAlign w:val="bottom"/>
            <w:shd w:val="clear" w:color="auto" w:fill="ECEBEB"/>
          </w:tcPr>
          <w:p>
            <w:pPr>
              <w:spacing w:after="0"/>
              <w:rPr>
                <w:sz w:val="16"/>
                <w:szCs w:val="16"/>
                <w:color w:val="auto"/>
              </w:rPr>
            </w:pPr>
          </w:p>
        </w:tc>
        <w:tc>
          <w:tcPr>
            <w:tcW w:w="620" w:type="dxa"/>
            <w:vAlign w:val="bottom"/>
            <w:shd w:val="clear" w:color="auto" w:fill="ECEBEB"/>
          </w:tcPr>
          <w:p>
            <w:pPr>
              <w:spacing w:after="0"/>
              <w:rPr>
                <w:sz w:val="16"/>
                <w:szCs w:val="16"/>
                <w:color w:val="auto"/>
              </w:rPr>
            </w:pPr>
          </w:p>
        </w:tc>
        <w:tc>
          <w:tcPr>
            <w:tcW w:w="700" w:type="dxa"/>
            <w:vAlign w:val="bottom"/>
            <w:shd w:val="clear" w:color="auto" w:fill="ECEBEB"/>
          </w:tcPr>
          <w:p>
            <w:pPr>
              <w:spacing w:after="0"/>
              <w:rPr>
                <w:sz w:val="16"/>
                <w:szCs w:val="16"/>
                <w:color w:val="auto"/>
              </w:rPr>
            </w:pPr>
          </w:p>
        </w:tc>
        <w:tc>
          <w:tcPr>
            <w:tcW w:w="580" w:type="dxa"/>
            <w:vAlign w:val="bottom"/>
            <w:shd w:val="clear" w:color="auto" w:fill="ECEBEB"/>
          </w:tcPr>
          <w:p>
            <w:pPr>
              <w:spacing w:after="0"/>
              <w:rPr>
                <w:sz w:val="16"/>
                <w:szCs w:val="16"/>
                <w:color w:val="auto"/>
              </w:rPr>
            </w:pPr>
          </w:p>
        </w:tc>
        <w:tc>
          <w:tcPr>
            <w:tcW w:w="680" w:type="dxa"/>
            <w:vAlign w:val="bottom"/>
            <w:shd w:val="clear" w:color="auto" w:fill="ECEBEB"/>
          </w:tcPr>
          <w:p>
            <w:pPr>
              <w:jc w:val="right"/>
              <w:ind w:right="46"/>
              <w:spacing w:after="0"/>
              <w:rPr>
                <w:sz w:val="20"/>
                <w:szCs w:val="20"/>
                <w:color w:val="auto"/>
              </w:rPr>
            </w:pPr>
            <w:r>
              <w:rPr>
                <w:rFonts w:ascii="Arial" w:cs="Arial" w:eastAsia="Arial" w:hAnsi="Arial"/>
                <w:sz w:val="11"/>
                <w:szCs w:val="11"/>
                <w:b w:val="1"/>
                <w:bCs w:val="1"/>
                <w:color w:val="auto"/>
              </w:rPr>
              <w:t>All Other</w:t>
            </w:r>
          </w:p>
        </w:tc>
        <w:tc>
          <w:tcPr>
            <w:tcW w:w="560" w:type="dxa"/>
            <w:vAlign w:val="bottom"/>
            <w:shd w:val="clear" w:color="auto" w:fill="ECEBEB"/>
          </w:tcPr>
          <w:p>
            <w:pPr>
              <w:spacing w:after="0"/>
              <w:rPr>
                <w:sz w:val="16"/>
                <w:szCs w:val="16"/>
                <w:color w:val="auto"/>
              </w:rPr>
            </w:pPr>
          </w:p>
        </w:tc>
        <w:tc>
          <w:tcPr>
            <w:tcW w:w="660" w:type="dxa"/>
            <w:vAlign w:val="bottom"/>
            <w:shd w:val="clear" w:color="auto" w:fill="ECEBEB"/>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ECEBEB"/>
          </w:tcPr>
          <w:p>
            <w:pPr>
              <w:spacing w:after="0"/>
              <w:rPr>
                <w:sz w:val="11"/>
                <w:szCs w:val="11"/>
                <w:color w:val="auto"/>
              </w:rPr>
            </w:pPr>
          </w:p>
        </w:tc>
        <w:tc>
          <w:tcPr>
            <w:tcW w:w="820" w:type="dxa"/>
            <w:vAlign w:val="bottom"/>
            <w:shd w:val="clear" w:color="auto" w:fill="ECEBEB"/>
          </w:tcPr>
          <w:p>
            <w:pPr>
              <w:spacing w:after="0"/>
              <w:rPr>
                <w:sz w:val="11"/>
                <w:szCs w:val="11"/>
                <w:color w:val="auto"/>
              </w:rPr>
            </w:pPr>
          </w:p>
        </w:tc>
        <w:tc>
          <w:tcPr>
            <w:tcW w:w="700" w:type="dxa"/>
            <w:vAlign w:val="bottom"/>
            <w:shd w:val="clear" w:color="auto" w:fill="ECEBEB"/>
          </w:tcPr>
          <w:p>
            <w:pPr>
              <w:spacing w:after="0"/>
              <w:rPr>
                <w:sz w:val="11"/>
                <w:szCs w:val="11"/>
                <w:color w:val="auto"/>
              </w:rPr>
            </w:pPr>
          </w:p>
        </w:tc>
        <w:tc>
          <w:tcPr>
            <w:tcW w:w="720" w:type="dxa"/>
            <w:vAlign w:val="bottom"/>
            <w:shd w:val="clear" w:color="auto" w:fill="ECEBEB"/>
          </w:tcPr>
          <w:p>
            <w:pPr>
              <w:spacing w:after="0"/>
              <w:rPr>
                <w:sz w:val="11"/>
                <w:szCs w:val="11"/>
                <w:color w:val="auto"/>
              </w:rPr>
            </w:pPr>
          </w:p>
        </w:tc>
        <w:tc>
          <w:tcPr>
            <w:tcW w:w="640" w:type="dxa"/>
            <w:vAlign w:val="bottom"/>
            <w:shd w:val="clear" w:color="auto" w:fill="ECEBEB"/>
          </w:tcPr>
          <w:p>
            <w:pPr>
              <w:spacing w:after="0"/>
              <w:rPr>
                <w:sz w:val="11"/>
                <w:szCs w:val="11"/>
                <w:color w:val="auto"/>
              </w:rPr>
            </w:pPr>
          </w:p>
        </w:tc>
        <w:tc>
          <w:tcPr>
            <w:tcW w:w="700" w:type="dxa"/>
            <w:vAlign w:val="bottom"/>
            <w:shd w:val="clear" w:color="auto" w:fill="ECEBEB"/>
          </w:tcPr>
          <w:p>
            <w:pPr>
              <w:spacing w:after="0"/>
              <w:rPr>
                <w:sz w:val="11"/>
                <w:szCs w:val="11"/>
                <w:color w:val="auto"/>
              </w:rPr>
            </w:pPr>
          </w:p>
        </w:tc>
        <w:tc>
          <w:tcPr>
            <w:tcW w:w="620" w:type="dxa"/>
            <w:vAlign w:val="bottom"/>
            <w:shd w:val="clear" w:color="auto" w:fill="ECEBEB"/>
          </w:tcPr>
          <w:p>
            <w:pPr>
              <w:spacing w:after="0"/>
              <w:rPr>
                <w:sz w:val="11"/>
                <w:szCs w:val="11"/>
                <w:color w:val="auto"/>
              </w:rPr>
            </w:pPr>
          </w:p>
        </w:tc>
        <w:tc>
          <w:tcPr>
            <w:tcW w:w="620" w:type="dxa"/>
            <w:vAlign w:val="bottom"/>
            <w:shd w:val="clear" w:color="auto" w:fill="ECEBEB"/>
          </w:tcPr>
          <w:p>
            <w:pPr>
              <w:spacing w:after="0"/>
              <w:rPr>
                <w:sz w:val="11"/>
                <w:szCs w:val="11"/>
                <w:color w:val="auto"/>
              </w:rPr>
            </w:pPr>
          </w:p>
        </w:tc>
        <w:tc>
          <w:tcPr>
            <w:tcW w:w="700" w:type="dxa"/>
            <w:vAlign w:val="bottom"/>
            <w:shd w:val="clear" w:color="auto" w:fill="ECEBEB"/>
          </w:tcPr>
          <w:p>
            <w:pPr>
              <w:spacing w:after="0"/>
              <w:rPr>
                <w:sz w:val="11"/>
                <w:szCs w:val="11"/>
                <w:color w:val="auto"/>
              </w:rPr>
            </w:pPr>
          </w:p>
        </w:tc>
        <w:tc>
          <w:tcPr>
            <w:tcW w:w="580" w:type="dxa"/>
            <w:vAlign w:val="bottom"/>
            <w:shd w:val="clear" w:color="auto" w:fill="ECEBEB"/>
          </w:tcPr>
          <w:p>
            <w:pPr>
              <w:spacing w:after="0"/>
              <w:rPr>
                <w:sz w:val="11"/>
                <w:szCs w:val="11"/>
                <w:color w:val="auto"/>
              </w:rPr>
            </w:pPr>
          </w:p>
        </w:tc>
        <w:tc>
          <w:tcPr>
            <w:tcW w:w="680" w:type="dxa"/>
            <w:vAlign w:val="bottom"/>
            <w:shd w:val="clear" w:color="auto" w:fill="ECEBEB"/>
          </w:tcPr>
          <w:p>
            <w:pPr>
              <w:jc w:val="right"/>
              <w:ind w:right="46"/>
              <w:spacing w:after="0"/>
              <w:rPr>
                <w:sz w:val="20"/>
                <w:szCs w:val="20"/>
                <w:color w:val="auto"/>
              </w:rPr>
            </w:pPr>
            <w:r>
              <w:rPr>
                <w:rFonts w:ascii="Arial" w:cs="Arial" w:eastAsia="Arial" w:hAnsi="Arial"/>
                <w:sz w:val="11"/>
                <w:szCs w:val="11"/>
                <w:b w:val="1"/>
                <w:bCs w:val="1"/>
                <w:color w:val="auto"/>
              </w:rPr>
              <w:t>Stock</w:t>
            </w:r>
          </w:p>
        </w:tc>
        <w:tc>
          <w:tcPr>
            <w:tcW w:w="560" w:type="dxa"/>
            <w:vAlign w:val="bottom"/>
            <w:shd w:val="clear" w:color="auto" w:fill="ECEBEB"/>
          </w:tcPr>
          <w:p>
            <w:pPr>
              <w:spacing w:after="0"/>
              <w:rPr>
                <w:sz w:val="11"/>
                <w:szCs w:val="11"/>
                <w:color w:val="auto"/>
              </w:rPr>
            </w:pPr>
          </w:p>
        </w:tc>
        <w:tc>
          <w:tcPr>
            <w:tcW w:w="660" w:type="dxa"/>
            <w:vAlign w:val="bottom"/>
            <w:shd w:val="clear" w:color="auto" w:fill="ECEBE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shd w:val="clear" w:color="auto" w:fill="ECEBEB"/>
          </w:tcPr>
          <w:p>
            <w:pPr>
              <w:spacing w:after="0"/>
              <w:rPr>
                <w:sz w:val="11"/>
                <w:szCs w:val="11"/>
                <w:color w:val="auto"/>
              </w:rPr>
            </w:pPr>
          </w:p>
        </w:tc>
        <w:tc>
          <w:tcPr>
            <w:tcW w:w="820" w:type="dxa"/>
            <w:vAlign w:val="bottom"/>
            <w:shd w:val="clear" w:color="auto" w:fill="ECEBEB"/>
          </w:tcPr>
          <w:p>
            <w:pPr>
              <w:spacing w:after="0"/>
              <w:rPr>
                <w:sz w:val="11"/>
                <w:szCs w:val="11"/>
                <w:color w:val="auto"/>
              </w:rPr>
            </w:pPr>
          </w:p>
        </w:tc>
        <w:tc>
          <w:tcPr>
            <w:tcW w:w="700" w:type="dxa"/>
            <w:vAlign w:val="bottom"/>
            <w:shd w:val="clear" w:color="auto" w:fill="ECEBEB"/>
          </w:tcPr>
          <w:p>
            <w:pPr>
              <w:spacing w:after="0"/>
              <w:rPr>
                <w:sz w:val="11"/>
                <w:szCs w:val="11"/>
                <w:color w:val="auto"/>
              </w:rPr>
            </w:pPr>
          </w:p>
        </w:tc>
        <w:tc>
          <w:tcPr>
            <w:tcW w:w="720" w:type="dxa"/>
            <w:vAlign w:val="bottom"/>
            <w:shd w:val="clear" w:color="auto" w:fill="ECEBEB"/>
          </w:tcPr>
          <w:p>
            <w:pPr>
              <w:spacing w:after="0"/>
              <w:rPr>
                <w:sz w:val="11"/>
                <w:szCs w:val="11"/>
                <w:color w:val="auto"/>
              </w:rPr>
            </w:pPr>
          </w:p>
        </w:tc>
        <w:tc>
          <w:tcPr>
            <w:tcW w:w="1960" w:type="dxa"/>
            <w:vAlign w:val="bottom"/>
            <w:gridSpan w:val="3"/>
            <w:vMerge w:val="restart"/>
            <w:shd w:val="clear" w:color="auto" w:fill="ECEBEB"/>
          </w:tcPr>
          <w:p>
            <w:pPr>
              <w:jc w:val="center"/>
              <w:spacing w:after="0"/>
              <w:rPr>
                <w:sz w:val="20"/>
                <w:szCs w:val="20"/>
                <w:color w:val="auto"/>
              </w:rPr>
            </w:pPr>
            <w:r>
              <w:rPr>
                <w:rFonts w:ascii="Arial" w:cs="Arial" w:eastAsia="Arial" w:hAnsi="Arial"/>
                <w:sz w:val="11"/>
                <w:szCs w:val="11"/>
                <w:b w:val="1"/>
                <w:bCs w:val="1"/>
                <w:color w:val="auto"/>
                <w:w w:val="97"/>
              </w:rPr>
              <w:t>Estimated Future Payouts</w:t>
            </w:r>
          </w:p>
        </w:tc>
        <w:tc>
          <w:tcPr>
            <w:tcW w:w="1900" w:type="dxa"/>
            <w:vAlign w:val="bottom"/>
            <w:gridSpan w:val="3"/>
            <w:vMerge w:val="restart"/>
            <w:shd w:val="clear" w:color="auto" w:fill="ECEBEB"/>
          </w:tcPr>
          <w:p>
            <w:pPr>
              <w:jc w:val="center"/>
              <w:spacing w:after="0"/>
              <w:rPr>
                <w:sz w:val="20"/>
                <w:szCs w:val="20"/>
                <w:color w:val="auto"/>
              </w:rPr>
            </w:pPr>
            <w:r>
              <w:rPr>
                <w:rFonts w:ascii="Arial" w:cs="Arial" w:eastAsia="Arial" w:hAnsi="Arial"/>
                <w:sz w:val="11"/>
                <w:szCs w:val="11"/>
                <w:b w:val="1"/>
                <w:bCs w:val="1"/>
                <w:color w:val="auto"/>
                <w:w w:val="98"/>
              </w:rPr>
              <w:t>Estimated Future Payouts</w:t>
            </w:r>
          </w:p>
        </w:tc>
        <w:tc>
          <w:tcPr>
            <w:tcW w:w="680" w:type="dxa"/>
            <w:vAlign w:val="bottom"/>
            <w:shd w:val="clear" w:color="auto" w:fill="ECEBEB"/>
          </w:tcPr>
          <w:p>
            <w:pPr>
              <w:jc w:val="right"/>
              <w:ind w:right="26"/>
              <w:spacing w:after="0"/>
              <w:rPr>
                <w:sz w:val="20"/>
                <w:szCs w:val="20"/>
                <w:color w:val="auto"/>
              </w:rPr>
            </w:pPr>
            <w:r>
              <w:rPr>
                <w:rFonts w:ascii="Arial" w:cs="Arial" w:eastAsia="Arial" w:hAnsi="Arial"/>
                <w:sz w:val="11"/>
                <w:szCs w:val="11"/>
                <w:b w:val="1"/>
                <w:bCs w:val="1"/>
                <w:color w:val="auto"/>
              </w:rPr>
              <w:t>Awards:</w:t>
            </w:r>
          </w:p>
        </w:tc>
        <w:tc>
          <w:tcPr>
            <w:tcW w:w="560" w:type="dxa"/>
            <w:vAlign w:val="bottom"/>
            <w:shd w:val="clear" w:color="auto" w:fill="ECEBEB"/>
          </w:tcPr>
          <w:p>
            <w:pPr>
              <w:jc w:val="right"/>
              <w:ind w:right="23"/>
              <w:spacing w:after="0"/>
              <w:rPr>
                <w:sz w:val="20"/>
                <w:szCs w:val="20"/>
                <w:color w:val="auto"/>
              </w:rPr>
            </w:pPr>
            <w:r>
              <w:rPr>
                <w:rFonts w:ascii="Arial" w:cs="Arial" w:eastAsia="Arial" w:hAnsi="Arial"/>
                <w:sz w:val="11"/>
                <w:szCs w:val="11"/>
                <w:b w:val="1"/>
                <w:bCs w:val="1"/>
                <w:color w:val="auto"/>
              </w:rPr>
              <w:t>Exercise</w:t>
            </w:r>
          </w:p>
        </w:tc>
        <w:tc>
          <w:tcPr>
            <w:tcW w:w="660" w:type="dxa"/>
            <w:vAlign w:val="bottom"/>
            <w:shd w:val="clear" w:color="auto" w:fill="ECEBEB"/>
          </w:tcPr>
          <w:p>
            <w:pPr>
              <w:jc w:val="center"/>
              <w:spacing w:after="0"/>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40"/>
        </w:trPr>
        <w:tc>
          <w:tcPr>
            <w:tcW w:w="1080" w:type="dxa"/>
            <w:vAlign w:val="bottom"/>
            <w:shd w:val="clear" w:color="auto" w:fill="ECEBEB"/>
          </w:tcPr>
          <w:p>
            <w:pPr>
              <w:spacing w:after="0"/>
              <w:rPr>
                <w:sz w:val="3"/>
                <w:szCs w:val="3"/>
                <w:color w:val="auto"/>
              </w:rPr>
            </w:pPr>
          </w:p>
        </w:tc>
        <w:tc>
          <w:tcPr>
            <w:tcW w:w="820" w:type="dxa"/>
            <w:vAlign w:val="bottom"/>
            <w:shd w:val="clear" w:color="auto" w:fill="ECEBEB"/>
          </w:tcPr>
          <w:p>
            <w:pPr>
              <w:spacing w:after="0"/>
              <w:rPr>
                <w:sz w:val="3"/>
                <w:szCs w:val="3"/>
                <w:color w:val="auto"/>
              </w:rPr>
            </w:pPr>
          </w:p>
        </w:tc>
        <w:tc>
          <w:tcPr>
            <w:tcW w:w="700" w:type="dxa"/>
            <w:vAlign w:val="bottom"/>
            <w:shd w:val="clear" w:color="auto" w:fill="ECEBEB"/>
          </w:tcPr>
          <w:p>
            <w:pPr>
              <w:spacing w:after="0"/>
              <w:rPr>
                <w:sz w:val="3"/>
                <w:szCs w:val="3"/>
                <w:color w:val="auto"/>
              </w:rPr>
            </w:pPr>
          </w:p>
        </w:tc>
        <w:tc>
          <w:tcPr>
            <w:tcW w:w="720" w:type="dxa"/>
            <w:vAlign w:val="bottom"/>
            <w:shd w:val="clear" w:color="auto" w:fill="ECEBEB"/>
          </w:tcPr>
          <w:p>
            <w:pPr>
              <w:spacing w:after="0"/>
              <w:rPr>
                <w:sz w:val="3"/>
                <w:szCs w:val="3"/>
                <w:color w:val="auto"/>
              </w:rPr>
            </w:pPr>
          </w:p>
        </w:tc>
        <w:tc>
          <w:tcPr>
            <w:tcW w:w="1960" w:type="dxa"/>
            <w:vAlign w:val="bottom"/>
            <w:gridSpan w:val="3"/>
            <w:vMerge w:val="continue"/>
            <w:shd w:val="clear" w:color="auto" w:fill="ECEBEB"/>
          </w:tcPr>
          <w:p>
            <w:pPr>
              <w:spacing w:after="0"/>
              <w:rPr>
                <w:sz w:val="3"/>
                <w:szCs w:val="3"/>
                <w:color w:val="auto"/>
              </w:rPr>
            </w:pPr>
          </w:p>
        </w:tc>
        <w:tc>
          <w:tcPr>
            <w:tcW w:w="1900" w:type="dxa"/>
            <w:vAlign w:val="bottom"/>
            <w:gridSpan w:val="3"/>
            <w:vMerge w:val="continue"/>
            <w:shd w:val="clear" w:color="auto" w:fill="ECEBEB"/>
          </w:tcPr>
          <w:p>
            <w:pPr>
              <w:spacing w:after="0"/>
              <w:rPr>
                <w:sz w:val="3"/>
                <w:szCs w:val="3"/>
                <w:color w:val="auto"/>
              </w:rPr>
            </w:pPr>
          </w:p>
        </w:tc>
        <w:tc>
          <w:tcPr>
            <w:tcW w:w="680" w:type="dxa"/>
            <w:vAlign w:val="bottom"/>
            <w:vMerge w:val="restart"/>
            <w:shd w:val="clear" w:color="auto" w:fill="ECEBEB"/>
          </w:tcPr>
          <w:p>
            <w:pPr>
              <w:jc w:val="right"/>
              <w:ind w:right="26"/>
              <w:spacing w:after="0" w:line="122" w:lineRule="exact"/>
              <w:rPr>
                <w:sz w:val="20"/>
                <w:szCs w:val="20"/>
                <w:color w:val="auto"/>
              </w:rPr>
            </w:pPr>
            <w:r>
              <w:rPr>
                <w:rFonts w:ascii="Arial" w:cs="Arial" w:eastAsia="Arial" w:hAnsi="Arial"/>
                <w:sz w:val="11"/>
                <w:szCs w:val="11"/>
                <w:b w:val="1"/>
                <w:bCs w:val="1"/>
                <w:color w:val="auto"/>
              </w:rPr>
              <w:t>Number of</w:t>
            </w:r>
          </w:p>
        </w:tc>
        <w:tc>
          <w:tcPr>
            <w:tcW w:w="560" w:type="dxa"/>
            <w:vAlign w:val="bottom"/>
            <w:vMerge w:val="restart"/>
            <w:shd w:val="clear" w:color="auto" w:fill="ECEBEB"/>
          </w:tcPr>
          <w:p>
            <w:pPr>
              <w:jc w:val="right"/>
              <w:ind w:right="3"/>
              <w:spacing w:after="0" w:line="122" w:lineRule="exact"/>
              <w:rPr>
                <w:sz w:val="20"/>
                <w:szCs w:val="20"/>
                <w:color w:val="auto"/>
              </w:rPr>
            </w:pPr>
            <w:r>
              <w:rPr>
                <w:rFonts w:ascii="Arial" w:cs="Arial" w:eastAsia="Arial" w:hAnsi="Arial"/>
                <w:sz w:val="11"/>
                <w:szCs w:val="11"/>
                <w:b w:val="1"/>
                <w:bCs w:val="1"/>
                <w:color w:val="auto"/>
              </w:rPr>
              <w:t>or Base</w:t>
            </w:r>
          </w:p>
        </w:tc>
        <w:tc>
          <w:tcPr>
            <w:tcW w:w="660" w:type="dxa"/>
            <w:vAlign w:val="bottom"/>
            <w:vMerge w:val="restart"/>
            <w:shd w:val="clear" w:color="auto" w:fill="ECEBEB"/>
          </w:tcPr>
          <w:p>
            <w:pPr>
              <w:jc w:val="center"/>
              <w:spacing w:after="0" w:line="122"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81"/>
        </w:trPr>
        <w:tc>
          <w:tcPr>
            <w:tcW w:w="1080" w:type="dxa"/>
            <w:vAlign w:val="bottom"/>
            <w:shd w:val="clear" w:color="auto" w:fill="ECEBEB"/>
          </w:tcPr>
          <w:p>
            <w:pPr>
              <w:spacing w:after="0"/>
              <w:rPr>
                <w:sz w:val="7"/>
                <w:szCs w:val="7"/>
                <w:color w:val="auto"/>
              </w:rPr>
            </w:pPr>
          </w:p>
        </w:tc>
        <w:tc>
          <w:tcPr>
            <w:tcW w:w="820" w:type="dxa"/>
            <w:vAlign w:val="bottom"/>
            <w:shd w:val="clear" w:color="auto" w:fill="ECEBEB"/>
          </w:tcPr>
          <w:p>
            <w:pPr>
              <w:spacing w:after="0"/>
              <w:rPr>
                <w:sz w:val="7"/>
                <w:szCs w:val="7"/>
                <w:color w:val="auto"/>
              </w:rPr>
            </w:pPr>
          </w:p>
        </w:tc>
        <w:tc>
          <w:tcPr>
            <w:tcW w:w="700" w:type="dxa"/>
            <w:vAlign w:val="bottom"/>
            <w:shd w:val="clear" w:color="auto" w:fill="ECEBEB"/>
          </w:tcPr>
          <w:p>
            <w:pPr>
              <w:spacing w:after="0"/>
              <w:rPr>
                <w:sz w:val="7"/>
                <w:szCs w:val="7"/>
                <w:color w:val="auto"/>
              </w:rPr>
            </w:pPr>
          </w:p>
        </w:tc>
        <w:tc>
          <w:tcPr>
            <w:tcW w:w="720" w:type="dxa"/>
            <w:vAlign w:val="bottom"/>
            <w:shd w:val="clear" w:color="auto" w:fill="ECEBEB"/>
          </w:tcPr>
          <w:p>
            <w:pPr>
              <w:spacing w:after="0"/>
              <w:rPr>
                <w:sz w:val="7"/>
                <w:szCs w:val="7"/>
                <w:color w:val="auto"/>
              </w:rPr>
            </w:pPr>
          </w:p>
        </w:tc>
        <w:tc>
          <w:tcPr>
            <w:tcW w:w="1960" w:type="dxa"/>
            <w:vAlign w:val="bottom"/>
            <w:gridSpan w:val="3"/>
            <w:vMerge w:val="restart"/>
            <w:shd w:val="clear" w:color="auto" w:fill="ECEBEB"/>
          </w:tcPr>
          <w:p>
            <w:pPr>
              <w:jc w:val="center"/>
              <w:spacing w:after="0"/>
              <w:rPr>
                <w:sz w:val="20"/>
                <w:szCs w:val="20"/>
                <w:color w:val="auto"/>
              </w:rPr>
            </w:pPr>
            <w:r>
              <w:rPr>
                <w:rFonts w:ascii="Arial" w:cs="Arial" w:eastAsia="Arial" w:hAnsi="Arial"/>
                <w:sz w:val="11"/>
                <w:szCs w:val="11"/>
                <w:b w:val="1"/>
                <w:bCs w:val="1"/>
                <w:color w:val="auto"/>
                <w:w w:val="98"/>
              </w:rPr>
              <w:t>Under Non-Equity Incentive</w:t>
            </w:r>
          </w:p>
        </w:tc>
        <w:tc>
          <w:tcPr>
            <w:tcW w:w="1900" w:type="dxa"/>
            <w:vAlign w:val="bottom"/>
            <w:gridSpan w:val="3"/>
            <w:vMerge w:val="restart"/>
            <w:shd w:val="clear" w:color="auto" w:fill="ECEBEB"/>
          </w:tcPr>
          <w:p>
            <w:pPr>
              <w:jc w:val="center"/>
              <w:spacing w:after="0"/>
              <w:rPr>
                <w:sz w:val="20"/>
                <w:szCs w:val="20"/>
                <w:color w:val="auto"/>
              </w:rPr>
            </w:pPr>
            <w:r>
              <w:rPr>
                <w:rFonts w:ascii="Arial" w:cs="Arial" w:eastAsia="Arial" w:hAnsi="Arial"/>
                <w:sz w:val="11"/>
                <w:szCs w:val="11"/>
                <w:b w:val="1"/>
                <w:bCs w:val="1"/>
                <w:color w:val="auto"/>
                <w:w w:val="98"/>
              </w:rPr>
              <w:t>Under Equity Incentive</w:t>
            </w:r>
          </w:p>
        </w:tc>
        <w:tc>
          <w:tcPr>
            <w:tcW w:w="680" w:type="dxa"/>
            <w:vAlign w:val="bottom"/>
            <w:vMerge w:val="continue"/>
            <w:shd w:val="clear" w:color="auto" w:fill="ECEBEB"/>
          </w:tcPr>
          <w:p>
            <w:pPr>
              <w:spacing w:after="0"/>
              <w:rPr>
                <w:sz w:val="7"/>
                <w:szCs w:val="7"/>
                <w:color w:val="auto"/>
              </w:rPr>
            </w:pPr>
          </w:p>
        </w:tc>
        <w:tc>
          <w:tcPr>
            <w:tcW w:w="560" w:type="dxa"/>
            <w:vAlign w:val="bottom"/>
            <w:vMerge w:val="continue"/>
            <w:shd w:val="clear" w:color="auto" w:fill="ECEBEB"/>
          </w:tcPr>
          <w:p>
            <w:pPr>
              <w:spacing w:after="0"/>
              <w:rPr>
                <w:sz w:val="7"/>
                <w:szCs w:val="7"/>
                <w:color w:val="auto"/>
              </w:rPr>
            </w:pPr>
          </w:p>
        </w:tc>
        <w:tc>
          <w:tcPr>
            <w:tcW w:w="660" w:type="dxa"/>
            <w:vAlign w:val="bottom"/>
            <w:vMerge w:val="continue"/>
            <w:shd w:val="clear" w:color="auto" w:fill="ECEBEB"/>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80" w:type="dxa"/>
            <w:vAlign w:val="bottom"/>
            <w:shd w:val="clear" w:color="auto" w:fill="ECEBEB"/>
          </w:tcPr>
          <w:p>
            <w:pPr>
              <w:spacing w:after="0"/>
              <w:rPr>
                <w:sz w:val="4"/>
                <w:szCs w:val="4"/>
                <w:color w:val="auto"/>
              </w:rPr>
            </w:pPr>
          </w:p>
        </w:tc>
        <w:tc>
          <w:tcPr>
            <w:tcW w:w="820" w:type="dxa"/>
            <w:vAlign w:val="bottom"/>
            <w:shd w:val="clear" w:color="auto" w:fill="ECEBEB"/>
          </w:tcPr>
          <w:p>
            <w:pPr>
              <w:spacing w:after="0"/>
              <w:rPr>
                <w:sz w:val="4"/>
                <w:szCs w:val="4"/>
                <w:color w:val="auto"/>
              </w:rPr>
            </w:pPr>
          </w:p>
        </w:tc>
        <w:tc>
          <w:tcPr>
            <w:tcW w:w="700" w:type="dxa"/>
            <w:vAlign w:val="bottom"/>
            <w:shd w:val="clear" w:color="auto" w:fill="ECEBEB"/>
          </w:tcPr>
          <w:p>
            <w:pPr>
              <w:spacing w:after="0"/>
              <w:rPr>
                <w:sz w:val="4"/>
                <w:szCs w:val="4"/>
                <w:color w:val="auto"/>
              </w:rPr>
            </w:pPr>
          </w:p>
        </w:tc>
        <w:tc>
          <w:tcPr>
            <w:tcW w:w="720" w:type="dxa"/>
            <w:vAlign w:val="bottom"/>
            <w:shd w:val="clear" w:color="auto" w:fill="ECEBEB"/>
          </w:tcPr>
          <w:p>
            <w:pPr>
              <w:spacing w:after="0"/>
              <w:rPr>
                <w:sz w:val="4"/>
                <w:szCs w:val="4"/>
                <w:color w:val="auto"/>
              </w:rPr>
            </w:pPr>
          </w:p>
        </w:tc>
        <w:tc>
          <w:tcPr>
            <w:tcW w:w="1960" w:type="dxa"/>
            <w:vAlign w:val="bottom"/>
            <w:gridSpan w:val="3"/>
            <w:vMerge w:val="continue"/>
            <w:shd w:val="clear" w:color="auto" w:fill="ECEBEB"/>
          </w:tcPr>
          <w:p>
            <w:pPr>
              <w:spacing w:after="0"/>
              <w:rPr>
                <w:sz w:val="4"/>
                <w:szCs w:val="4"/>
                <w:color w:val="auto"/>
              </w:rPr>
            </w:pPr>
          </w:p>
        </w:tc>
        <w:tc>
          <w:tcPr>
            <w:tcW w:w="1900" w:type="dxa"/>
            <w:vAlign w:val="bottom"/>
            <w:gridSpan w:val="3"/>
            <w:vMerge w:val="continue"/>
            <w:shd w:val="clear" w:color="auto" w:fill="ECEBEB"/>
          </w:tcPr>
          <w:p>
            <w:pPr>
              <w:spacing w:after="0"/>
              <w:rPr>
                <w:sz w:val="4"/>
                <w:szCs w:val="4"/>
                <w:color w:val="auto"/>
              </w:rPr>
            </w:pPr>
          </w:p>
        </w:tc>
        <w:tc>
          <w:tcPr>
            <w:tcW w:w="680" w:type="dxa"/>
            <w:vAlign w:val="bottom"/>
            <w:vMerge w:val="restart"/>
            <w:shd w:val="clear" w:color="auto" w:fill="ECEBEB"/>
          </w:tcPr>
          <w:p>
            <w:pPr>
              <w:jc w:val="right"/>
              <w:ind w:right="26"/>
              <w:spacing w:after="0"/>
              <w:rPr>
                <w:sz w:val="20"/>
                <w:szCs w:val="20"/>
                <w:color w:val="auto"/>
              </w:rPr>
            </w:pPr>
            <w:r>
              <w:rPr>
                <w:rFonts w:ascii="Arial" w:cs="Arial" w:eastAsia="Arial" w:hAnsi="Arial"/>
                <w:sz w:val="11"/>
                <w:szCs w:val="11"/>
                <w:b w:val="1"/>
                <w:bCs w:val="1"/>
                <w:color w:val="auto"/>
              </w:rPr>
              <w:t>Shares of</w:t>
            </w:r>
          </w:p>
        </w:tc>
        <w:tc>
          <w:tcPr>
            <w:tcW w:w="560" w:type="dxa"/>
            <w:vAlign w:val="bottom"/>
            <w:vMerge w:val="restart"/>
            <w:shd w:val="clear" w:color="auto" w:fill="ECEBEB"/>
          </w:tcPr>
          <w:p>
            <w:pPr>
              <w:jc w:val="right"/>
              <w:ind w:right="23"/>
              <w:spacing w:after="0"/>
              <w:rPr>
                <w:sz w:val="20"/>
                <w:szCs w:val="20"/>
                <w:color w:val="auto"/>
              </w:rPr>
            </w:pPr>
            <w:r>
              <w:rPr>
                <w:rFonts w:ascii="Arial" w:cs="Arial" w:eastAsia="Arial" w:hAnsi="Arial"/>
                <w:sz w:val="11"/>
                <w:szCs w:val="11"/>
                <w:b w:val="1"/>
                <w:bCs w:val="1"/>
                <w:color w:val="auto"/>
              </w:rPr>
              <w:t>Price of</w:t>
            </w:r>
          </w:p>
        </w:tc>
        <w:tc>
          <w:tcPr>
            <w:tcW w:w="660" w:type="dxa"/>
            <w:vAlign w:val="bottom"/>
            <w:vMerge w:val="restart"/>
            <w:shd w:val="clear" w:color="auto" w:fill="ECEBEB"/>
          </w:tcPr>
          <w:p>
            <w:pPr>
              <w:jc w:val="right"/>
              <w:spacing w:after="0"/>
              <w:rPr>
                <w:sz w:val="20"/>
                <w:szCs w:val="20"/>
                <w:color w:val="auto"/>
              </w:rPr>
            </w:pPr>
            <w:r>
              <w:rPr>
                <w:rFonts w:ascii="Arial" w:cs="Arial" w:eastAsia="Arial" w:hAnsi="Arial"/>
                <w:sz w:val="11"/>
                <w:szCs w:val="11"/>
                <w:b w:val="1"/>
                <w:bCs w:val="1"/>
                <w:color w:val="auto"/>
              </w:rPr>
              <w:t>of Stock</w:t>
            </w:r>
          </w:p>
        </w:tc>
        <w:tc>
          <w:tcPr>
            <w:tcW w:w="0" w:type="dxa"/>
            <w:vAlign w:val="bottom"/>
          </w:tcPr>
          <w:p>
            <w:pPr>
              <w:spacing w:after="0"/>
              <w:rPr>
                <w:sz w:val="1"/>
                <w:szCs w:val="1"/>
                <w:color w:val="auto"/>
              </w:rPr>
            </w:pPr>
          </w:p>
        </w:tc>
      </w:tr>
      <w:tr>
        <w:trPr>
          <w:trHeight w:val="81"/>
        </w:trPr>
        <w:tc>
          <w:tcPr>
            <w:tcW w:w="1080" w:type="dxa"/>
            <w:vAlign w:val="bottom"/>
            <w:shd w:val="clear" w:color="auto" w:fill="ECEBEB"/>
          </w:tcPr>
          <w:p>
            <w:pPr>
              <w:spacing w:after="0"/>
              <w:rPr>
                <w:sz w:val="7"/>
                <w:szCs w:val="7"/>
                <w:color w:val="auto"/>
              </w:rPr>
            </w:pPr>
          </w:p>
        </w:tc>
        <w:tc>
          <w:tcPr>
            <w:tcW w:w="820" w:type="dxa"/>
            <w:vAlign w:val="bottom"/>
            <w:shd w:val="clear" w:color="auto" w:fill="ECEBEB"/>
          </w:tcPr>
          <w:p>
            <w:pPr>
              <w:spacing w:after="0"/>
              <w:rPr>
                <w:sz w:val="7"/>
                <w:szCs w:val="7"/>
                <w:color w:val="auto"/>
              </w:rPr>
            </w:pPr>
          </w:p>
        </w:tc>
        <w:tc>
          <w:tcPr>
            <w:tcW w:w="700" w:type="dxa"/>
            <w:vAlign w:val="bottom"/>
            <w:shd w:val="clear" w:color="auto" w:fill="ECEBEB"/>
          </w:tcPr>
          <w:p>
            <w:pPr>
              <w:spacing w:after="0"/>
              <w:rPr>
                <w:sz w:val="7"/>
                <w:szCs w:val="7"/>
                <w:color w:val="auto"/>
              </w:rPr>
            </w:pPr>
          </w:p>
        </w:tc>
        <w:tc>
          <w:tcPr>
            <w:tcW w:w="720" w:type="dxa"/>
            <w:vAlign w:val="bottom"/>
            <w:shd w:val="clear" w:color="auto" w:fill="ECEBEB"/>
          </w:tcPr>
          <w:p>
            <w:pPr>
              <w:spacing w:after="0"/>
              <w:rPr>
                <w:sz w:val="7"/>
                <w:szCs w:val="7"/>
                <w:color w:val="auto"/>
              </w:rPr>
            </w:pPr>
          </w:p>
        </w:tc>
        <w:tc>
          <w:tcPr>
            <w:tcW w:w="640" w:type="dxa"/>
            <w:vAlign w:val="bottom"/>
            <w:shd w:val="clear" w:color="auto" w:fill="ECEBEB"/>
          </w:tcPr>
          <w:p>
            <w:pPr>
              <w:spacing w:after="0"/>
              <w:rPr>
                <w:sz w:val="7"/>
                <w:szCs w:val="7"/>
                <w:color w:val="auto"/>
              </w:rPr>
            </w:pPr>
          </w:p>
        </w:tc>
        <w:tc>
          <w:tcPr>
            <w:tcW w:w="700" w:type="dxa"/>
            <w:vAlign w:val="bottom"/>
            <w:vMerge w:val="restart"/>
            <w:shd w:val="clear" w:color="auto" w:fill="ECEBEB"/>
          </w:tcPr>
          <w:p>
            <w:pPr>
              <w:jc w:val="center"/>
              <w:spacing w:after="0"/>
              <w:rPr>
                <w:sz w:val="20"/>
                <w:szCs w:val="20"/>
                <w:color w:val="auto"/>
              </w:rPr>
            </w:pPr>
            <w:r>
              <w:rPr>
                <w:rFonts w:ascii="Arial" w:cs="Arial" w:eastAsia="Arial" w:hAnsi="Arial"/>
                <w:sz w:val="11"/>
                <w:szCs w:val="11"/>
                <w:b w:val="1"/>
                <w:bCs w:val="1"/>
                <w:color w:val="auto"/>
                <w:w w:val="96"/>
              </w:rPr>
              <w:t>Plan Awards</w:t>
            </w:r>
          </w:p>
        </w:tc>
        <w:tc>
          <w:tcPr>
            <w:tcW w:w="620" w:type="dxa"/>
            <w:vAlign w:val="bottom"/>
            <w:shd w:val="clear" w:color="auto" w:fill="ECEBEB"/>
          </w:tcPr>
          <w:p>
            <w:pPr>
              <w:spacing w:after="0"/>
              <w:rPr>
                <w:sz w:val="7"/>
                <w:szCs w:val="7"/>
                <w:color w:val="auto"/>
              </w:rPr>
            </w:pPr>
          </w:p>
        </w:tc>
        <w:tc>
          <w:tcPr>
            <w:tcW w:w="620" w:type="dxa"/>
            <w:vAlign w:val="bottom"/>
            <w:shd w:val="clear" w:color="auto" w:fill="ECEBEB"/>
          </w:tcPr>
          <w:p>
            <w:pPr>
              <w:spacing w:after="0"/>
              <w:rPr>
                <w:sz w:val="7"/>
                <w:szCs w:val="7"/>
                <w:color w:val="auto"/>
              </w:rPr>
            </w:pPr>
          </w:p>
        </w:tc>
        <w:tc>
          <w:tcPr>
            <w:tcW w:w="700" w:type="dxa"/>
            <w:vAlign w:val="bottom"/>
            <w:vMerge w:val="restart"/>
            <w:shd w:val="clear" w:color="auto" w:fill="ECEBEB"/>
          </w:tcPr>
          <w:p>
            <w:pPr>
              <w:jc w:val="center"/>
              <w:spacing w:after="0"/>
              <w:rPr>
                <w:sz w:val="20"/>
                <w:szCs w:val="20"/>
                <w:color w:val="auto"/>
              </w:rPr>
            </w:pPr>
            <w:r>
              <w:rPr>
                <w:rFonts w:ascii="Arial" w:cs="Arial" w:eastAsia="Arial" w:hAnsi="Arial"/>
                <w:sz w:val="11"/>
                <w:szCs w:val="11"/>
                <w:b w:val="1"/>
                <w:bCs w:val="1"/>
                <w:color w:val="auto"/>
                <w:w w:val="99"/>
              </w:rPr>
              <w:t>Plan Awards</w:t>
            </w:r>
          </w:p>
        </w:tc>
        <w:tc>
          <w:tcPr>
            <w:tcW w:w="580" w:type="dxa"/>
            <w:vAlign w:val="bottom"/>
            <w:shd w:val="clear" w:color="auto" w:fill="ECEBEB"/>
          </w:tcPr>
          <w:p>
            <w:pPr>
              <w:spacing w:after="0"/>
              <w:rPr>
                <w:sz w:val="7"/>
                <w:szCs w:val="7"/>
                <w:color w:val="auto"/>
              </w:rPr>
            </w:pPr>
          </w:p>
        </w:tc>
        <w:tc>
          <w:tcPr>
            <w:tcW w:w="680" w:type="dxa"/>
            <w:vAlign w:val="bottom"/>
            <w:vMerge w:val="continue"/>
            <w:shd w:val="clear" w:color="auto" w:fill="ECEBEB"/>
          </w:tcPr>
          <w:p>
            <w:pPr>
              <w:spacing w:after="0"/>
              <w:rPr>
                <w:sz w:val="7"/>
                <w:szCs w:val="7"/>
                <w:color w:val="auto"/>
              </w:rPr>
            </w:pPr>
          </w:p>
        </w:tc>
        <w:tc>
          <w:tcPr>
            <w:tcW w:w="560" w:type="dxa"/>
            <w:vAlign w:val="bottom"/>
            <w:vMerge w:val="continue"/>
            <w:shd w:val="clear" w:color="auto" w:fill="ECEBEB"/>
          </w:tcPr>
          <w:p>
            <w:pPr>
              <w:spacing w:after="0"/>
              <w:rPr>
                <w:sz w:val="7"/>
                <w:szCs w:val="7"/>
                <w:color w:val="auto"/>
              </w:rPr>
            </w:pPr>
          </w:p>
        </w:tc>
        <w:tc>
          <w:tcPr>
            <w:tcW w:w="660" w:type="dxa"/>
            <w:vAlign w:val="bottom"/>
            <w:vMerge w:val="continue"/>
            <w:shd w:val="clear" w:color="auto" w:fill="ECEBEB"/>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1080" w:type="dxa"/>
            <w:vAlign w:val="bottom"/>
            <w:tcBorders>
              <w:bottom w:val="single" w:sz="8" w:color="ECEBEB"/>
            </w:tcBorders>
            <w:shd w:val="clear" w:color="auto" w:fill="ECEBEB"/>
          </w:tcPr>
          <w:p>
            <w:pPr>
              <w:spacing w:after="0"/>
              <w:rPr>
                <w:sz w:val="5"/>
                <w:szCs w:val="5"/>
                <w:color w:val="auto"/>
              </w:rPr>
            </w:pPr>
          </w:p>
        </w:tc>
        <w:tc>
          <w:tcPr>
            <w:tcW w:w="820" w:type="dxa"/>
            <w:vAlign w:val="bottom"/>
            <w:tcBorders>
              <w:bottom w:val="single" w:sz="8" w:color="ECEBEB"/>
            </w:tcBorders>
            <w:shd w:val="clear" w:color="auto" w:fill="ECEBEB"/>
          </w:tcPr>
          <w:p>
            <w:pPr>
              <w:spacing w:after="0"/>
              <w:rPr>
                <w:sz w:val="5"/>
                <w:szCs w:val="5"/>
                <w:color w:val="auto"/>
              </w:rPr>
            </w:pPr>
          </w:p>
        </w:tc>
        <w:tc>
          <w:tcPr>
            <w:tcW w:w="700" w:type="dxa"/>
            <w:vAlign w:val="bottom"/>
            <w:tcBorders>
              <w:bottom w:val="single" w:sz="8" w:color="ECEBEB"/>
            </w:tcBorders>
            <w:shd w:val="clear" w:color="auto" w:fill="ECEBEB"/>
          </w:tcPr>
          <w:p>
            <w:pPr>
              <w:spacing w:after="0"/>
              <w:rPr>
                <w:sz w:val="5"/>
                <w:szCs w:val="5"/>
                <w:color w:val="auto"/>
              </w:rPr>
            </w:pPr>
          </w:p>
        </w:tc>
        <w:tc>
          <w:tcPr>
            <w:tcW w:w="720" w:type="dxa"/>
            <w:vAlign w:val="bottom"/>
            <w:tcBorders>
              <w:bottom w:val="single" w:sz="8" w:color="ECEBEB"/>
            </w:tcBorders>
            <w:shd w:val="clear" w:color="auto" w:fill="ECEBEB"/>
          </w:tcPr>
          <w:p>
            <w:pPr>
              <w:spacing w:after="0"/>
              <w:rPr>
                <w:sz w:val="5"/>
                <w:szCs w:val="5"/>
                <w:color w:val="auto"/>
              </w:rPr>
            </w:pPr>
          </w:p>
        </w:tc>
        <w:tc>
          <w:tcPr>
            <w:tcW w:w="640" w:type="dxa"/>
            <w:vAlign w:val="bottom"/>
            <w:tcBorders>
              <w:bottom w:val="single" w:sz="8" w:color="0956FF"/>
            </w:tcBorders>
            <w:shd w:val="clear" w:color="auto" w:fill="ECEBEB"/>
          </w:tcPr>
          <w:p>
            <w:pPr>
              <w:spacing w:after="0"/>
              <w:rPr>
                <w:sz w:val="5"/>
                <w:szCs w:val="5"/>
                <w:color w:val="auto"/>
              </w:rPr>
            </w:pPr>
          </w:p>
        </w:tc>
        <w:tc>
          <w:tcPr>
            <w:tcW w:w="700" w:type="dxa"/>
            <w:vAlign w:val="bottom"/>
            <w:tcBorders>
              <w:bottom w:val="single" w:sz="8" w:color="0956FF"/>
            </w:tcBorders>
            <w:vMerge w:val="continue"/>
            <w:shd w:val="clear" w:color="auto" w:fill="ECEBEB"/>
          </w:tcPr>
          <w:p>
            <w:pPr>
              <w:spacing w:after="0"/>
              <w:rPr>
                <w:sz w:val="5"/>
                <w:szCs w:val="5"/>
                <w:color w:val="auto"/>
              </w:rPr>
            </w:pPr>
          </w:p>
        </w:tc>
        <w:tc>
          <w:tcPr>
            <w:tcW w:w="620" w:type="dxa"/>
            <w:vAlign w:val="bottom"/>
            <w:tcBorders>
              <w:bottom w:val="single" w:sz="8" w:color="0956FF"/>
            </w:tcBorders>
            <w:shd w:val="clear" w:color="auto" w:fill="ECEBEB"/>
          </w:tcPr>
          <w:p>
            <w:pPr>
              <w:spacing w:after="0"/>
              <w:rPr>
                <w:sz w:val="5"/>
                <w:szCs w:val="5"/>
                <w:color w:val="auto"/>
              </w:rPr>
            </w:pPr>
          </w:p>
        </w:tc>
        <w:tc>
          <w:tcPr>
            <w:tcW w:w="620" w:type="dxa"/>
            <w:vAlign w:val="bottom"/>
            <w:tcBorders>
              <w:bottom w:val="single" w:sz="8" w:color="0956FF"/>
            </w:tcBorders>
            <w:shd w:val="clear" w:color="auto" w:fill="ECEBEB"/>
          </w:tcPr>
          <w:p>
            <w:pPr>
              <w:spacing w:after="0"/>
              <w:rPr>
                <w:sz w:val="5"/>
                <w:szCs w:val="5"/>
                <w:color w:val="auto"/>
              </w:rPr>
            </w:pPr>
          </w:p>
        </w:tc>
        <w:tc>
          <w:tcPr>
            <w:tcW w:w="700" w:type="dxa"/>
            <w:vAlign w:val="bottom"/>
            <w:tcBorders>
              <w:bottom w:val="single" w:sz="8" w:color="0956FF"/>
            </w:tcBorders>
            <w:vMerge w:val="continue"/>
            <w:shd w:val="clear" w:color="auto" w:fill="ECEBEB"/>
          </w:tcPr>
          <w:p>
            <w:pPr>
              <w:spacing w:after="0"/>
              <w:rPr>
                <w:sz w:val="5"/>
                <w:szCs w:val="5"/>
                <w:color w:val="auto"/>
              </w:rPr>
            </w:pPr>
          </w:p>
        </w:tc>
        <w:tc>
          <w:tcPr>
            <w:tcW w:w="580" w:type="dxa"/>
            <w:vAlign w:val="bottom"/>
            <w:tcBorders>
              <w:bottom w:val="single" w:sz="8" w:color="0956FF"/>
            </w:tcBorders>
            <w:shd w:val="clear" w:color="auto" w:fill="ECEBEB"/>
          </w:tcPr>
          <w:p>
            <w:pPr>
              <w:spacing w:after="0"/>
              <w:rPr>
                <w:sz w:val="5"/>
                <w:szCs w:val="5"/>
                <w:color w:val="auto"/>
              </w:rPr>
            </w:pPr>
          </w:p>
        </w:tc>
        <w:tc>
          <w:tcPr>
            <w:tcW w:w="680" w:type="dxa"/>
            <w:vAlign w:val="bottom"/>
            <w:tcBorders>
              <w:bottom w:val="single" w:sz="8" w:color="ECEBEB"/>
            </w:tcBorders>
            <w:vMerge w:val="restart"/>
            <w:shd w:val="clear" w:color="auto" w:fill="ECEBEB"/>
          </w:tcPr>
          <w:p>
            <w:pPr>
              <w:jc w:val="right"/>
              <w:ind w:right="26"/>
              <w:spacing w:after="0" w:line="122" w:lineRule="exact"/>
              <w:rPr>
                <w:sz w:val="20"/>
                <w:szCs w:val="20"/>
                <w:color w:val="auto"/>
              </w:rPr>
            </w:pPr>
            <w:r>
              <w:rPr>
                <w:rFonts w:ascii="Arial" w:cs="Arial" w:eastAsia="Arial" w:hAnsi="Arial"/>
                <w:sz w:val="11"/>
                <w:szCs w:val="11"/>
                <w:b w:val="1"/>
                <w:bCs w:val="1"/>
                <w:color w:val="auto"/>
              </w:rPr>
              <w:t>Stock or</w:t>
            </w:r>
          </w:p>
        </w:tc>
        <w:tc>
          <w:tcPr>
            <w:tcW w:w="560" w:type="dxa"/>
            <w:vAlign w:val="bottom"/>
            <w:tcBorders>
              <w:bottom w:val="single" w:sz="8" w:color="ECEBEB"/>
            </w:tcBorders>
            <w:vMerge w:val="restart"/>
            <w:shd w:val="clear" w:color="auto" w:fill="ECEBEB"/>
          </w:tcPr>
          <w:p>
            <w:pPr>
              <w:jc w:val="right"/>
              <w:ind w:right="3"/>
              <w:spacing w:after="0" w:line="122" w:lineRule="exact"/>
              <w:rPr>
                <w:sz w:val="20"/>
                <w:szCs w:val="20"/>
                <w:color w:val="auto"/>
              </w:rPr>
            </w:pPr>
            <w:r>
              <w:rPr>
                <w:rFonts w:ascii="Arial" w:cs="Arial" w:eastAsia="Arial" w:hAnsi="Arial"/>
                <w:sz w:val="11"/>
                <w:szCs w:val="11"/>
                <w:b w:val="1"/>
                <w:bCs w:val="1"/>
                <w:color w:val="auto"/>
              </w:rPr>
              <w:t>Option</w:t>
            </w:r>
          </w:p>
        </w:tc>
        <w:tc>
          <w:tcPr>
            <w:tcW w:w="660" w:type="dxa"/>
            <w:vAlign w:val="bottom"/>
            <w:tcBorders>
              <w:bottom w:val="single" w:sz="8" w:color="ECEBEB"/>
            </w:tcBorders>
            <w:vMerge w:val="restart"/>
            <w:shd w:val="clear" w:color="auto" w:fill="ECEBEB"/>
          </w:tcPr>
          <w:p>
            <w:pPr>
              <w:jc w:val="center"/>
              <w:spacing w:after="0" w:line="122" w:lineRule="exact"/>
              <w:rPr>
                <w:sz w:val="20"/>
                <w:szCs w:val="20"/>
                <w:color w:val="auto"/>
              </w:rPr>
            </w:pPr>
            <w:r>
              <w:rPr>
                <w:rFonts w:ascii="Arial" w:cs="Arial" w:eastAsia="Arial" w:hAnsi="Arial"/>
                <w:sz w:val="11"/>
                <w:szCs w:val="11"/>
                <w:b w:val="1"/>
                <w:bCs w:val="1"/>
                <w:color w:val="auto"/>
                <w:w w:val="99"/>
              </w:rPr>
              <w:t>and Option</w:t>
            </w:r>
          </w:p>
        </w:tc>
        <w:tc>
          <w:tcPr>
            <w:tcW w:w="0" w:type="dxa"/>
            <w:vAlign w:val="bottom"/>
          </w:tcPr>
          <w:p>
            <w:pPr>
              <w:spacing w:after="0"/>
              <w:rPr>
                <w:sz w:val="1"/>
                <w:szCs w:val="1"/>
                <w:color w:val="auto"/>
              </w:rPr>
            </w:pPr>
          </w:p>
        </w:tc>
      </w:tr>
      <w:tr>
        <w:trPr>
          <w:trHeight w:val="35"/>
        </w:trPr>
        <w:tc>
          <w:tcPr>
            <w:tcW w:w="1080" w:type="dxa"/>
            <w:vAlign w:val="bottom"/>
            <w:shd w:val="clear" w:color="auto" w:fill="ECEBEB"/>
          </w:tcPr>
          <w:p>
            <w:pPr>
              <w:spacing w:after="0"/>
              <w:rPr>
                <w:sz w:val="3"/>
                <w:szCs w:val="3"/>
                <w:color w:val="auto"/>
              </w:rPr>
            </w:pPr>
          </w:p>
        </w:tc>
        <w:tc>
          <w:tcPr>
            <w:tcW w:w="820" w:type="dxa"/>
            <w:vAlign w:val="bottom"/>
            <w:vMerge w:val="restart"/>
            <w:shd w:val="clear" w:color="auto" w:fill="ECEBEB"/>
          </w:tcPr>
          <w:p>
            <w:pPr>
              <w:jc w:val="right"/>
              <w:ind w:right="26"/>
              <w:spacing w:after="0"/>
              <w:rPr>
                <w:sz w:val="20"/>
                <w:szCs w:val="20"/>
                <w:color w:val="auto"/>
              </w:rPr>
            </w:pPr>
            <w:r>
              <w:rPr>
                <w:rFonts w:ascii="Arial" w:cs="Arial" w:eastAsia="Arial" w:hAnsi="Arial"/>
                <w:sz w:val="11"/>
                <w:szCs w:val="11"/>
                <w:b w:val="1"/>
                <w:bCs w:val="1"/>
                <w:color w:val="auto"/>
              </w:rPr>
              <w:t>Award</w:t>
            </w:r>
          </w:p>
        </w:tc>
        <w:tc>
          <w:tcPr>
            <w:tcW w:w="700" w:type="dxa"/>
            <w:vAlign w:val="bottom"/>
            <w:vMerge w:val="restart"/>
            <w:shd w:val="clear" w:color="auto" w:fill="ECEBEB"/>
          </w:tcPr>
          <w:p>
            <w:pPr>
              <w:jc w:val="right"/>
              <w:ind w:right="26"/>
              <w:spacing w:after="0"/>
              <w:rPr>
                <w:sz w:val="20"/>
                <w:szCs w:val="20"/>
                <w:color w:val="auto"/>
              </w:rPr>
            </w:pPr>
            <w:r>
              <w:rPr>
                <w:rFonts w:ascii="Arial" w:cs="Arial" w:eastAsia="Arial" w:hAnsi="Arial"/>
                <w:sz w:val="11"/>
                <w:szCs w:val="11"/>
                <w:b w:val="1"/>
                <w:bCs w:val="1"/>
                <w:color w:val="auto"/>
              </w:rPr>
              <w:t>Grant</w:t>
            </w:r>
          </w:p>
        </w:tc>
        <w:tc>
          <w:tcPr>
            <w:tcW w:w="720" w:type="dxa"/>
            <w:vAlign w:val="bottom"/>
            <w:vMerge w:val="restart"/>
            <w:shd w:val="clear" w:color="auto" w:fill="ECEBEB"/>
          </w:tcPr>
          <w:p>
            <w:pPr>
              <w:jc w:val="right"/>
              <w:spacing w:after="0"/>
              <w:rPr>
                <w:sz w:val="20"/>
                <w:szCs w:val="20"/>
                <w:color w:val="auto"/>
              </w:rPr>
            </w:pPr>
            <w:r>
              <w:rPr>
                <w:rFonts w:ascii="Arial" w:cs="Arial" w:eastAsia="Arial" w:hAnsi="Arial"/>
                <w:sz w:val="11"/>
                <w:szCs w:val="11"/>
                <w:b w:val="1"/>
                <w:bCs w:val="1"/>
                <w:color w:val="auto"/>
              </w:rPr>
              <w:t>Approval</w:t>
            </w:r>
          </w:p>
        </w:tc>
        <w:tc>
          <w:tcPr>
            <w:tcW w:w="640" w:type="dxa"/>
            <w:vAlign w:val="bottom"/>
            <w:vMerge w:val="restart"/>
            <w:shd w:val="clear" w:color="auto" w:fill="ECEBEB"/>
          </w:tcPr>
          <w:p>
            <w:pPr>
              <w:jc w:val="right"/>
              <w:spacing w:after="0"/>
              <w:rPr>
                <w:sz w:val="20"/>
                <w:szCs w:val="20"/>
                <w:color w:val="auto"/>
              </w:rPr>
            </w:pPr>
            <w:r>
              <w:rPr>
                <w:rFonts w:ascii="Arial" w:cs="Arial" w:eastAsia="Arial" w:hAnsi="Arial"/>
                <w:sz w:val="11"/>
                <w:szCs w:val="11"/>
                <w:b w:val="1"/>
                <w:bCs w:val="1"/>
                <w:color w:val="auto"/>
              </w:rPr>
              <w:t>Threshold</w:t>
            </w:r>
          </w:p>
        </w:tc>
        <w:tc>
          <w:tcPr>
            <w:tcW w:w="700" w:type="dxa"/>
            <w:vAlign w:val="bottom"/>
            <w:vMerge w:val="restart"/>
            <w:shd w:val="clear" w:color="auto" w:fill="ECEBEB"/>
          </w:tcPr>
          <w:p>
            <w:pPr>
              <w:jc w:val="right"/>
              <w:ind w:right="66"/>
              <w:spacing w:after="0"/>
              <w:rPr>
                <w:sz w:val="20"/>
                <w:szCs w:val="20"/>
                <w:color w:val="auto"/>
              </w:rPr>
            </w:pPr>
            <w:r>
              <w:rPr>
                <w:rFonts w:ascii="Arial" w:cs="Arial" w:eastAsia="Arial" w:hAnsi="Arial"/>
                <w:sz w:val="11"/>
                <w:szCs w:val="11"/>
                <w:b w:val="1"/>
                <w:bCs w:val="1"/>
                <w:color w:val="auto"/>
              </w:rPr>
              <w:t>Target</w:t>
            </w:r>
          </w:p>
        </w:tc>
        <w:tc>
          <w:tcPr>
            <w:tcW w:w="620" w:type="dxa"/>
            <w:vAlign w:val="bottom"/>
            <w:vMerge w:val="restart"/>
            <w:shd w:val="clear" w:color="auto" w:fill="ECEBEB"/>
          </w:tcPr>
          <w:p>
            <w:pPr>
              <w:jc w:val="right"/>
              <w:ind w:right="6"/>
              <w:spacing w:after="0"/>
              <w:rPr>
                <w:sz w:val="20"/>
                <w:szCs w:val="20"/>
                <w:color w:val="auto"/>
              </w:rPr>
            </w:pPr>
            <w:r>
              <w:rPr>
                <w:rFonts w:ascii="Arial" w:cs="Arial" w:eastAsia="Arial" w:hAnsi="Arial"/>
                <w:sz w:val="11"/>
                <w:szCs w:val="11"/>
                <w:b w:val="1"/>
                <w:bCs w:val="1"/>
                <w:color w:val="auto"/>
              </w:rPr>
              <w:t>Maximum</w:t>
            </w:r>
          </w:p>
        </w:tc>
        <w:tc>
          <w:tcPr>
            <w:tcW w:w="620" w:type="dxa"/>
            <w:vAlign w:val="bottom"/>
            <w:vMerge w:val="restart"/>
            <w:shd w:val="clear" w:color="auto" w:fill="ECEBEB"/>
          </w:tcPr>
          <w:p>
            <w:pPr>
              <w:jc w:val="right"/>
              <w:spacing w:after="0"/>
              <w:rPr>
                <w:sz w:val="20"/>
                <w:szCs w:val="20"/>
                <w:color w:val="auto"/>
              </w:rPr>
            </w:pPr>
            <w:r>
              <w:rPr>
                <w:rFonts w:ascii="Arial" w:cs="Arial" w:eastAsia="Arial" w:hAnsi="Arial"/>
                <w:sz w:val="11"/>
                <w:szCs w:val="11"/>
                <w:b w:val="1"/>
                <w:bCs w:val="1"/>
                <w:color w:val="auto"/>
              </w:rPr>
              <w:t>Threshold</w:t>
            </w:r>
          </w:p>
        </w:tc>
        <w:tc>
          <w:tcPr>
            <w:tcW w:w="700" w:type="dxa"/>
            <w:vAlign w:val="bottom"/>
            <w:vMerge w:val="restart"/>
            <w:shd w:val="clear" w:color="auto" w:fill="ECEBEB"/>
          </w:tcPr>
          <w:p>
            <w:pPr>
              <w:jc w:val="right"/>
              <w:ind w:right="66"/>
              <w:spacing w:after="0"/>
              <w:rPr>
                <w:sz w:val="20"/>
                <w:szCs w:val="20"/>
                <w:color w:val="auto"/>
              </w:rPr>
            </w:pPr>
            <w:r>
              <w:rPr>
                <w:rFonts w:ascii="Arial" w:cs="Arial" w:eastAsia="Arial" w:hAnsi="Arial"/>
                <w:sz w:val="11"/>
                <w:szCs w:val="11"/>
                <w:b w:val="1"/>
                <w:bCs w:val="1"/>
                <w:color w:val="auto"/>
              </w:rPr>
              <w:t>Target</w:t>
            </w:r>
          </w:p>
        </w:tc>
        <w:tc>
          <w:tcPr>
            <w:tcW w:w="580" w:type="dxa"/>
            <w:vAlign w:val="bottom"/>
            <w:vMerge w:val="restart"/>
            <w:shd w:val="clear" w:color="auto" w:fill="ECEBEB"/>
          </w:tcPr>
          <w:p>
            <w:pPr>
              <w:jc w:val="right"/>
              <w:spacing w:after="0"/>
              <w:rPr>
                <w:sz w:val="20"/>
                <w:szCs w:val="20"/>
                <w:color w:val="auto"/>
              </w:rPr>
            </w:pPr>
            <w:r>
              <w:rPr>
                <w:rFonts w:ascii="Arial" w:cs="Arial" w:eastAsia="Arial" w:hAnsi="Arial"/>
                <w:sz w:val="11"/>
                <w:szCs w:val="11"/>
                <w:b w:val="1"/>
                <w:bCs w:val="1"/>
                <w:color w:val="auto"/>
              </w:rPr>
              <w:t>Maximum</w:t>
            </w:r>
          </w:p>
        </w:tc>
        <w:tc>
          <w:tcPr>
            <w:tcW w:w="680" w:type="dxa"/>
            <w:vAlign w:val="bottom"/>
            <w:vMerge w:val="continue"/>
            <w:shd w:val="clear" w:color="auto" w:fill="ECEBEB"/>
          </w:tcPr>
          <w:p>
            <w:pPr>
              <w:spacing w:after="0"/>
              <w:rPr>
                <w:sz w:val="3"/>
                <w:szCs w:val="3"/>
                <w:color w:val="auto"/>
              </w:rPr>
            </w:pPr>
          </w:p>
        </w:tc>
        <w:tc>
          <w:tcPr>
            <w:tcW w:w="560" w:type="dxa"/>
            <w:vAlign w:val="bottom"/>
            <w:vMerge w:val="continue"/>
            <w:shd w:val="clear" w:color="auto" w:fill="ECEBEB"/>
          </w:tcPr>
          <w:p>
            <w:pPr>
              <w:spacing w:after="0"/>
              <w:rPr>
                <w:sz w:val="3"/>
                <w:szCs w:val="3"/>
                <w:color w:val="auto"/>
              </w:rPr>
            </w:pPr>
          </w:p>
        </w:tc>
        <w:tc>
          <w:tcPr>
            <w:tcW w:w="660" w:type="dxa"/>
            <w:vAlign w:val="bottom"/>
            <w:vMerge w:val="continue"/>
            <w:shd w:val="clear" w:color="auto" w:fill="ECEBE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80" w:type="dxa"/>
            <w:vAlign w:val="bottom"/>
            <w:shd w:val="clear" w:color="auto" w:fill="ECEBEB"/>
          </w:tcPr>
          <w:p>
            <w:pPr>
              <w:spacing w:after="0"/>
              <w:rPr>
                <w:sz w:val="10"/>
                <w:szCs w:val="10"/>
                <w:color w:val="auto"/>
              </w:rPr>
            </w:pPr>
          </w:p>
        </w:tc>
        <w:tc>
          <w:tcPr>
            <w:tcW w:w="820" w:type="dxa"/>
            <w:vAlign w:val="bottom"/>
            <w:vMerge w:val="continue"/>
            <w:shd w:val="clear" w:color="auto" w:fill="ECEBEB"/>
          </w:tcPr>
          <w:p>
            <w:pPr>
              <w:spacing w:after="0"/>
              <w:rPr>
                <w:sz w:val="10"/>
                <w:szCs w:val="10"/>
                <w:color w:val="auto"/>
              </w:rPr>
            </w:pPr>
          </w:p>
        </w:tc>
        <w:tc>
          <w:tcPr>
            <w:tcW w:w="700" w:type="dxa"/>
            <w:vAlign w:val="bottom"/>
            <w:vMerge w:val="continue"/>
            <w:shd w:val="clear" w:color="auto" w:fill="ECEBEB"/>
          </w:tcPr>
          <w:p>
            <w:pPr>
              <w:spacing w:after="0"/>
              <w:rPr>
                <w:sz w:val="10"/>
                <w:szCs w:val="10"/>
                <w:color w:val="auto"/>
              </w:rPr>
            </w:pPr>
          </w:p>
        </w:tc>
        <w:tc>
          <w:tcPr>
            <w:tcW w:w="720" w:type="dxa"/>
            <w:vAlign w:val="bottom"/>
            <w:vMerge w:val="continue"/>
            <w:shd w:val="clear" w:color="auto" w:fill="ECEBEB"/>
          </w:tcPr>
          <w:p>
            <w:pPr>
              <w:spacing w:after="0"/>
              <w:rPr>
                <w:sz w:val="10"/>
                <w:szCs w:val="10"/>
                <w:color w:val="auto"/>
              </w:rPr>
            </w:pPr>
          </w:p>
        </w:tc>
        <w:tc>
          <w:tcPr>
            <w:tcW w:w="640" w:type="dxa"/>
            <w:vAlign w:val="bottom"/>
            <w:vMerge w:val="continue"/>
            <w:shd w:val="clear" w:color="auto" w:fill="ECEBEB"/>
          </w:tcPr>
          <w:p>
            <w:pPr>
              <w:spacing w:after="0"/>
              <w:rPr>
                <w:sz w:val="10"/>
                <w:szCs w:val="10"/>
                <w:color w:val="auto"/>
              </w:rPr>
            </w:pPr>
          </w:p>
        </w:tc>
        <w:tc>
          <w:tcPr>
            <w:tcW w:w="700" w:type="dxa"/>
            <w:vAlign w:val="bottom"/>
            <w:vMerge w:val="continue"/>
            <w:shd w:val="clear" w:color="auto" w:fill="ECEBEB"/>
          </w:tcPr>
          <w:p>
            <w:pPr>
              <w:spacing w:after="0"/>
              <w:rPr>
                <w:sz w:val="10"/>
                <w:szCs w:val="10"/>
                <w:color w:val="auto"/>
              </w:rPr>
            </w:pPr>
          </w:p>
        </w:tc>
        <w:tc>
          <w:tcPr>
            <w:tcW w:w="620" w:type="dxa"/>
            <w:vAlign w:val="bottom"/>
            <w:vMerge w:val="continue"/>
            <w:shd w:val="clear" w:color="auto" w:fill="ECEBEB"/>
          </w:tcPr>
          <w:p>
            <w:pPr>
              <w:spacing w:after="0"/>
              <w:rPr>
                <w:sz w:val="10"/>
                <w:szCs w:val="10"/>
                <w:color w:val="auto"/>
              </w:rPr>
            </w:pPr>
          </w:p>
        </w:tc>
        <w:tc>
          <w:tcPr>
            <w:tcW w:w="620" w:type="dxa"/>
            <w:vAlign w:val="bottom"/>
            <w:vMerge w:val="continue"/>
            <w:shd w:val="clear" w:color="auto" w:fill="ECEBEB"/>
          </w:tcPr>
          <w:p>
            <w:pPr>
              <w:spacing w:after="0"/>
              <w:rPr>
                <w:sz w:val="10"/>
                <w:szCs w:val="10"/>
                <w:color w:val="auto"/>
              </w:rPr>
            </w:pPr>
          </w:p>
        </w:tc>
        <w:tc>
          <w:tcPr>
            <w:tcW w:w="700" w:type="dxa"/>
            <w:vAlign w:val="bottom"/>
            <w:vMerge w:val="continue"/>
            <w:shd w:val="clear" w:color="auto" w:fill="ECEBEB"/>
          </w:tcPr>
          <w:p>
            <w:pPr>
              <w:spacing w:after="0"/>
              <w:rPr>
                <w:sz w:val="10"/>
                <w:szCs w:val="10"/>
                <w:color w:val="auto"/>
              </w:rPr>
            </w:pPr>
          </w:p>
        </w:tc>
        <w:tc>
          <w:tcPr>
            <w:tcW w:w="580" w:type="dxa"/>
            <w:vAlign w:val="bottom"/>
            <w:vMerge w:val="continue"/>
            <w:shd w:val="clear" w:color="auto" w:fill="ECEBEB"/>
          </w:tcPr>
          <w:p>
            <w:pPr>
              <w:spacing w:after="0"/>
              <w:rPr>
                <w:sz w:val="10"/>
                <w:szCs w:val="10"/>
                <w:color w:val="auto"/>
              </w:rPr>
            </w:pPr>
          </w:p>
        </w:tc>
        <w:tc>
          <w:tcPr>
            <w:tcW w:w="680" w:type="dxa"/>
            <w:vAlign w:val="bottom"/>
            <w:shd w:val="clear" w:color="auto" w:fill="ECEBEB"/>
          </w:tcPr>
          <w:p>
            <w:pPr>
              <w:jc w:val="right"/>
              <w:ind w:right="46"/>
              <w:spacing w:after="0" w:line="122" w:lineRule="exact"/>
              <w:rPr>
                <w:sz w:val="20"/>
                <w:szCs w:val="20"/>
                <w:color w:val="auto"/>
              </w:rPr>
            </w:pPr>
            <w:r>
              <w:rPr>
                <w:rFonts w:ascii="Arial" w:cs="Arial" w:eastAsia="Arial" w:hAnsi="Arial"/>
                <w:sz w:val="11"/>
                <w:szCs w:val="11"/>
                <w:b w:val="1"/>
                <w:bCs w:val="1"/>
                <w:color w:val="auto"/>
              </w:rPr>
              <w:t>Units</w:t>
            </w:r>
          </w:p>
        </w:tc>
        <w:tc>
          <w:tcPr>
            <w:tcW w:w="560" w:type="dxa"/>
            <w:vAlign w:val="bottom"/>
            <w:shd w:val="clear" w:color="auto" w:fill="ECEBEB"/>
          </w:tcPr>
          <w:p>
            <w:pPr>
              <w:jc w:val="right"/>
              <w:ind w:right="23"/>
              <w:spacing w:after="0" w:line="122" w:lineRule="exact"/>
              <w:rPr>
                <w:sz w:val="20"/>
                <w:szCs w:val="20"/>
                <w:color w:val="auto"/>
              </w:rPr>
            </w:pPr>
            <w:r>
              <w:rPr>
                <w:rFonts w:ascii="Arial" w:cs="Arial" w:eastAsia="Arial" w:hAnsi="Arial"/>
                <w:sz w:val="11"/>
                <w:szCs w:val="11"/>
                <w:b w:val="1"/>
                <w:bCs w:val="1"/>
                <w:color w:val="auto"/>
              </w:rPr>
              <w:t>Awards</w:t>
            </w:r>
          </w:p>
        </w:tc>
        <w:tc>
          <w:tcPr>
            <w:tcW w:w="660" w:type="dxa"/>
            <w:vAlign w:val="bottom"/>
            <w:shd w:val="clear" w:color="auto" w:fill="ECEBEB"/>
          </w:tcPr>
          <w:p>
            <w:pPr>
              <w:jc w:val="right"/>
              <w:spacing w:after="0" w:line="122" w:lineRule="exact"/>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1"/>
                <w:szCs w:val="11"/>
                <w:b w:val="1"/>
                <w:bCs w:val="1"/>
                <w:color w:val="auto"/>
              </w:rPr>
              <w:t>Name</w:t>
            </w:r>
          </w:p>
        </w:tc>
        <w:tc>
          <w:tcPr>
            <w:tcW w:w="820" w:type="dxa"/>
            <w:vAlign w:val="bottom"/>
            <w:tcBorders>
              <w:bottom w:val="single" w:sz="8" w:color="0956FF"/>
            </w:tcBorders>
            <w:shd w:val="clear" w:color="auto" w:fill="ECEBEB"/>
          </w:tcPr>
          <w:p>
            <w:pPr>
              <w:jc w:val="right"/>
              <w:ind w:right="26"/>
              <w:spacing w:after="0"/>
              <w:rPr>
                <w:sz w:val="20"/>
                <w:szCs w:val="20"/>
                <w:color w:val="auto"/>
              </w:rPr>
            </w:pPr>
            <w:r>
              <w:rPr>
                <w:rFonts w:ascii="Arial" w:cs="Arial" w:eastAsia="Arial" w:hAnsi="Arial"/>
                <w:sz w:val="11"/>
                <w:szCs w:val="11"/>
                <w:b w:val="1"/>
                <w:bCs w:val="1"/>
                <w:color w:val="auto"/>
              </w:rPr>
              <w:t>Type</w:t>
            </w:r>
          </w:p>
        </w:tc>
        <w:tc>
          <w:tcPr>
            <w:tcW w:w="700" w:type="dxa"/>
            <w:vAlign w:val="bottom"/>
            <w:tcBorders>
              <w:bottom w:val="single" w:sz="8" w:color="0956FF"/>
            </w:tcBorders>
            <w:shd w:val="clear" w:color="auto" w:fill="ECEBEB"/>
          </w:tcPr>
          <w:p>
            <w:pPr>
              <w:jc w:val="right"/>
              <w:ind w:right="26"/>
              <w:spacing w:after="0"/>
              <w:rPr>
                <w:sz w:val="20"/>
                <w:szCs w:val="20"/>
                <w:color w:val="auto"/>
              </w:rPr>
            </w:pPr>
            <w:r>
              <w:rPr>
                <w:rFonts w:ascii="Arial" w:cs="Arial" w:eastAsia="Arial" w:hAnsi="Arial"/>
                <w:sz w:val="11"/>
                <w:szCs w:val="11"/>
                <w:b w:val="1"/>
                <w:bCs w:val="1"/>
                <w:color w:val="auto"/>
              </w:rPr>
              <w:t>Date</w:t>
            </w:r>
          </w:p>
        </w:tc>
        <w:tc>
          <w:tcPr>
            <w:tcW w:w="720" w:type="dxa"/>
            <w:vAlign w:val="bottom"/>
            <w:tcBorders>
              <w:bottom w:val="single" w:sz="8" w:color="0956FF"/>
            </w:tcBorders>
            <w:shd w:val="clear" w:color="auto" w:fill="ECEBEB"/>
          </w:tcPr>
          <w:p>
            <w:pPr>
              <w:jc w:val="right"/>
              <w:ind w:right="6"/>
              <w:spacing w:after="0"/>
              <w:rPr>
                <w:sz w:val="20"/>
                <w:szCs w:val="20"/>
                <w:color w:val="auto"/>
              </w:rPr>
            </w:pPr>
            <w:r>
              <w:rPr>
                <w:rFonts w:ascii="Arial" w:cs="Arial" w:eastAsia="Arial" w:hAnsi="Arial"/>
                <w:sz w:val="11"/>
                <w:szCs w:val="11"/>
                <w:b w:val="1"/>
                <w:bCs w:val="1"/>
                <w:color w:val="auto"/>
              </w:rPr>
              <w:t>Date</w:t>
            </w:r>
          </w:p>
        </w:tc>
        <w:tc>
          <w:tcPr>
            <w:tcW w:w="640" w:type="dxa"/>
            <w:vAlign w:val="bottom"/>
            <w:tcBorders>
              <w:bottom w:val="single" w:sz="8" w:color="0956FF"/>
            </w:tcBorders>
            <w:shd w:val="clear" w:color="auto" w:fill="ECEBEB"/>
          </w:tcPr>
          <w:p>
            <w:pPr>
              <w:jc w:val="right"/>
              <w:ind w:right="26"/>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0956FF"/>
            </w:tcBorders>
            <w:shd w:val="clear" w:color="auto" w:fill="ECEBEB"/>
          </w:tcPr>
          <w:p>
            <w:pPr>
              <w:jc w:val="right"/>
              <w:ind w:right="46"/>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0956FF"/>
            </w:tcBorders>
            <w:shd w:val="clear" w:color="auto" w:fill="ECEBEB"/>
          </w:tcPr>
          <w:p>
            <w:pPr>
              <w:jc w:val="right"/>
              <w:ind w:right="6"/>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0956FF"/>
            </w:tcBorders>
            <w:shd w:val="clear" w:color="auto" w:fill="ECEBEB"/>
          </w:tcPr>
          <w:p>
            <w:pPr>
              <w:jc w:val="right"/>
              <w:ind w:right="6"/>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0956FF"/>
            </w:tcBorders>
            <w:shd w:val="clear" w:color="auto" w:fill="ECEBEB"/>
          </w:tcPr>
          <w:p>
            <w:pPr>
              <w:jc w:val="right"/>
              <w:ind w:right="46"/>
              <w:spacing w:after="0"/>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7"/>
                <w:szCs w:val="7"/>
                <w:b w:val="1"/>
                <w:bCs w:val="1"/>
                <w:color w:val="auto"/>
              </w:rPr>
              <w:t>(1)</w:t>
            </w:r>
          </w:p>
        </w:tc>
        <w:tc>
          <w:tcPr>
            <w:tcW w:w="580" w:type="dxa"/>
            <w:vAlign w:val="bottom"/>
            <w:tcBorders>
              <w:bottom w:val="single" w:sz="8" w:color="0956FF"/>
            </w:tcBorders>
            <w:shd w:val="clear" w:color="auto" w:fill="ECEBEB"/>
          </w:tcPr>
          <w:p>
            <w:pPr>
              <w:jc w:val="right"/>
              <w:ind w:right="26"/>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0956FF"/>
            </w:tcBorders>
            <w:shd w:val="clear" w:color="auto" w:fill="ECEBEB"/>
          </w:tcPr>
          <w:p>
            <w:pPr>
              <w:jc w:val="right"/>
              <w:ind w:right="66"/>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0956FF"/>
            </w:tcBorders>
            <w:shd w:val="clear" w:color="auto" w:fill="ECEBEB"/>
          </w:tcPr>
          <w:p>
            <w:pPr>
              <w:jc w:val="right"/>
              <w:ind w:right="63"/>
              <w:spacing w:after="0"/>
              <w:rPr>
                <w:sz w:val="20"/>
                <w:szCs w:val="20"/>
                <w:color w:val="auto"/>
              </w:rPr>
            </w:pPr>
            <w:r>
              <w:rPr>
                <w:rFonts w:ascii="Arial" w:cs="Arial" w:eastAsia="Arial" w:hAnsi="Arial"/>
                <w:sz w:val="11"/>
                <w:szCs w:val="11"/>
                <w:b w:val="1"/>
                <w:bCs w:val="1"/>
                <w:color w:val="auto"/>
                <w:w w:val="91"/>
              </w:rPr>
              <w:t>($/share)</w:t>
            </w:r>
          </w:p>
        </w:tc>
        <w:tc>
          <w:tcPr>
            <w:tcW w:w="660" w:type="dxa"/>
            <w:vAlign w:val="bottom"/>
            <w:tcBorders>
              <w:bottom w:val="single" w:sz="8" w:color="0956FF"/>
            </w:tcBorders>
            <w:shd w:val="clear" w:color="auto" w:fill="ECEBEB"/>
          </w:tcPr>
          <w:p>
            <w:pPr>
              <w:jc w:val="right"/>
              <w:ind w:right="7"/>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6"/>
                <w:szCs w:val="6"/>
                <w:b w:val="1"/>
                <w:bCs w:val="1"/>
                <w:color w:val="auto"/>
              </w:rPr>
              <w:t xml:space="preserve"> (2)</w:t>
            </w:r>
          </w:p>
        </w:tc>
        <w:tc>
          <w:tcPr>
            <w:tcW w:w="0" w:type="dxa"/>
            <w:vAlign w:val="bottom"/>
          </w:tcPr>
          <w:p>
            <w:pPr>
              <w:spacing w:after="0"/>
              <w:rPr>
                <w:sz w:val="1"/>
                <w:szCs w:val="1"/>
                <w:color w:val="auto"/>
              </w:rPr>
            </w:pPr>
          </w:p>
        </w:tc>
      </w:tr>
      <w:tr>
        <w:trPr>
          <w:trHeight w:val="169"/>
        </w:trPr>
        <w:tc>
          <w:tcPr>
            <w:tcW w:w="1080" w:type="dxa"/>
            <w:vAlign w:val="bottom"/>
          </w:tcPr>
          <w:p>
            <w:pPr>
              <w:ind w:left="60"/>
              <w:spacing w:after="0"/>
              <w:rPr>
                <w:sz w:val="20"/>
                <w:szCs w:val="20"/>
                <w:color w:val="auto"/>
              </w:rPr>
            </w:pPr>
            <w:r>
              <w:rPr>
                <w:rFonts w:ascii="Arial" w:cs="Arial" w:eastAsia="Arial" w:hAnsi="Arial"/>
                <w:sz w:val="11"/>
                <w:szCs w:val="11"/>
                <w:b w:val="1"/>
                <w:bCs w:val="1"/>
                <w:color w:val="0956FF"/>
              </w:rPr>
              <w:t>Mary T. Barra</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STIP</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jc w:val="right"/>
              <w:ind w:right="46"/>
              <w:spacing w:after="0"/>
              <w:rPr>
                <w:sz w:val="20"/>
                <w:szCs w:val="20"/>
                <w:color w:val="auto"/>
              </w:rPr>
            </w:pPr>
            <w:r>
              <w:rPr>
                <w:rFonts w:ascii="Arial" w:cs="Arial" w:eastAsia="Arial" w:hAnsi="Arial"/>
                <w:sz w:val="11"/>
                <w:szCs w:val="11"/>
                <w:color w:val="auto"/>
              </w:rPr>
              <w:t>52,500</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4,200,000</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w w:val="97"/>
              </w:rPr>
              <w:t>8,400,000</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PSU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2/4/2025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48,641</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324,275</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648,550</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16,373,942</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RSU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2/4/2025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108,092</w:t>
            </w:r>
          </w:p>
        </w:tc>
        <w:tc>
          <w:tcPr>
            <w:tcW w:w="5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5,250,028</w:t>
            </w:r>
          </w:p>
        </w:tc>
        <w:tc>
          <w:tcPr>
            <w:tcW w:w="0" w:type="dxa"/>
            <w:vAlign w:val="bottom"/>
          </w:tcPr>
          <w:p>
            <w:pPr>
              <w:spacing w:after="0"/>
              <w:rPr>
                <w:sz w:val="1"/>
                <w:szCs w:val="1"/>
                <w:color w:val="auto"/>
              </w:rPr>
            </w:pPr>
          </w:p>
        </w:tc>
      </w:tr>
      <w:tr>
        <w:trPr>
          <w:trHeight w:val="33"/>
        </w:trPr>
        <w:tc>
          <w:tcPr>
            <w:tcW w:w="1080" w:type="dxa"/>
            <w:vAlign w:val="bottom"/>
            <w:tcBorders>
              <w:bottom w:val="single" w:sz="8" w:color="D8D7D7"/>
            </w:tcBorders>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080" w:type="dxa"/>
            <w:vAlign w:val="bottom"/>
          </w:tcPr>
          <w:p>
            <w:pPr>
              <w:ind w:left="60"/>
              <w:spacing w:after="0"/>
              <w:rPr>
                <w:sz w:val="20"/>
                <w:szCs w:val="20"/>
                <w:color w:val="auto"/>
              </w:rPr>
            </w:pPr>
            <w:r>
              <w:rPr>
                <w:rFonts w:ascii="Arial" w:cs="Arial" w:eastAsia="Arial" w:hAnsi="Arial"/>
                <w:sz w:val="11"/>
                <w:szCs w:val="11"/>
                <w:b w:val="1"/>
                <w:bCs w:val="1"/>
                <w:color w:val="0956FF"/>
              </w:rPr>
              <w:t>Paul A. Jacobson</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STIP</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18,750</w:t>
            </w:r>
          </w:p>
        </w:tc>
        <w:tc>
          <w:tcPr>
            <w:tcW w:w="700" w:type="dxa"/>
            <w:vAlign w:val="bottom"/>
          </w:tcPr>
          <w:p>
            <w:pPr>
              <w:jc w:val="center"/>
              <w:spacing w:after="0"/>
              <w:rPr>
                <w:sz w:val="20"/>
                <w:szCs w:val="20"/>
                <w:color w:val="auto"/>
              </w:rPr>
            </w:pPr>
            <w:r>
              <w:rPr>
                <w:rFonts w:ascii="Arial" w:cs="Arial" w:eastAsia="Arial" w:hAnsi="Arial"/>
                <w:sz w:val="11"/>
                <w:szCs w:val="11"/>
                <w:color w:val="auto"/>
                <w:w w:val="97"/>
              </w:rPr>
              <w:t>1,500,000</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w w:val="97"/>
              </w:rPr>
              <w:t>3,000,000</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PSU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2/4/2025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23,857</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159,049</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318,098</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8,031,071</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RSU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2/4/2025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53,017</w:t>
            </w:r>
          </w:p>
        </w:tc>
        <w:tc>
          <w:tcPr>
            <w:tcW w:w="5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2,575,036</w:t>
            </w:r>
          </w:p>
        </w:tc>
        <w:tc>
          <w:tcPr>
            <w:tcW w:w="0" w:type="dxa"/>
            <w:vAlign w:val="bottom"/>
          </w:tcPr>
          <w:p>
            <w:pPr>
              <w:spacing w:after="0"/>
              <w:rPr>
                <w:sz w:val="1"/>
                <w:szCs w:val="1"/>
                <w:color w:val="auto"/>
              </w:rPr>
            </w:pPr>
          </w:p>
        </w:tc>
      </w:tr>
      <w:tr>
        <w:trPr>
          <w:trHeight w:val="33"/>
        </w:trPr>
        <w:tc>
          <w:tcPr>
            <w:tcW w:w="1080" w:type="dxa"/>
            <w:vAlign w:val="bottom"/>
            <w:tcBorders>
              <w:bottom w:val="single" w:sz="8" w:color="D8D7D7"/>
            </w:tcBorders>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80" w:type="dxa"/>
            <w:vAlign w:val="bottom"/>
          </w:tcPr>
          <w:p>
            <w:pPr>
              <w:ind w:left="60"/>
              <w:spacing w:after="0"/>
              <w:rPr>
                <w:sz w:val="20"/>
                <w:szCs w:val="20"/>
                <w:color w:val="auto"/>
              </w:rPr>
            </w:pPr>
            <w:r>
              <w:rPr>
                <w:rFonts w:ascii="Arial" w:cs="Arial" w:eastAsia="Arial" w:hAnsi="Arial"/>
                <w:sz w:val="11"/>
                <w:szCs w:val="11"/>
                <w:b w:val="1"/>
                <w:bCs w:val="1"/>
                <w:color w:val="0956FF"/>
              </w:rPr>
              <w:t>Mark L. Reuss</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STIP</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21,094</w:t>
            </w:r>
          </w:p>
        </w:tc>
        <w:tc>
          <w:tcPr>
            <w:tcW w:w="700" w:type="dxa"/>
            <w:vAlign w:val="bottom"/>
          </w:tcPr>
          <w:p>
            <w:pPr>
              <w:jc w:val="right"/>
              <w:ind w:right="46"/>
              <w:spacing w:after="0"/>
              <w:rPr>
                <w:sz w:val="20"/>
                <w:szCs w:val="20"/>
                <w:color w:val="auto"/>
              </w:rPr>
            </w:pPr>
            <w:r>
              <w:rPr>
                <w:rFonts w:ascii="Arial" w:cs="Arial" w:eastAsia="Arial" w:hAnsi="Arial"/>
                <w:sz w:val="11"/>
                <w:szCs w:val="11"/>
                <w:color w:val="auto"/>
              </w:rPr>
              <w:t>1,687,500</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3,375,000</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PSU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2/4/2025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33,499</w:t>
            </w:r>
          </w:p>
        </w:tc>
        <w:tc>
          <w:tcPr>
            <w:tcW w:w="700" w:type="dxa"/>
            <w:vAlign w:val="bottom"/>
          </w:tcPr>
          <w:p>
            <w:pPr>
              <w:jc w:val="right"/>
              <w:ind w:right="86"/>
              <w:spacing w:after="0"/>
              <w:rPr>
                <w:sz w:val="20"/>
                <w:szCs w:val="20"/>
                <w:color w:val="auto"/>
              </w:rPr>
            </w:pPr>
            <w:r>
              <w:rPr>
                <w:rFonts w:ascii="Arial" w:cs="Arial" w:eastAsia="Arial" w:hAnsi="Arial"/>
                <w:sz w:val="11"/>
                <w:szCs w:val="11"/>
                <w:color w:val="auto"/>
              </w:rPr>
              <w:t>223,325</w:t>
            </w: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446,650</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w w:val="98"/>
              </w:rPr>
              <w:t>11,276,573</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RSU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2/4/2025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74,442</w:t>
            </w:r>
          </w:p>
        </w:tc>
        <w:tc>
          <w:tcPr>
            <w:tcW w:w="5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3,615,648</w:t>
            </w:r>
          </w:p>
        </w:tc>
        <w:tc>
          <w:tcPr>
            <w:tcW w:w="0" w:type="dxa"/>
            <w:vAlign w:val="bottom"/>
          </w:tcPr>
          <w:p>
            <w:pPr>
              <w:spacing w:after="0"/>
              <w:rPr>
                <w:sz w:val="1"/>
                <w:szCs w:val="1"/>
                <w:color w:val="auto"/>
              </w:rPr>
            </w:pPr>
          </w:p>
        </w:tc>
      </w:tr>
      <w:tr>
        <w:trPr>
          <w:trHeight w:val="33"/>
        </w:trPr>
        <w:tc>
          <w:tcPr>
            <w:tcW w:w="1080" w:type="dxa"/>
            <w:vAlign w:val="bottom"/>
            <w:tcBorders>
              <w:bottom w:val="single" w:sz="8" w:color="D8D7D7"/>
            </w:tcBorders>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080" w:type="dxa"/>
            <w:vAlign w:val="bottom"/>
          </w:tcPr>
          <w:p>
            <w:pPr>
              <w:ind w:left="60"/>
              <w:spacing w:after="0"/>
              <w:rPr>
                <w:sz w:val="20"/>
                <w:szCs w:val="20"/>
                <w:color w:val="auto"/>
              </w:rPr>
            </w:pPr>
            <w:r>
              <w:rPr>
                <w:rFonts w:ascii="Arial" w:cs="Arial" w:eastAsia="Arial" w:hAnsi="Arial"/>
                <w:sz w:val="11"/>
                <w:szCs w:val="11"/>
                <w:b w:val="1"/>
                <w:bCs w:val="1"/>
                <w:color w:val="0956FF"/>
              </w:rPr>
              <w:t>Sterling J.</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STIP</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6/2/2025</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1/7/2025</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15,625</w:t>
            </w:r>
          </w:p>
        </w:tc>
        <w:tc>
          <w:tcPr>
            <w:tcW w:w="700" w:type="dxa"/>
            <w:vAlign w:val="bottom"/>
          </w:tcPr>
          <w:p>
            <w:pPr>
              <w:jc w:val="center"/>
              <w:spacing w:after="0"/>
              <w:rPr>
                <w:sz w:val="20"/>
                <w:szCs w:val="20"/>
                <w:color w:val="auto"/>
              </w:rPr>
            </w:pPr>
            <w:r>
              <w:rPr>
                <w:rFonts w:ascii="Arial" w:cs="Arial" w:eastAsia="Arial" w:hAnsi="Arial"/>
                <w:sz w:val="11"/>
                <w:szCs w:val="11"/>
                <w:color w:val="auto"/>
                <w:w w:val="97"/>
              </w:rPr>
              <w:t>1,250,000</w:t>
            </w: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2,500,000</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0956FF"/>
              </w:rPr>
              <w:t>Anderson</w:t>
            </w:r>
          </w:p>
        </w:tc>
        <w:tc>
          <w:tcPr>
            <w:tcW w:w="820" w:type="dxa"/>
            <w:vAlign w:val="bottom"/>
            <w:tcBorders>
              <w:bottom w:val="single" w:sz="8" w:color="D8D7D7"/>
            </w:tcBorders>
          </w:tcPr>
          <w:p>
            <w:pPr>
              <w:spacing w:after="0"/>
              <w:rPr>
                <w:sz w:val="3"/>
                <w:szCs w:val="3"/>
                <w:color w:val="auto"/>
              </w:rPr>
            </w:pPr>
          </w:p>
        </w:tc>
        <w:tc>
          <w:tcPr>
            <w:tcW w:w="700" w:type="dxa"/>
            <w:vAlign w:val="bottom"/>
            <w:tcBorders>
              <w:bottom w:val="single" w:sz="8" w:color="D8D7D7"/>
            </w:tcBorders>
          </w:tcPr>
          <w:p>
            <w:pPr>
              <w:spacing w:after="0"/>
              <w:rPr>
                <w:sz w:val="3"/>
                <w:szCs w:val="3"/>
                <w:color w:val="auto"/>
              </w:rPr>
            </w:pPr>
          </w:p>
        </w:tc>
        <w:tc>
          <w:tcPr>
            <w:tcW w:w="720" w:type="dxa"/>
            <w:vAlign w:val="bottom"/>
            <w:tcBorders>
              <w:bottom w:val="single" w:sz="8" w:color="D8D7D7"/>
            </w:tcBorders>
          </w:tcPr>
          <w:p>
            <w:pPr>
              <w:spacing w:after="0"/>
              <w:rPr>
                <w:sz w:val="3"/>
                <w:szCs w:val="3"/>
                <w:color w:val="auto"/>
              </w:rPr>
            </w:pPr>
          </w:p>
        </w:tc>
        <w:tc>
          <w:tcPr>
            <w:tcW w:w="640" w:type="dxa"/>
            <w:vAlign w:val="bottom"/>
            <w:tcBorders>
              <w:bottom w:val="single" w:sz="8" w:color="D8D7D7"/>
            </w:tcBorders>
          </w:tcPr>
          <w:p>
            <w:pPr>
              <w:spacing w:after="0"/>
              <w:rPr>
                <w:sz w:val="3"/>
                <w:szCs w:val="3"/>
                <w:color w:val="auto"/>
              </w:rPr>
            </w:pPr>
          </w:p>
        </w:tc>
        <w:tc>
          <w:tcPr>
            <w:tcW w:w="700" w:type="dxa"/>
            <w:vAlign w:val="bottom"/>
            <w:tcBorders>
              <w:bottom w:val="single" w:sz="8" w:color="D8D7D7"/>
            </w:tcBorders>
          </w:tcPr>
          <w:p>
            <w:pPr>
              <w:spacing w:after="0"/>
              <w:rPr>
                <w:sz w:val="3"/>
                <w:szCs w:val="3"/>
                <w:color w:val="auto"/>
              </w:rPr>
            </w:pPr>
          </w:p>
        </w:tc>
        <w:tc>
          <w:tcPr>
            <w:tcW w:w="620" w:type="dxa"/>
            <w:vAlign w:val="bottom"/>
            <w:tcBorders>
              <w:bottom w:val="single" w:sz="8" w:color="D8D7D7"/>
            </w:tcBorders>
          </w:tcPr>
          <w:p>
            <w:pPr>
              <w:spacing w:after="0"/>
              <w:rPr>
                <w:sz w:val="3"/>
                <w:szCs w:val="3"/>
                <w:color w:val="auto"/>
              </w:rPr>
            </w:pPr>
          </w:p>
        </w:tc>
        <w:tc>
          <w:tcPr>
            <w:tcW w:w="620" w:type="dxa"/>
            <w:vAlign w:val="bottom"/>
            <w:tcBorders>
              <w:bottom w:val="single" w:sz="8" w:color="D8D7D7"/>
            </w:tcBorders>
          </w:tcPr>
          <w:p>
            <w:pPr>
              <w:spacing w:after="0"/>
              <w:rPr>
                <w:sz w:val="3"/>
                <w:szCs w:val="3"/>
                <w:color w:val="auto"/>
              </w:rPr>
            </w:pPr>
          </w:p>
        </w:tc>
        <w:tc>
          <w:tcPr>
            <w:tcW w:w="700" w:type="dxa"/>
            <w:vAlign w:val="bottom"/>
            <w:tcBorders>
              <w:bottom w:val="single" w:sz="8" w:color="D8D7D7"/>
            </w:tcBorders>
          </w:tcPr>
          <w:p>
            <w:pPr>
              <w:spacing w:after="0"/>
              <w:rPr>
                <w:sz w:val="3"/>
                <w:szCs w:val="3"/>
                <w:color w:val="auto"/>
              </w:rPr>
            </w:pPr>
          </w:p>
        </w:tc>
        <w:tc>
          <w:tcPr>
            <w:tcW w:w="580" w:type="dxa"/>
            <w:vAlign w:val="bottom"/>
            <w:tcBorders>
              <w:bottom w:val="single" w:sz="8" w:color="D8D7D7"/>
            </w:tcBorders>
          </w:tcPr>
          <w:p>
            <w:pPr>
              <w:spacing w:after="0"/>
              <w:rPr>
                <w:sz w:val="3"/>
                <w:szCs w:val="3"/>
                <w:color w:val="auto"/>
              </w:rPr>
            </w:pPr>
          </w:p>
        </w:tc>
        <w:tc>
          <w:tcPr>
            <w:tcW w:w="680" w:type="dxa"/>
            <w:vAlign w:val="bottom"/>
            <w:tcBorders>
              <w:bottom w:val="single" w:sz="8" w:color="D8D7D7"/>
            </w:tcBorders>
          </w:tcPr>
          <w:p>
            <w:pPr>
              <w:spacing w:after="0"/>
              <w:rPr>
                <w:sz w:val="3"/>
                <w:szCs w:val="3"/>
                <w:color w:val="auto"/>
              </w:rPr>
            </w:pPr>
          </w:p>
        </w:tc>
        <w:tc>
          <w:tcPr>
            <w:tcW w:w="560" w:type="dxa"/>
            <w:vAlign w:val="bottom"/>
            <w:tcBorders>
              <w:bottom w:val="single" w:sz="8" w:color="D8D7D7"/>
            </w:tcBorders>
          </w:tcPr>
          <w:p>
            <w:pPr>
              <w:spacing w:after="0"/>
              <w:rPr>
                <w:sz w:val="3"/>
                <w:szCs w:val="3"/>
                <w:color w:val="auto"/>
              </w:rPr>
            </w:pPr>
          </w:p>
        </w:tc>
        <w:tc>
          <w:tcPr>
            <w:tcW w:w="660" w:type="dxa"/>
            <w:vAlign w:val="bottom"/>
            <w:tcBorders>
              <w:bottom w:val="single" w:sz="8" w:color="D8D7D7"/>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080" w:type="dxa"/>
            <w:vAlign w:val="bottom"/>
            <w:vMerge w:val="continue"/>
          </w:tcPr>
          <w:p>
            <w:pPr>
              <w:spacing w:after="0"/>
              <w:rPr>
                <w:sz w:val="7"/>
                <w:szCs w:val="7"/>
                <w:color w:val="auto"/>
              </w:rPr>
            </w:pPr>
          </w:p>
        </w:tc>
        <w:tc>
          <w:tcPr>
            <w:tcW w:w="820" w:type="dxa"/>
            <w:vAlign w:val="bottom"/>
            <w:vMerge w:val="restart"/>
          </w:tcPr>
          <w:p>
            <w:pPr>
              <w:jc w:val="right"/>
              <w:ind w:right="46"/>
              <w:spacing w:after="0"/>
              <w:rPr>
                <w:sz w:val="20"/>
                <w:szCs w:val="20"/>
                <w:color w:val="auto"/>
              </w:rPr>
            </w:pPr>
            <w:r>
              <w:rPr>
                <w:rFonts w:ascii="Arial" w:cs="Arial" w:eastAsia="Arial" w:hAnsi="Arial"/>
                <w:sz w:val="11"/>
                <w:szCs w:val="11"/>
                <w:color w:val="auto"/>
              </w:rPr>
              <w:t>Performance</w:t>
            </w:r>
          </w:p>
        </w:tc>
        <w:tc>
          <w:tcPr>
            <w:tcW w:w="700" w:type="dxa"/>
            <w:vAlign w:val="bottom"/>
            <w:vMerge w:val="restart"/>
          </w:tcPr>
          <w:p>
            <w:pPr>
              <w:jc w:val="right"/>
              <w:ind w:right="106"/>
              <w:spacing w:after="0"/>
              <w:rPr>
                <w:sz w:val="20"/>
                <w:szCs w:val="20"/>
                <w:color w:val="auto"/>
              </w:rPr>
            </w:pPr>
            <w:r>
              <w:rPr>
                <w:rFonts w:ascii="Arial" w:cs="Arial" w:eastAsia="Arial" w:hAnsi="Arial"/>
                <w:sz w:val="11"/>
                <w:szCs w:val="11"/>
                <w:color w:val="auto"/>
              </w:rPr>
              <w:t>6/2/2025</w:t>
            </w:r>
          </w:p>
        </w:tc>
        <w:tc>
          <w:tcPr>
            <w:tcW w:w="720" w:type="dxa"/>
            <w:vAlign w:val="bottom"/>
            <w:vMerge w:val="restart"/>
          </w:tcPr>
          <w:p>
            <w:pPr>
              <w:jc w:val="right"/>
              <w:ind w:right="46"/>
              <w:spacing w:after="0"/>
              <w:rPr>
                <w:sz w:val="20"/>
                <w:szCs w:val="20"/>
                <w:color w:val="auto"/>
              </w:rPr>
            </w:pPr>
            <w:r>
              <w:rPr>
                <w:rFonts w:ascii="Arial" w:cs="Arial" w:eastAsia="Arial" w:hAnsi="Arial"/>
                <w:sz w:val="11"/>
                <w:szCs w:val="11"/>
                <w:color w:val="auto"/>
              </w:rPr>
              <w:t>1/7/2025</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06"/>
              <w:spacing w:after="0"/>
              <w:rPr>
                <w:sz w:val="20"/>
                <w:szCs w:val="20"/>
                <w:color w:val="auto"/>
              </w:rPr>
            </w:pPr>
            <w:r>
              <w:rPr>
                <w:rFonts w:ascii="Arial" w:cs="Arial" w:eastAsia="Arial" w:hAnsi="Arial"/>
                <w:sz w:val="11"/>
                <w:szCs w:val="11"/>
                <w:color w:val="auto"/>
              </w:rPr>
              <w:t>3,000,000</w:t>
            </w:r>
          </w:p>
        </w:tc>
        <w:tc>
          <w:tcPr>
            <w:tcW w:w="620" w:type="dxa"/>
            <w:vAlign w:val="bottom"/>
            <w:vMerge w:val="restart"/>
          </w:tcPr>
          <w:p>
            <w:pPr>
              <w:jc w:val="right"/>
              <w:ind w:right="66"/>
              <w:spacing w:after="0"/>
              <w:rPr>
                <w:sz w:val="20"/>
                <w:szCs w:val="20"/>
                <w:color w:val="auto"/>
              </w:rPr>
            </w:pPr>
            <w:r>
              <w:rPr>
                <w:rFonts w:ascii="Arial" w:cs="Arial" w:eastAsia="Arial" w:hAnsi="Arial"/>
                <w:sz w:val="11"/>
                <w:szCs w:val="11"/>
                <w:color w:val="auto"/>
                <w:w w:val="97"/>
              </w:rPr>
              <w:t>3,000,000</w:t>
            </w: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820" w:type="dxa"/>
            <w:vAlign w:val="bottom"/>
            <w:tcBorders>
              <w:bottom w:val="single" w:sz="8" w:color="D8D7D7"/>
            </w:tcBorders>
          </w:tcPr>
          <w:p>
            <w:pPr>
              <w:jc w:val="right"/>
              <w:ind w:right="26"/>
              <w:spacing w:after="0"/>
              <w:rPr>
                <w:sz w:val="20"/>
                <w:szCs w:val="20"/>
                <w:color w:val="auto"/>
              </w:rPr>
            </w:pPr>
            <w:r>
              <w:rPr>
                <w:rFonts w:ascii="Arial" w:cs="Arial" w:eastAsia="Arial" w:hAnsi="Arial"/>
                <w:sz w:val="11"/>
                <w:szCs w:val="11"/>
                <w:color w:val="auto"/>
              </w:rPr>
              <w:t>Cash</w:t>
            </w:r>
            <w:r>
              <w:rPr>
                <w:rFonts w:ascii="Arial" w:cs="Arial" w:eastAsia="Arial" w:hAnsi="Arial"/>
                <w:sz w:val="7"/>
                <w:szCs w:val="7"/>
                <w:color w:val="auto"/>
              </w:rPr>
              <w:t>(3)</w:t>
            </w:r>
          </w:p>
        </w:tc>
        <w:tc>
          <w:tcPr>
            <w:tcW w:w="700" w:type="dxa"/>
            <w:vAlign w:val="bottom"/>
            <w:tcBorders>
              <w:bottom w:val="single" w:sz="8" w:color="D8D7D7"/>
            </w:tcBorders>
          </w:tcPr>
          <w:p>
            <w:pPr>
              <w:spacing w:after="0"/>
              <w:rPr>
                <w:sz w:val="13"/>
                <w:szCs w:val="13"/>
                <w:color w:val="auto"/>
              </w:rPr>
            </w:pPr>
          </w:p>
        </w:tc>
        <w:tc>
          <w:tcPr>
            <w:tcW w:w="720" w:type="dxa"/>
            <w:vAlign w:val="bottom"/>
            <w:tcBorders>
              <w:bottom w:val="single" w:sz="8" w:color="D8D7D7"/>
            </w:tcBorders>
          </w:tcPr>
          <w:p>
            <w:pPr>
              <w:spacing w:after="0"/>
              <w:rPr>
                <w:sz w:val="13"/>
                <w:szCs w:val="13"/>
                <w:color w:val="auto"/>
              </w:rPr>
            </w:pPr>
          </w:p>
        </w:tc>
        <w:tc>
          <w:tcPr>
            <w:tcW w:w="640" w:type="dxa"/>
            <w:vAlign w:val="bottom"/>
            <w:tcBorders>
              <w:bottom w:val="single" w:sz="8" w:color="D8D7D7"/>
            </w:tcBorders>
          </w:tcPr>
          <w:p>
            <w:pPr>
              <w:spacing w:after="0"/>
              <w:rPr>
                <w:sz w:val="13"/>
                <w:szCs w:val="13"/>
                <w:color w:val="auto"/>
              </w:rPr>
            </w:pPr>
          </w:p>
        </w:tc>
        <w:tc>
          <w:tcPr>
            <w:tcW w:w="700" w:type="dxa"/>
            <w:vAlign w:val="bottom"/>
            <w:tcBorders>
              <w:bottom w:val="single" w:sz="8" w:color="D8D7D7"/>
            </w:tcBorders>
          </w:tcPr>
          <w:p>
            <w:pPr>
              <w:spacing w:after="0"/>
              <w:rPr>
                <w:sz w:val="13"/>
                <w:szCs w:val="13"/>
                <w:color w:val="auto"/>
              </w:rPr>
            </w:pPr>
          </w:p>
        </w:tc>
        <w:tc>
          <w:tcPr>
            <w:tcW w:w="620" w:type="dxa"/>
            <w:vAlign w:val="bottom"/>
            <w:tcBorders>
              <w:bottom w:val="single" w:sz="8" w:color="D8D7D7"/>
            </w:tcBorders>
          </w:tcPr>
          <w:p>
            <w:pPr>
              <w:spacing w:after="0"/>
              <w:rPr>
                <w:sz w:val="13"/>
                <w:szCs w:val="13"/>
                <w:color w:val="auto"/>
              </w:rPr>
            </w:pPr>
          </w:p>
        </w:tc>
        <w:tc>
          <w:tcPr>
            <w:tcW w:w="620" w:type="dxa"/>
            <w:vAlign w:val="bottom"/>
            <w:tcBorders>
              <w:bottom w:val="single" w:sz="8" w:color="D8D7D7"/>
            </w:tcBorders>
          </w:tcPr>
          <w:p>
            <w:pPr>
              <w:spacing w:after="0"/>
              <w:rPr>
                <w:sz w:val="13"/>
                <w:szCs w:val="13"/>
                <w:color w:val="auto"/>
              </w:rPr>
            </w:pPr>
          </w:p>
        </w:tc>
        <w:tc>
          <w:tcPr>
            <w:tcW w:w="700" w:type="dxa"/>
            <w:vAlign w:val="bottom"/>
            <w:tcBorders>
              <w:bottom w:val="single" w:sz="8" w:color="D8D7D7"/>
            </w:tcBorders>
          </w:tcPr>
          <w:p>
            <w:pPr>
              <w:spacing w:after="0"/>
              <w:rPr>
                <w:sz w:val="13"/>
                <w:szCs w:val="13"/>
                <w:color w:val="auto"/>
              </w:rPr>
            </w:pPr>
          </w:p>
        </w:tc>
        <w:tc>
          <w:tcPr>
            <w:tcW w:w="580" w:type="dxa"/>
            <w:vAlign w:val="bottom"/>
            <w:tcBorders>
              <w:bottom w:val="single" w:sz="8" w:color="D8D7D7"/>
            </w:tcBorders>
          </w:tcPr>
          <w:p>
            <w:pPr>
              <w:spacing w:after="0"/>
              <w:rPr>
                <w:sz w:val="13"/>
                <w:szCs w:val="13"/>
                <w:color w:val="auto"/>
              </w:rPr>
            </w:pPr>
          </w:p>
        </w:tc>
        <w:tc>
          <w:tcPr>
            <w:tcW w:w="680" w:type="dxa"/>
            <w:vAlign w:val="bottom"/>
            <w:tcBorders>
              <w:bottom w:val="single" w:sz="8" w:color="D8D7D7"/>
            </w:tcBorders>
          </w:tcPr>
          <w:p>
            <w:pPr>
              <w:spacing w:after="0"/>
              <w:rPr>
                <w:sz w:val="13"/>
                <w:szCs w:val="13"/>
                <w:color w:val="auto"/>
              </w:rPr>
            </w:pPr>
          </w:p>
        </w:tc>
        <w:tc>
          <w:tcPr>
            <w:tcW w:w="560" w:type="dxa"/>
            <w:vAlign w:val="bottom"/>
            <w:tcBorders>
              <w:bottom w:val="single" w:sz="8" w:color="D8D7D7"/>
            </w:tcBorders>
          </w:tcPr>
          <w:p>
            <w:pPr>
              <w:spacing w:after="0"/>
              <w:rPr>
                <w:sz w:val="13"/>
                <w:szCs w:val="13"/>
                <w:color w:val="auto"/>
              </w:rPr>
            </w:pPr>
          </w:p>
        </w:tc>
        <w:tc>
          <w:tcPr>
            <w:tcW w:w="660" w:type="dxa"/>
            <w:vAlign w:val="bottom"/>
            <w:tcBorders>
              <w:bottom w:val="single" w:sz="8" w:color="D8D7D7"/>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PSU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7/29/2025</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1/7/2025</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61,349</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408,991</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817,982</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w w:val="98"/>
              </w:rPr>
              <w:t>21,687,791</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RSU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7/29/2025</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1/7/2025</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257,869</w:t>
            </w:r>
          </w:p>
        </w:tc>
        <w:tc>
          <w:tcPr>
            <w:tcW w:w="56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13,437,554</w:t>
            </w:r>
          </w:p>
        </w:tc>
        <w:tc>
          <w:tcPr>
            <w:tcW w:w="0" w:type="dxa"/>
            <w:vAlign w:val="bottom"/>
          </w:tcPr>
          <w:p>
            <w:pPr>
              <w:spacing w:after="0"/>
              <w:rPr>
                <w:sz w:val="1"/>
                <w:szCs w:val="1"/>
                <w:color w:val="auto"/>
              </w:rPr>
            </w:pPr>
          </w:p>
        </w:tc>
      </w:tr>
      <w:tr>
        <w:trPr>
          <w:trHeight w:val="33"/>
        </w:trPr>
        <w:tc>
          <w:tcPr>
            <w:tcW w:w="1080" w:type="dxa"/>
            <w:vAlign w:val="bottom"/>
            <w:tcBorders>
              <w:bottom w:val="single" w:sz="8" w:color="D8D7D7"/>
            </w:tcBorders>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080" w:type="dxa"/>
            <w:vAlign w:val="bottom"/>
          </w:tcPr>
          <w:p>
            <w:pPr>
              <w:ind w:left="60"/>
              <w:spacing w:after="0"/>
              <w:rPr>
                <w:sz w:val="20"/>
                <w:szCs w:val="20"/>
                <w:color w:val="auto"/>
              </w:rPr>
            </w:pPr>
            <w:r>
              <w:rPr>
                <w:rFonts w:ascii="Arial" w:cs="Arial" w:eastAsia="Arial" w:hAnsi="Arial"/>
                <w:sz w:val="11"/>
                <w:szCs w:val="11"/>
                <w:b w:val="1"/>
                <w:bCs w:val="1"/>
                <w:color w:val="0956FF"/>
              </w:rPr>
              <w:t>Rory V. Harvey</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STIP</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jc w:val="right"/>
              <w:spacing w:after="0"/>
              <w:rPr>
                <w:sz w:val="20"/>
                <w:szCs w:val="20"/>
                <w:color w:val="auto"/>
              </w:rPr>
            </w:pPr>
            <w:r>
              <w:rPr>
                <w:rFonts w:ascii="Arial" w:cs="Arial" w:eastAsia="Arial" w:hAnsi="Arial"/>
                <w:sz w:val="11"/>
                <w:szCs w:val="11"/>
                <w:color w:val="auto"/>
              </w:rPr>
              <w:t>13,281</w:t>
            </w:r>
          </w:p>
        </w:tc>
        <w:tc>
          <w:tcPr>
            <w:tcW w:w="700" w:type="dxa"/>
            <w:vAlign w:val="bottom"/>
          </w:tcPr>
          <w:p>
            <w:pPr>
              <w:jc w:val="center"/>
              <w:spacing w:after="0"/>
              <w:rPr>
                <w:sz w:val="20"/>
                <w:szCs w:val="20"/>
                <w:color w:val="auto"/>
              </w:rPr>
            </w:pPr>
            <w:r>
              <w:rPr>
                <w:rFonts w:ascii="Arial" w:cs="Arial" w:eastAsia="Arial" w:hAnsi="Arial"/>
                <w:sz w:val="11"/>
                <w:szCs w:val="11"/>
                <w:color w:val="auto"/>
                <w:w w:val="97"/>
              </w:rPr>
              <w:t>1,062,500</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2,125,000</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PSU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2/4/2025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16,416</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109,443</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218,886</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center"/>
              <w:ind w:left="7"/>
              <w:spacing w:after="0"/>
              <w:rPr>
                <w:sz w:val="20"/>
                <w:szCs w:val="20"/>
                <w:color w:val="auto"/>
              </w:rPr>
            </w:pPr>
            <w:r>
              <w:rPr>
                <w:rFonts w:ascii="Arial" w:cs="Arial" w:eastAsia="Arial" w:hAnsi="Arial"/>
                <w:sz w:val="11"/>
                <w:szCs w:val="11"/>
                <w:color w:val="auto"/>
                <w:w w:val="97"/>
              </w:rPr>
              <w:t>5,526,267</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4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620" w:type="dxa"/>
            <w:vAlign w:val="bottom"/>
            <w:tcBorders>
              <w:bottom w:val="single" w:sz="8" w:color="D8D7D7"/>
            </w:tcBorders>
          </w:tcPr>
          <w:p>
            <w:pPr>
              <w:spacing w:after="0"/>
              <w:rPr>
                <w:sz w:val="2"/>
                <w:szCs w:val="2"/>
                <w:color w:val="auto"/>
              </w:rPr>
            </w:pPr>
          </w:p>
        </w:tc>
        <w:tc>
          <w:tcPr>
            <w:tcW w:w="700" w:type="dxa"/>
            <w:vAlign w:val="bottom"/>
            <w:tcBorders>
              <w:bottom w:val="single" w:sz="8" w:color="D8D7D7"/>
            </w:tcBorders>
          </w:tcPr>
          <w:p>
            <w:pPr>
              <w:spacing w:after="0"/>
              <w:rPr>
                <w:sz w:val="2"/>
                <w:szCs w:val="2"/>
                <w:color w:val="auto"/>
              </w:rPr>
            </w:pPr>
          </w:p>
        </w:tc>
        <w:tc>
          <w:tcPr>
            <w:tcW w:w="580" w:type="dxa"/>
            <w:vAlign w:val="bottom"/>
            <w:tcBorders>
              <w:bottom w:val="single" w:sz="8" w:color="D8D7D7"/>
            </w:tcBorders>
          </w:tcPr>
          <w:p>
            <w:pPr>
              <w:spacing w:after="0"/>
              <w:rPr>
                <w:sz w:val="2"/>
                <w:szCs w:val="2"/>
                <w:color w:val="auto"/>
              </w:rPr>
            </w:pPr>
          </w:p>
        </w:tc>
        <w:tc>
          <w:tcPr>
            <w:tcW w:w="680" w:type="dxa"/>
            <w:vAlign w:val="bottom"/>
            <w:tcBorders>
              <w:bottom w:val="single" w:sz="8" w:color="D8D7D7"/>
            </w:tcBorders>
          </w:tcPr>
          <w:p>
            <w:pPr>
              <w:spacing w:after="0"/>
              <w:rPr>
                <w:sz w:val="2"/>
                <w:szCs w:val="2"/>
                <w:color w:val="auto"/>
              </w:rPr>
            </w:pPr>
          </w:p>
        </w:tc>
        <w:tc>
          <w:tcPr>
            <w:tcW w:w="560" w:type="dxa"/>
            <w:vAlign w:val="bottom"/>
            <w:tcBorders>
              <w:bottom w:val="single" w:sz="8" w:color="D8D7D7"/>
            </w:tcBorders>
          </w:tcPr>
          <w:p>
            <w:pPr>
              <w:spacing w:after="0"/>
              <w:rPr>
                <w:sz w:val="2"/>
                <w:szCs w:val="2"/>
                <w:color w:val="auto"/>
              </w:rPr>
            </w:pPr>
          </w:p>
        </w:tc>
        <w:tc>
          <w:tcPr>
            <w:tcW w:w="660" w:type="dxa"/>
            <w:vAlign w:val="bottom"/>
            <w:tcBorders>
              <w:bottom w:val="single" w:sz="8" w:color="D8D7D7"/>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RSU</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2/4/2025</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12/12/2024</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36,481</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1,771,882</w:t>
            </w:r>
          </w:p>
        </w:tc>
        <w:tc>
          <w:tcPr>
            <w:tcW w:w="0" w:type="dxa"/>
            <w:vAlign w:val="bottom"/>
          </w:tcPr>
          <w:p>
            <w:pPr>
              <w:spacing w:after="0"/>
              <w:rPr>
                <w:sz w:val="1"/>
                <w:szCs w:val="1"/>
                <w:color w:val="auto"/>
              </w:rPr>
            </w:pPr>
          </w:p>
        </w:tc>
      </w:tr>
      <w:tr>
        <w:trPr>
          <w:trHeight w:val="33"/>
        </w:trPr>
        <w:tc>
          <w:tcPr>
            <w:tcW w:w="7860" w:type="dxa"/>
            <w:vAlign w:val="bottom"/>
            <w:tcBorders>
              <w:bottom w:val="single" w:sz="8" w:color="0956FF"/>
            </w:tcBorders>
            <w:gridSpan w:val="11"/>
          </w:tcPr>
          <w:p>
            <w:pPr>
              <w:spacing w:after="0"/>
              <w:rPr>
                <w:sz w:val="2"/>
                <w:szCs w:val="2"/>
                <w:color w:val="auto"/>
              </w:rPr>
            </w:pPr>
          </w:p>
        </w:tc>
        <w:tc>
          <w:tcPr>
            <w:tcW w:w="1220" w:type="dxa"/>
            <w:vAlign w:val="bottom"/>
            <w:tcBorders>
              <w:bottom w:val="single" w:sz="8" w:color="0956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7860" w:type="dxa"/>
            <w:vAlign w:val="bottom"/>
            <w:gridSpan w:val="11"/>
          </w:tcPr>
          <w:p>
            <w:pPr>
              <w:jc w:val="right"/>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Mr. Anderson was granted a PSU grant with different metrics than those detailed above in the amount of 211,092 shares</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 Vesting and</w:t>
            </w:r>
          </w:p>
        </w:tc>
        <w:tc>
          <w:tcPr>
            <w:tcW w:w="0" w:type="dxa"/>
            <w:vAlign w:val="bottom"/>
          </w:tcPr>
          <w:p>
            <w:pPr>
              <w:spacing w:after="0"/>
              <w:rPr>
                <w:sz w:val="1"/>
                <w:szCs w:val="1"/>
                <w:color w:val="auto"/>
              </w:rPr>
            </w:pPr>
          </w:p>
        </w:tc>
      </w:tr>
    </w:tbl>
    <w:p>
      <w:pPr>
        <w:ind w:left="200" w:right="600"/>
        <w:spacing w:after="0" w:line="299" w:lineRule="auto"/>
        <w:rPr>
          <w:sz w:val="20"/>
          <w:szCs w:val="20"/>
          <w:color w:val="auto"/>
        </w:rPr>
      </w:pPr>
      <w:r>
        <w:rPr>
          <w:rFonts w:ascii="Arial" w:cs="Arial" w:eastAsia="Arial" w:hAnsi="Arial"/>
          <w:sz w:val="14"/>
          <w:szCs w:val="14"/>
          <w:color w:val="auto"/>
        </w:rPr>
        <w:t>performance will be tied to the non-TSR metrics of the 2024-2026 PSU grant (which is scheduled to vest February 2027, based on attainment of the applicable performance metrics).</w:t>
      </w:r>
    </w:p>
    <w:p>
      <w:pPr>
        <w:spacing w:after="0" w:line="17" w:lineRule="exact"/>
        <w:rPr>
          <w:sz w:val="20"/>
          <w:szCs w:val="20"/>
          <w:color w:val="auto"/>
        </w:rPr>
      </w:pPr>
    </w:p>
    <w:p>
      <w:pPr>
        <w:ind w:left="200" w:right="140" w:hanging="192"/>
        <w:spacing w:after="0" w:line="257" w:lineRule="auto"/>
        <w:tabs>
          <w:tab w:leader="none" w:pos="20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This column shows the aggregate grant date fair value of equity awards granted to the NEOs in 2025. The aggregate grant date fair value is the amount that the Company expects to expense in its financial statements over the vesting schedule. All grant date fair values have been computed in accordance with FASB ASC Topic 718.</w:t>
      </w:r>
    </w:p>
    <w:p>
      <w:pPr>
        <w:spacing w:after="0" w:line="42" w:lineRule="exact"/>
        <w:rPr>
          <w:rFonts w:ascii="Arial" w:cs="Arial" w:eastAsia="Arial" w:hAnsi="Arial"/>
          <w:sz w:val="19"/>
          <w:szCs w:val="19"/>
          <w:color w:val="auto"/>
          <w:vertAlign w:val="superscript"/>
        </w:rPr>
      </w:pPr>
    </w:p>
    <w:p>
      <w:pPr>
        <w:ind w:left="200" w:right="20" w:hanging="192"/>
        <w:spacing w:after="0" w:line="259" w:lineRule="auto"/>
        <w:tabs>
          <w:tab w:leader="none" w:pos="20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Represents a performance cash award that vested on December 15, 2025, based on achievement of individual goals. Refer to page 48 for further description of Mr. Anderson ’s new hire awards.</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9080"/>
          </w:cols>
          <w:pgMar w:left="1400" w:top="657" w:right="141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Outstanding Equity Awards at Fiscal Year-End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00" w:type="dxa"/>
            <w:vAlign w:val="bottom"/>
            <w:tcBorders>
              <w:bottom w:val="single" w:sz="8" w:color="ECEBEB"/>
            </w:tcBorders>
            <w:shd w:val="clear" w:color="auto" w:fill="ECEBEB"/>
          </w:tcPr>
          <w:p>
            <w:pPr>
              <w:spacing w:after="0"/>
              <w:rPr>
                <w:sz w:val="19"/>
                <w:szCs w:val="19"/>
                <w:color w:val="auto"/>
              </w:rPr>
            </w:pPr>
          </w:p>
        </w:tc>
        <w:tc>
          <w:tcPr>
            <w:tcW w:w="820" w:type="dxa"/>
            <w:vAlign w:val="bottom"/>
            <w:tcBorders>
              <w:bottom w:val="single" w:sz="8" w:color="0956FF"/>
            </w:tcBorders>
            <w:shd w:val="clear" w:color="auto" w:fill="ECEBEB"/>
          </w:tcPr>
          <w:p>
            <w:pPr>
              <w:spacing w:after="0"/>
              <w:rPr>
                <w:sz w:val="19"/>
                <w:szCs w:val="19"/>
                <w:color w:val="auto"/>
              </w:rPr>
            </w:pPr>
          </w:p>
        </w:tc>
        <w:tc>
          <w:tcPr>
            <w:tcW w:w="1800" w:type="dxa"/>
            <w:vAlign w:val="bottom"/>
            <w:tcBorders>
              <w:bottom w:val="single" w:sz="8" w:color="0956FF"/>
            </w:tcBorders>
            <w:gridSpan w:val="4"/>
            <w:shd w:val="clear" w:color="auto" w:fill="ECEBEB"/>
          </w:tcPr>
          <w:p>
            <w:pPr>
              <w:jc w:val="right"/>
              <w:ind w:right="116"/>
              <w:spacing w:after="0"/>
              <w:rPr>
                <w:sz w:val="20"/>
                <w:szCs w:val="20"/>
                <w:color w:val="auto"/>
              </w:rPr>
            </w:pPr>
            <w:r>
              <w:rPr>
                <w:rFonts w:ascii="Arial" w:cs="Arial" w:eastAsia="Arial" w:hAnsi="Arial"/>
                <w:sz w:val="13"/>
                <w:szCs w:val="13"/>
                <w:b w:val="1"/>
                <w:bCs w:val="1"/>
                <w:color w:val="auto"/>
              </w:rPr>
              <w:t>Option Awards</w:t>
            </w:r>
          </w:p>
        </w:tc>
        <w:tc>
          <w:tcPr>
            <w:tcW w:w="680" w:type="dxa"/>
            <w:vAlign w:val="bottom"/>
            <w:tcBorders>
              <w:bottom w:val="single" w:sz="8" w:color="0956FF"/>
            </w:tcBorders>
            <w:shd w:val="clear" w:color="auto" w:fill="ECEBEB"/>
          </w:tcPr>
          <w:p>
            <w:pPr>
              <w:spacing w:after="0"/>
              <w:rPr>
                <w:sz w:val="19"/>
                <w:szCs w:val="19"/>
                <w:color w:val="auto"/>
              </w:rPr>
            </w:pPr>
          </w:p>
        </w:tc>
        <w:tc>
          <w:tcPr>
            <w:tcW w:w="700" w:type="dxa"/>
            <w:vAlign w:val="bottom"/>
            <w:tcBorders>
              <w:bottom w:val="single" w:sz="8" w:color="0956FF"/>
            </w:tcBorders>
            <w:shd w:val="clear" w:color="auto" w:fill="ECEBEB"/>
          </w:tcPr>
          <w:p>
            <w:pPr>
              <w:spacing w:after="0"/>
              <w:rPr>
                <w:sz w:val="19"/>
                <w:szCs w:val="19"/>
                <w:color w:val="auto"/>
              </w:rPr>
            </w:pPr>
          </w:p>
        </w:tc>
        <w:tc>
          <w:tcPr>
            <w:tcW w:w="60" w:type="dxa"/>
            <w:vAlign w:val="bottom"/>
            <w:tcBorders>
              <w:bottom w:val="single" w:sz="8" w:color="ECEBEB"/>
            </w:tcBorders>
            <w:shd w:val="clear" w:color="auto" w:fill="ECEBEB"/>
          </w:tcPr>
          <w:p>
            <w:pPr>
              <w:spacing w:after="0"/>
              <w:rPr>
                <w:sz w:val="19"/>
                <w:szCs w:val="19"/>
                <w:color w:val="auto"/>
              </w:rPr>
            </w:pPr>
          </w:p>
        </w:tc>
        <w:tc>
          <w:tcPr>
            <w:tcW w:w="620" w:type="dxa"/>
            <w:vAlign w:val="bottom"/>
            <w:tcBorders>
              <w:bottom w:val="single" w:sz="8" w:color="0956FF"/>
            </w:tcBorders>
            <w:shd w:val="clear" w:color="auto" w:fill="ECEBEB"/>
          </w:tcPr>
          <w:p>
            <w:pPr>
              <w:spacing w:after="0"/>
              <w:rPr>
                <w:sz w:val="19"/>
                <w:szCs w:val="19"/>
                <w:color w:val="auto"/>
              </w:rPr>
            </w:pPr>
          </w:p>
        </w:tc>
        <w:tc>
          <w:tcPr>
            <w:tcW w:w="260" w:type="dxa"/>
            <w:vAlign w:val="bottom"/>
            <w:tcBorders>
              <w:bottom w:val="single" w:sz="8" w:color="0956FF"/>
            </w:tcBorders>
            <w:shd w:val="clear" w:color="auto" w:fill="ECEBEB"/>
          </w:tcPr>
          <w:p>
            <w:pPr>
              <w:spacing w:after="0"/>
              <w:rPr>
                <w:sz w:val="19"/>
                <w:szCs w:val="19"/>
                <w:color w:val="auto"/>
              </w:rPr>
            </w:pPr>
          </w:p>
        </w:tc>
        <w:tc>
          <w:tcPr>
            <w:tcW w:w="1540" w:type="dxa"/>
            <w:vAlign w:val="bottom"/>
            <w:tcBorders>
              <w:bottom w:val="single" w:sz="8" w:color="0956FF"/>
            </w:tcBorders>
            <w:gridSpan w:val="2"/>
            <w:shd w:val="clear" w:color="auto" w:fill="ECEBEB"/>
          </w:tcPr>
          <w:p>
            <w:pPr>
              <w:ind w:left="580"/>
              <w:spacing w:after="0"/>
              <w:rPr>
                <w:sz w:val="20"/>
                <w:szCs w:val="20"/>
                <w:color w:val="auto"/>
              </w:rPr>
            </w:pPr>
            <w:r>
              <w:rPr>
                <w:rFonts w:ascii="Arial" w:cs="Arial" w:eastAsia="Arial" w:hAnsi="Arial"/>
                <w:sz w:val="13"/>
                <w:szCs w:val="13"/>
                <w:b w:val="1"/>
                <w:bCs w:val="1"/>
                <w:color w:val="auto"/>
                <w:w w:val="94"/>
              </w:rPr>
              <w:t>Stock Awards</w:t>
            </w:r>
            <w:r>
              <w:rPr>
                <w:rFonts w:ascii="Arial" w:cs="Arial" w:eastAsia="Arial" w:hAnsi="Arial"/>
                <w:sz w:val="16"/>
                <w:szCs w:val="16"/>
                <w:b w:val="1"/>
                <w:bCs w:val="1"/>
                <w:color w:val="auto"/>
                <w:w w:val="94"/>
                <w:vertAlign w:val="superscript"/>
              </w:rPr>
              <w:t>(1)</w:t>
            </w:r>
          </w:p>
        </w:tc>
        <w:tc>
          <w:tcPr>
            <w:tcW w:w="300" w:type="dxa"/>
            <w:vAlign w:val="bottom"/>
            <w:tcBorders>
              <w:bottom w:val="single" w:sz="8" w:color="0956FF"/>
            </w:tcBorders>
            <w:shd w:val="clear" w:color="auto" w:fill="ECEBEB"/>
          </w:tcPr>
          <w:p>
            <w:pPr>
              <w:spacing w:after="0"/>
              <w:rPr>
                <w:sz w:val="19"/>
                <w:szCs w:val="19"/>
                <w:color w:val="auto"/>
              </w:rPr>
            </w:pPr>
          </w:p>
        </w:tc>
        <w:tc>
          <w:tcPr>
            <w:tcW w:w="840" w:type="dxa"/>
            <w:vAlign w:val="bottom"/>
            <w:tcBorders>
              <w:bottom w:val="single" w:sz="8" w:color="0956FF"/>
            </w:tcBorders>
            <w:shd w:val="clear" w:color="auto" w:fill="ECEBEB"/>
          </w:tcPr>
          <w:p>
            <w:pPr>
              <w:spacing w:after="0"/>
              <w:rPr>
                <w:sz w:val="19"/>
                <w:szCs w:val="19"/>
                <w:color w:val="auto"/>
              </w:rPr>
            </w:pPr>
          </w:p>
        </w:tc>
        <w:tc>
          <w:tcPr>
            <w:tcW w:w="260" w:type="dxa"/>
            <w:vAlign w:val="bottom"/>
            <w:tcBorders>
              <w:bottom w:val="single" w:sz="8" w:color="0956FF"/>
            </w:tcBorders>
            <w:shd w:val="clear" w:color="auto" w:fill="ECEBEB"/>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200" w:type="dxa"/>
            <w:vAlign w:val="bottom"/>
            <w:shd w:val="clear" w:color="auto" w:fill="ECEBEB"/>
          </w:tcPr>
          <w:p>
            <w:pPr>
              <w:spacing w:after="0"/>
              <w:rPr>
                <w:sz w:val="14"/>
                <w:szCs w:val="14"/>
                <w:color w:val="auto"/>
              </w:rPr>
            </w:pPr>
          </w:p>
        </w:tc>
        <w:tc>
          <w:tcPr>
            <w:tcW w:w="820" w:type="dxa"/>
            <w:vAlign w:val="bottom"/>
            <w:shd w:val="clear" w:color="auto" w:fill="ECEBEB"/>
          </w:tcPr>
          <w:p>
            <w:pPr>
              <w:spacing w:after="0"/>
              <w:rPr>
                <w:sz w:val="14"/>
                <w:szCs w:val="14"/>
                <w:color w:val="auto"/>
              </w:rPr>
            </w:pPr>
          </w:p>
        </w:tc>
        <w:tc>
          <w:tcPr>
            <w:tcW w:w="880" w:type="dxa"/>
            <w:vAlign w:val="bottom"/>
            <w:shd w:val="clear" w:color="auto" w:fill="ECEBEB"/>
          </w:tcPr>
          <w:p>
            <w:pPr>
              <w:spacing w:after="0"/>
              <w:rPr>
                <w:sz w:val="14"/>
                <w:szCs w:val="14"/>
                <w:color w:val="auto"/>
              </w:rPr>
            </w:pPr>
          </w:p>
        </w:tc>
        <w:tc>
          <w:tcPr>
            <w:tcW w:w="700" w:type="dxa"/>
            <w:vAlign w:val="bottom"/>
            <w:shd w:val="clear" w:color="auto" w:fill="ECEBEB"/>
          </w:tcPr>
          <w:p>
            <w:pPr>
              <w:spacing w:after="0"/>
              <w:rPr>
                <w:sz w:val="14"/>
                <w:szCs w:val="14"/>
                <w:color w:val="auto"/>
              </w:rPr>
            </w:pPr>
          </w:p>
        </w:tc>
        <w:tc>
          <w:tcPr>
            <w:tcW w:w="20" w:type="dxa"/>
            <w:vAlign w:val="bottom"/>
            <w:shd w:val="clear" w:color="auto" w:fill="ECEBEB"/>
          </w:tcPr>
          <w:p>
            <w:pPr>
              <w:spacing w:after="0"/>
              <w:rPr>
                <w:sz w:val="14"/>
                <w:szCs w:val="14"/>
                <w:color w:val="auto"/>
              </w:rPr>
            </w:pPr>
          </w:p>
        </w:tc>
        <w:tc>
          <w:tcPr>
            <w:tcW w:w="200" w:type="dxa"/>
            <w:vAlign w:val="bottom"/>
            <w:shd w:val="clear" w:color="auto" w:fill="ECEBEB"/>
          </w:tcPr>
          <w:p>
            <w:pPr>
              <w:spacing w:after="0"/>
              <w:rPr>
                <w:sz w:val="14"/>
                <w:szCs w:val="14"/>
                <w:color w:val="auto"/>
              </w:rPr>
            </w:pPr>
          </w:p>
        </w:tc>
        <w:tc>
          <w:tcPr>
            <w:tcW w:w="680" w:type="dxa"/>
            <w:vAlign w:val="bottom"/>
            <w:shd w:val="clear" w:color="auto" w:fill="ECEBEB"/>
          </w:tcPr>
          <w:p>
            <w:pPr>
              <w:spacing w:after="0"/>
              <w:rPr>
                <w:sz w:val="14"/>
                <w:szCs w:val="14"/>
                <w:color w:val="auto"/>
              </w:rPr>
            </w:pPr>
          </w:p>
        </w:tc>
        <w:tc>
          <w:tcPr>
            <w:tcW w:w="700" w:type="dxa"/>
            <w:vAlign w:val="bottom"/>
            <w:shd w:val="clear" w:color="auto" w:fill="ECEBEB"/>
          </w:tcPr>
          <w:p>
            <w:pPr>
              <w:spacing w:after="0"/>
              <w:rPr>
                <w:sz w:val="14"/>
                <w:szCs w:val="14"/>
                <w:color w:val="auto"/>
              </w:rPr>
            </w:pPr>
          </w:p>
        </w:tc>
        <w:tc>
          <w:tcPr>
            <w:tcW w:w="60" w:type="dxa"/>
            <w:vAlign w:val="bottom"/>
            <w:shd w:val="clear" w:color="auto" w:fill="ECEBEB"/>
          </w:tcPr>
          <w:p>
            <w:pPr>
              <w:spacing w:after="0"/>
              <w:rPr>
                <w:sz w:val="14"/>
                <w:szCs w:val="14"/>
                <w:color w:val="auto"/>
              </w:rPr>
            </w:pPr>
          </w:p>
        </w:tc>
        <w:tc>
          <w:tcPr>
            <w:tcW w:w="620" w:type="dxa"/>
            <w:vAlign w:val="bottom"/>
            <w:shd w:val="clear" w:color="auto" w:fill="ECEBEB"/>
          </w:tcPr>
          <w:p>
            <w:pPr>
              <w:spacing w:after="0"/>
              <w:rPr>
                <w:sz w:val="14"/>
                <w:szCs w:val="14"/>
                <w:color w:val="auto"/>
              </w:rPr>
            </w:pPr>
          </w:p>
        </w:tc>
        <w:tc>
          <w:tcPr>
            <w:tcW w:w="260" w:type="dxa"/>
            <w:vAlign w:val="bottom"/>
            <w:shd w:val="clear" w:color="auto" w:fill="ECEBEB"/>
          </w:tcPr>
          <w:p>
            <w:pPr>
              <w:spacing w:after="0"/>
              <w:rPr>
                <w:sz w:val="14"/>
                <w:szCs w:val="14"/>
                <w:color w:val="auto"/>
              </w:rPr>
            </w:pPr>
          </w:p>
        </w:tc>
        <w:tc>
          <w:tcPr>
            <w:tcW w:w="880" w:type="dxa"/>
            <w:vAlign w:val="bottom"/>
            <w:shd w:val="clear" w:color="auto" w:fill="ECEBEB"/>
          </w:tcPr>
          <w:p>
            <w:pPr>
              <w:spacing w:after="0"/>
              <w:rPr>
                <w:sz w:val="14"/>
                <w:szCs w:val="14"/>
                <w:color w:val="auto"/>
              </w:rPr>
            </w:pPr>
          </w:p>
        </w:tc>
        <w:tc>
          <w:tcPr>
            <w:tcW w:w="660" w:type="dxa"/>
            <w:vAlign w:val="bottom"/>
            <w:shd w:val="clear" w:color="auto" w:fill="ECEBEB"/>
          </w:tcPr>
          <w:p>
            <w:pPr>
              <w:spacing w:after="0"/>
              <w:rPr>
                <w:sz w:val="14"/>
                <w:szCs w:val="14"/>
                <w:color w:val="auto"/>
              </w:rPr>
            </w:pPr>
          </w:p>
        </w:tc>
        <w:tc>
          <w:tcPr>
            <w:tcW w:w="300" w:type="dxa"/>
            <w:vAlign w:val="bottom"/>
            <w:shd w:val="clear" w:color="auto" w:fill="ECEBEB"/>
          </w:tcPr>
          <w:p>
            <w:pPr>
              <w:spacing w:after="0"/>
              <w:rPr>
                <w:sz w:val="14"/>
                <w:szCs w:val="14"/>
                <w:color w:val="auto"/>
              </w:rPr>
            </w:pPr>
          </w:p>
        </w:tc>
        <w:tc>
          <w:tcPr>
            <w:tcW w:w="1100" w:type="dxa"/>
            <w:vAlign w:val="bottom"/>
            <w:gridSpan w:val="2"/>
            <w:shd w:val="clear" w:color="auto" w:fill="ECEBEB"/>
          </w:tcPr>
          <w:p>
            <w:pPr>
              <w:jc w:val="right"/>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1200" w:type="dxa"/>
            <w:vAlign w:val="bottom"/>
            <w:shd w:val="clear" w:color="auto" w:fill="ECEBEB"/>
          </w:tcPr>
          <w:p>
            <w:pPr>
              <w:spacing w:after="0"/>
              <w:rPr>
                <w:sz w:val="12"/>
                <w:szCs w:val="12"/>
                <w:color w:val="auto"/>
              </w:rPr>
            </w:pPr>
          </w:p>
        </w:tc>
        <w:tc>
          <w:tcPr>
            <w:tcW w:w="820" w:type="dxa"/>
            <w:vAlign w:val="bottom"/>
            <w:shd w:val="clear" w:color="auto" w:fill="ECEBEB"/>
          </w:tcPr>
          <w:p>
            <w:pPr>
              <w:spacing w:after="0"/>
              <w:rPr>
                <w:sz w:val="12"/>
                <w:szCs w:val="12"/>
                <w:color w:val="auto"/>
              </w:rPr>
            </w:pPr>
          </w:p>
        </w:tc>
        <w:tc>
          <w:tcPr>
            <w:tcW w:w="880" w:type="dxa"/>
            <w:vAlign w:val="bottom"/>
            <w:shd w:val="clear" w:color="auto" w:fill="ECEBEB"/>
          </w:tcPr>
          <w:p>
            <w:pPr>
              <w:spacing w:after="0"/>
              <w:rPr>
                <w:sz w:val="12"/>
                <w:szCs w:val="12"/>
                <w:color w:val="auto"/>
              </w:rPr>
            </w:pPr>
          </w:p>
        </w:tc>
        <w:tc>
          <w:tcPr>
            <w:tcW w:w="700" w:type="dxa"/>
            <w:vAlign w:val="bottom"/>
            <w:shd w:val="clear" w:color="auto" w:fill="ECEBEB"/>
          </w:tcPr>
          <w:p>
            <w:pPr>
              <w:spacing w:after="0"/>
              <w:rPr>
                <w:sz w:val="12"/>
                <w:szCs w:val="12"/>
                <w:color w:val="auto"/>
              </w:rPr>
            </w:pPr>
          </w:p>
        </w:tc>
        <w:tc>
          <w:tcPr>
            <w:tcW w:w="20" w:type="dxa"/>
            <w:vAlign w:val="bottom"/>
            <w:shd w:val="clear" w:color="auto" w:fill="ECEBEB"/>
          </w:tcPr>
          <w:p>
            <w:pPr>
              <w:spacing w:after="0"/>
              <w:rPr>
                <w:sz w:val="12"/>
                <w:szCs w:val="12"/>
                <w:color w:val="auto"/>
              </w:rPr>
            </w:pPr>
          </w:p>
        </w:tc>
        <w:tc>
          <w:tcPr>
            <w:tcW w:w="200" w:type="dxa"/>
            <w:vAlign w:val="bottom"/>
            <w:shd w:val="clear" w:color="auto" w:fill="ECEBEB"/>
          </w:tcPr>
          <w:p>
            <w:pPr>
              <w:spacing w:after="0"/>
              <w:rPr>
                <w:sz w:val="12"/>
                <w:szCs w:val="12"/>
                <w:color w:val="auto"/>
              </w:rPr>
            </w:pPr>
          </w:p>
        </w:tc>
        <w:tc>
          <w:tcPr>
            <w:tcW w:w="680" w:type="dxa"/>
            <w:vAlign w:val="bottom"/>
            <w:shd w:val="clear" w:color="auto" w:fill="ECEBEB"/>
          </w:tcPr>
          <w:p>
            <w:pPr>
              <w:spacing w:after="0"/>
              <w:rPr>
                <w:sz w:val="12"/>
                <w:szCs w:val="12"/>
                <w:color w:val="auto"/>
              </w:rPr>
            </w:pPr>
          </w:p>
        </w:tc>
        <w:tc>
          <w:tcPr>
            <w:tcW w:w="700" w:type="dxa"/>
            <w:vAlign w:val="bottom"/>
            <w:shd w:val="clear" w:color="auto" w:fill="ECEBEB"/>
          </w:tcPr>
          <w:p>
            <w:pPr>
              <w:spacing w:after="0"/>
              <w:rPr>
                <w:sz w:val="12"/>
                <w:szCs w:val="12"/>
                <w:color w:val="auto"/>
              </w:rPr>
            </w:pPr>
          </w:p>
        </w:tc>
        <w:tc>
          <w:tcPr>
            <w:tcW w:w="60" w:type="dxa"/>
            <w:vAlign w:val="bottom"/>
            <w:shd w:val="clear" w:color="auto" w:fill="ECEBEB"/>
          </w:tcPr>
          <w:p>
            <w:pPr>
              <w:spacing w:after="0"/>
              <w:rPr>
                <w:sz w:val="12"/>
                <w:szCs w:val="12"/>
                <w:color w:val="auto"/>
              </w:rPr>
            </w:pPr>
          </w:p>
        </w:tc>
        <w:tc>
          <w:tcPr>
            <w:tcW w:w="620" w:type="dxa"/>
            <w:vAlign w:val="bottom"/>
            <w:shd w:val="clear" w:color="auto" w:fill="ECEBEB"/>
          </w:tcPr>
          <w:p>
            <w:pPr>
              <w:spacing w:after="0"/>
              <w:rPr>
                <w:sz w:val="12"/>
                <w:szCs w:val="12"/>
                <w:color w:val="auto"/>
              </w:rPr>
            </w:pPr>
          </w:p>
        </w:tc>
        <w:tc>
          <w:tcPr>
            <w:tcW w:w="260" w:type="dxa"/>
            <w:vAlign w:val="bottom"/>
            <w:shd w:val="clear" w:color="auto" w:fill="ECEBEB"/>
          </w:tcPr>
          <w:p>
            <w:pPr>
              <w:spacing w:after="0"/>
              <w:rPr>
                <w:sz w:val="12"/>
                <w:szCs w:val="12"/>
                <w:color w:val="auto"/>
              </w:rPr>
            </w:pPr>
          </w:p>
        </w:tc>
        <w:tc>
          <w:tcPr>
            <w:tcW w:w="880" w:type="dxa"/>
            <w:vAlign w:val="bottom"/>
            <w:shd w:val="clear" w:color="auto" w:fill="ECEBEB"/>
          </w:tcPr>
          <w:p>
            <w:pPr>
              <w:spacing w:after="0"/>
              <w:rPr>
                <w:sz w:val="12"/>
                <w:szCs w:val="12"/>
                <w:color w:val="auto"/>
              </w:rPr>
            </w:pPr>
          </w:p>
        </w:tc>
        <w:tc>
          <w:tcPr>
            <w:tcW w:w="96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Equity</w:t>
            </w:r>
          </w:p>
        </w:tc>
        <w:tc>
          <w:tcPr>
            <w:tcW w:w="110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62"/>
        </w:trPr>
        <w:tc>
          <w:tcPr>
            <w:tcW w:w="1200" w:type="dxa"/>
            <w:vAlign w:val="bottom"/>
            <w:shd w:val="clear" w:color="auto" w:fill="ECEBEB"/>
          </w:tcPr>
          <w:p>
            <w:pPr>
              <w:spacing w:after="0"/>
              <w:rPr>
                <w:sz w:val="14"/>
                <w:szCs w:val="14"/>
                <w:color w:val="auto"/>
              </w:rPr>
            </w:pPr>
          </w:p>
        </w:tc>
        <w:tc>
          <w:tcPr>
            <w:tcW w:w="820" w:type="dxa"/>
            <w:vAlign w:val="bottom"/>
            <w:shd w:val="clear" w:color="auto" w:fill="ECEBEB"/>
          </w:tcPr>
          <w:p>
            <w:pPr>
              <w:spacing w:after="0"/>
              <w:rPr>
                <w:sz w:val="14"/>
                <w:szCs w:val="14"/>
                <w:color w:val="auto"/>
              </w:rPr>
            </w:pPr>
          </w:p>
        </w:tc>
        <w:tc>
          <w:tcPr>
            <w:tcW w:w="880" w:type="dxa"/>
            <w:vAlign w:val="bottom"/>
            <w:shd w:val="clear" w:color="auto" w:fill="ECEBEB"/>
          </w:tcPr>
          <w:p>
            <w:pPr>
              <w:spacing w:after="0"/>
              <w:rPr>
                <w:sz w:val="14"/>
                <w:szCs w:val="14"/>
                <w:color w:val="auto"/>
              </w:rPr>
            </w:pPr>
          </w:p>
        </w:tc>
        <w:tc>
          <w:tcPr>
            <w:tcW w:w="700" w:type="dxa"/>
            <w:vAlign w:val="bottom"/>
            <w:shd w:val="clear" w:color="auto" w:fill="ECEBEB"/>
          </w:tcPr>
          <w:p>
            <w:pPr>
              <w:spacing w:after="0"/>
              <w:rPr>
                <w:sz w:val="14"/>
                <w:szCs w:val="14"/>
                <w:color w:val="auto"/>
              </w:rPr>
            </w:pPr>
          </w:p>
        </w:tc>
        <w:tc>
          <w:tcPr>
            <w:tcW w:w="20" w:type="dxa"/>
            <w:vAlign w:val="bottom"/>
            <w:shd w:val="clear" w:color="auto" w:fill="ECEBEB"/>
          </w:tcPr>
          <w:p>
            <w:pPr>
              <w:spacing w:after="0"/>
              <w:rPr>
                <w:sz w:val="14"/>
                <w:szCs w:val="14"/>
                <w:color w:val="auto"/>
              </w:rPr>
            </w:pPr>
          </w:p>
        </w:tc>
        <w:tc>
          <w:tcPr>
            <w:tcW w:w="200" w:type="dxa"/>
            <w:vAlign w:val="bottom"/>
            <w:shd w:val="clear" w:color="auto" w:fill="ECEBEB"/>
          </w:tcPr>
          <w:p>
            <w:pPr>
              <w:spacing w:after="0"/>
              <w:rPr>
                <w:sz w:val="14"/>
                <w:szCs w:val="14"/>
                <w:color w:val="auto"/>
              </w:rPr>
            </w:pPr>
          </w:p>
        </w:tc>
        <w:tc>
          <w:tcPr>
            <w:tcW w:w="680" w:type="dxa"/>
            <w:vAlign w:val="bottom"/>
            <w:shd w:val="clear" w:color="auto" w:fill="ECEBEB"/>
          </w:tcPr>
          <w:p>
            <w:pPr>
              <w:spacing w:after="0"/>
              <w:rPr>
                <w:sz w:val="14"/>
                <w:szCs w:val="14"/>
                <w:color w:val="auto"/>
              </w:rPr>
            </w:pPr>
          </w:p>
        </w:tc>
        <w:tc>
          <w:tcPr>
            <w:tcW w:w="700" w:type="dxa"/>
            <w:vAlign w:val="bottom"/>
            <w:shd w:val="clear" w:color="auto" w:fill="ECEBEB"/>
          </w:tcPr>
          <w:p>
            <w:pPr>
              <w:spacing w:after="0"/>
              <w:rPr>
                <w:sz w:val="14"/>
                <w:szCs w:val="14"/>
                <w:color w:val="auto"/>
              </w:rPr>
            </w:pPr>
          </w:p>
        </w:tc>
        <w:tc>
          <w:tcPr>
            <w:tcW w:w="60" w:type="dxa"/>
            <w:vAlign w:val="bottom"/>
            <w:shd w:val="clear" w:color="auto" w:fill="ECEBEB"/>
          </w:tcPr>
          <w:p>
            <w:pPr>
              <w:spacing w:after="0"/>
              <w:rPr>
                <w:sz w:val="14"/>
                <w:szCs w:val="14"/>
                <w:color w:val="auto"/>
              </w:rPr>
            </w:pPr>
          </w:p>
        </w:tc>
        <w:tc>
          <w:tcPr>
            <w:tcW w:w="620" w:type="dxa"/>
            <w:vAlign w:val="bottom"/>
            <w:shd w:val="clear" w:color="auto" w:fill="ECEBEB"/>
          </w:tcPr>
          <w:p>
            <w:pPr>
              <w:spacing w:after="0"/>
              <w:rPr>
                <w:sz w:val="14"/>
                <w:szCs w:val="14"/>
                <w:color w:val="auto"/>
              </w:rPr>
            </w:pPr>
          </w:p>
        </w:tc>
        <w:tc>
          <w:tcPr>
            <w:tcW w:w="260" w:type="dxa"/>
            <w:vAlign w:val="bottom"/>
            <w:shd w:val="clear" w:color="auto" w:fill="ECEBEB"/>
          </w:tcPr>
          <w:p>
            <w:pPr>
              <w:spacing w:after="0"/>
              <w:rPr>
                <w:sz w:val="14"/>
                <w:szCs w:val="14"/>
                <w:color w:val="auto"/>
              </w:rPr>
            </w:pPr>
          </w:p>
        </w:tc>
        <w:tc>
          <w:tcPr>
            <w:tcW w:w="880" w:type="dxa"/>
            <w:vAlign w:val="bottom"/>
            <w:shd w:val="clear" w:color="auto" w:fill="ECEBEB"/>
          </w:tcPr>
          <w:p>
            <w:pPr>
              <w:spacing w:after="0"/>
              <w:rPr>
                <w:sz w:val="14"/>
                <w:szCs w:val="14"/>
                <w:color w:val="auto"/>
              </w:rPr>
            </w:pPr>
          </w:p>
        </w:tc>
        <w:tc>
          <w:tcPr>
            <w:tcW w:w="960" w:type="dxa"/>
            <w:vAlign w:val="bottom"/>
            <w:gridSpan w:val="2"/>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Incentive</w:t>
            </w:r>
          </w:p>
        </w:tc>
        <w:tc>
          <w:tcPr>
            <w:tcW w:w="1100" w:type="dxa"/>
            <w:vAlign w:val="bottom"/>
            <w:gridSpan w:val="2"/>
            <w:shd w:val="clear" w:color="auto" w:fill="ECEBEB"/>
          </w:tcPr>
          <w:p>
            <w:pPr>
              <w:jc w:val="right"/>
              <w:spacing w:after="0"/>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48"/>
        </w:trPr>
        <w:tc>
          <w:tcPr>
            <w:tcW w:w="1200" w:type="dxa"/>
            <w:vAlign w:val="bottom"/>
            <w:shd w:val="clear" w:color="auto" w:fill="ECEBEB"/>
          </w:tcPr>
          <w:p>
            <w:pPr>
              <w:spacing w:after="0"/>
              <w:rPr>
                <w:sz w:val="12"/>
                <w:szCs w:val="12"/>
                <w:color w:val="auto"/>
              </w:rPr>
            </w:pPr>
          </w:p>
        </w:tc>
        <w:tc>
          <w:tcPr>
            <w:tcW w:w="820" w:type="dxa"/>
            <w:vAlign w:val="bottom"/>
            <w:shd w:val="clear" w:color="auto" w:fill="ECEBEB"/>
          </w:tcPr>
          <w:p>
            <w:pPr>
              <w:spacing w:after="0"/>
              <w:rPr>
                <w:sz w:val="12"/>
                <w:szCs w:val="12"/>
                <w:color w:val="auto"/>
              </w:rPr>
            </w:pPr>
          </w:p>
        </w:tc>
        <w:tc>
          <w:tcPr>
            <w:tcW w:w="880" w:type="dxa"/>
            <w:vAlign w:val="bottom"/>
            <w:shd w:val="clear" w:color="auto" w:fill="ECEBEB"/>
          </w:tcPr>
          <w:p>
            <w:pPr>
              <w:spacing w:after="0"/>
              <w:rPr>
                <w:sz w:val="12"/>
                <w:szCs w:val="12"/>
                <w:color w:val="auto"/>
              </w:rPr>
            </w:pPr>
          </w:p>
        </w:tc>
        <w:tc>
          <w:tcPr>
            <w:tcW w:w="700" w:type="dxa"/>
            <w:vAlign w:val="bottom"/>
            <w:shd w:val="clear" w:color="auto" w:fill="ECEBEB"/>
          </w:tcPr>
          <w:p>
            <w:pPr>
              <w:spacing w:after="0"/>
              <w:rPr>
                <w:sz w:val="12"/>
                <w:szCs w:val="12"/>
                <w:color w:val="auto"/>
              </w:rPr>
            </w:pPr>
          </w:p>
        </w:tc>
        <w:tc>
          <w:tcPr>
            <w:tcW w:w="20" w:type="dxa"/>
            <w:vAlign w:val="bottom"/>
            <w:shd w:val="clear" w:color="auto" w:fill="ECEBEB"/>
          </w:tcPr>
          <w:p>
            <w:pPr>
              <w:spacing w:after="0"/>
              <w:rPr>
                <w:sz w:val="12"/>
                <w:szCs w:val="12"/>
                <w:color w:val="auto"/>
              </w:rPr>
            </w:pPr>
          </w:p>
        </w:tc>
        <w:tc>
          <w:tcPr>
            <w:tcW w:w="200" w:type="dxa"/>
            <w:vAlign w:val="bottom"/>
            <w:shd w:val="clear" w:color="auto" w:fill="ECEBEB"/>
          </w:tcPr>
          <w:p>
            <w:pPr>
              <w:spacing w:after="0"/>
              <w:rPr>
                <w:sz w:val="12"/>
                <w:szCs w:val="12"/>
                <w:color w:val="auto"/>
              </w:rPr>
            </w:pPr>
          </w:p>
        </w:tc>
        <w:tc>
          <w:tcPr>
            <w:tcW w:w="680" w:type="dxa"/>
            <w:vAlign w:val="bottom"/>
            <w:shd w:val="clear" w:color="auto" w:fill="ECEBEB"/>
          </w:tcPr>
          <w:p>
            <w:pPr>
              <w:spacing w:after="0"/>
              <w:rPr>
                <w:sz w:val="12"/>
                <w:szCs w:val="12"/>
                <w:color w:val="auto"/>
              </w:rPr>
            </w:pPr>
          </w:p>
        </w:tc>
        <w:tc>
          <w:tcPr>
            <w:tcW w:w="700" w:type="dxa"/>
            <w:vAlign w:val="bottom"/>
            <w:shd w:val="clear" w:color="auto" w:fill="ECEBEB"/>
          </w:tcPr>
          <w:p>
            <w:pPr>
              <w:spacing w:after="0"/>
              <w:rPr>
                <w:sz w:val="12"/>
                <w:szCs w:val="12"/>
                <w:color w:val="auto"/>
              </w:rPr>
            </w:pPr>
          </w:p>
        </w:tc>
        <w:tc>
          <w:tcPr>
            <w:tcW w:w="60" w:type="dxa"/>
            <w:vAlign w:val="bottom"/>
            <w:shd w:val="clear" w:color="auto" w:fill="ECEBEB"/>
          </w:tcPr>
          <w:p>
            <w:pPr>
              <w:spacing w:after="0"/>
              <w:rPr>
                <w:sz w:val="12"/>
                <w:szCs w:val="12"/>
                <w:color w:val="auto"/>
              </w:rPr>
            </w:pPr>
          </w:p>
        </w:tc>
        <w:tc>
          <w:tcPr>
            <w:tcW w:w="620" w:type="dxa"/>
            <w:vAlign w:val="bottom"/>
            <w:shd w:val="clear" w:color="auto" w:fill="ECEBEB"/>
          </w:tcPr>
          <w:p>
            <w:pPr>
              <w:spacing w:after="0"/>
              <w:rPr>
                <w:sz w:val="12"/>
                <w:szCs w:val="12"/>
                <w:color w:val="auto"/>
              </w:rPr>
            </w:pPr>
          </w:p>
        </w:tc>
        <w:tc>
          <w:tcPr>
            <w:tcW w:w="260" w:type="dxa"/>
            <w:vAlign w:val="bottom"/>
            <w:shd w:val="clear" w:color="auto" w:fill="ECEBEB"/>
          </w:tcPr>
          <w:p>
            <w:pPr>
              <w:spacing w:after="0"/>
              <w:rPr>
                <w:sz w:val="12"/>
                <w:szCs w:val="12"/>
                <w:color w:val="auto"/>
              </w:rPr>
            </w:pPr>
          </w:p>
        </w:tc>
        <w:tc>
          <w:tcPr>
            <w:tcW w:w="880" w:type="dxa"/>
            <w:vAlign w:val="bottom"/>
            <w:shd w:val="clear" w:color="auto" w:fill="ECEBEB"/>
          </w:tcPr>
          <w:p>
            <w:pPr>
              <w:spacing w:after="0"/>
              <w:rPr>
                <w:sz w:val="12"/>
                <w:szCs w:val="12"/>
                <w:color w:val="auto"/>
              </w:rPr>
            </w:pPr>
          </w:p>
        </w:tc>
        <w:tc>
          <w:tcPr>
            <w:tcW w:w="960" w:type="dxa"/>
            <w:vAlign w:val="bottom"/>
            <w:gridSpan w:val="2"/>
            <w:shd w:val="clear" w:color="auto" w:fill="ECEBEB"/>
          </w:tcPr>
          <w:p>
            <w:pPr>
              <w:ind w:left="120"/>
              <w:spacing w:after="0"/>
              <w:rPr>
                <w:sz w:val="20"/>
                <w:szCs w:val="20"/>
                <w:color w:val="auto"/>
              </w:rPr>
            </w:pPr>
            <w:r>
              <w:rPr>
                <w:rFonts w:ascii="Arial" w:cs="Arial" w:eastAsia="Arial" w:hAnsi="Arial"/>
                <w:sz w:val="13"/>
                <w:szCs w:val="13"/>
                <w:b w:val="1"/>
                <w:bCs w:val="1"/>
                <w:color w:val="auto"/>
                <w:w w:val="99"/>
              </w:rPr>
              <w:t>Plan Awards:</w:t>
            </w:r>
          </w:p>
        </w:tc>
        <w:tc>
          <w:tcPr>
            <w:tcW w:w="110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49"/>
        </w:trPr>
        <w:tc>
          <w:tcPr>
            <w:tcW w:w="1200" w:type="dxa"/>
            <w:vAlign w:val="bottom"/>
            <w:shd w:val="clear" w:color="auto" w:fill="ECEBEB"/>
          </w:tcPr>
          <w:p>
            <w:pPr>
              <w:spacing w:after="0"/>
              <w:rPr>
                <w:sz w:val="12"/>
                <w:szCs w:val="12"/>
                <w:color w:val="auto"/>
              </w:rPr>
            </w:pPr>
          </w:p>
        </w:tc>
        <w:tc>
          <w:tcPr>
            <w:tcW w:w="820" w:type="dxa"/>
            <w:vAlign w:val="bottom"/>
            <w:shd w:val="clear" w:color="auto" w:fill="ECEBEB"/>
          </w:tcPr>
          <w:p>
            <w:pPr>
              <w:spacing w:after="0"/>
              <w:rPr>
                <w:sz w:val="12"/>
                <w:szCs w:val="12"/>
                <w:color w:val="auto"/>
              </w:rPr>
            </w:pPr>
          </w:p>
        </w:tc>
        <w:tc>
          <w:tcPr>
            <w:tcW w:w="880" w:type="dxa"/>
            <w:vAlign w:val="bottom"/>
            <w:shd w:val="clear" w:color="auto" w:fill="ECEBEB"/>
          </w:tcPr>
          <w:p>
            <w:pPr>
              <w:spacing w:after="0"/>
              <w:rPr>
                <w:sz w:val="12"/>
                <w:szCs w:val="12"/>
                <w:color w:val="auto"/>
              </w:rPr>
            </w:pPr>
          </w:p>
        </w:tc>
        <w:tc>
          <w:tcPr>
            <w:tcW w:w="700" w:type="dxa"/>
            <w:vAlign w:val="bottom"/>
            <w:shd w:val="clear" w:color="auto" w:fill="ECEBEB"/>
          </w:tcPr>
          <w:p>
            <w:pPr>
              <w:spacing w:after="0"/>
              <w:rPr>
                <w:sz w:val="12"/>
                <w:szCs w:val="12"/>
                <w:color w:val="auto"/>
              </w:rPr>
            </w:pPr>
          </w:p>
        </w:tc>
        <w:tc>
          <w:tcPr>
            <w:tcW w:w="20" w:type="dxa"/>
            <w:vAlign w:val="bottom"/>
            <w:shd w:val="clear" w:color="auto" w:fill="ECEBEB"/>
          </w:tcPr>
          <w:p>
            <w:pPr>
              <w:spacing w:after="0"/>
              <w:rPr>
                <w:sz w:val="12"/>
                <w:szCs w:val="12"/>
                <w:color w:val="auto"/>
              </w:rPr>
            </w:pPr>
          </w:p>
        </w:tc>
        <w:tc>
          <w:tcPr>
            <w:tcW w:w="200" w:type="dxa"/>
            <w:vAlign w:val="bottom"/>
            <w:shd w:val="clear" w:color="auto" w:fill="ECEBEB"/>
          </w:tcPr>
          <w:p>
            <w:pPr>
              <w:spacing w:after="0"/>
              <w:rPr>
                <w:sz w:val="12"/>
                <w:szCs w:val="12"/>
                <w:color w:val="auto"/>
              </w:rPr>
            </w:pPr>
          </w:p>
        </w:tc>
        <w:tc>
          <w:tcPr>
            <w:tcW w:w="680" w:type="dxa"/>
            <w:vAlign w:val="bottom"/>
            <w:shd w:val="clear" w:color="auto" w:fill="ECEBEB"/>
          </w:tcPr>
          <w:p>
            <w:pPr>
              <w:spacing w:after="0"/>
              <w:rPr>
                <w:sz w:val="12"/>
                <w:szCs w:val="12"/>
                <w:color w:val="auto"/>
              </w:rPr>
            </w:pPr>
          </w:p>
        </w:tc>
        <w:tc>
          <w:tcPr>
            <w:tcW w:w="700" w:type="dxa"/>
            <w:vAlign w:val="bottom"/>
            <w:shd w:val="clear" w:color="auto" w:fill="ECEBEB"/>
          </w:tcPr>
          <w:p>
            <w:pPr>
              <w:spacing w:after="0"/>
              <w:rPr>
                <w:sz w:val="12"/>
                <w:szCs w:val="12"/>
                <w:color w:val="auto"/>
              </w:rPr>
            </w:pPr>
          </w:p>
        </w:tc>
        <w:tc>
          <w:tcPr>
            <w:tcW w:w="60" w:type="dxa"/>
            <w:vAlign w:val="bottom"/>
            <w:shd w:val="clear" w:color="auto" w:fill="ECEBEB"/>
          </w:tcPr>
          <w:p>
            <w:pPr>
              <w:spacing w:after="0"/>
              <w:rPr>
                <w:sz w:val="12"/>
                <w:szCs w:val="12"/>
                <w:color w:val="auto"/>
              </w:rPr>
            </w:pPr>
          </w:p>
        </w:tc>
        <w:tc>
          <w:tcPr>
            <w:tcW w:w="620" w:type="dxa"/>
            <w:vAlign w:val="bottom"/>
            <w:shd w:val="clear" w:color="auto" w:fill="ECEBEB"/>
          </w:tcPr>
          <w:p>
            <w:pPr>
              <w:spacing w:after="0"/>
              <w:rPr>
                <w:sz w:val="12"/>
                <w:szCs w:val="12"/>
                <w:color w:val="auto"/>
              </w:rPr>
            </w:pPr>
          </w:p>
        </w:tc>
        <w:tc>
          <w:tcPr>
            <w:tcW w:w="260" w:type="dxa"/>
            <w:vAlign w:val="bottom"/>
            <w:shd w:val="clear" w:color="auto" w:fill="ECEBEB"/>
          </w:tcPr>
          <w:p>
            <w:pPr>
              <w:spacing w:after="0"/>
              <w:rPr>
                <w:sz w:val="12"/>
                <w:szCs w:val="12"/>
                <w:color w:val="auto"/>
              </w:rPr>
            </w:pPr>
          </w:p>
        </w:tc>
        <w:tc>
          <w:tcPr>
            <w:tcW w:w="880" w:type="dxa"/>
            <w:vAlign w:val="bottom"/>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Market</w:t>
            </w:r>
          </w:p>
        </w:tc>
        <w:tc>
          <w:tcPr>
            <w:tcW w:w="96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Number of</w:t>
            </w:r>
          </w:p>
        </w:tc>
        <w:tc>
          <w:tcPr>
            <w:tcW w:w="110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Payout Value</w:t>
            </w:r>
          </w:p>
        </w:tc>
        <w:tc>
          <w:tcPr>
            <w:tcW w:w="0" w:type="dxa"/>
            <w:vAlign w:val="bottom"/>
          </w:tcPr>
          <w:p>
            <w:pPr>
              <w:spacing w:after="0"/>
              <w:rPr>
                <w:sz w:val="1"/>
                <w:szCs w:val="1"/>
                <w:color w:val="auto"/>
              </w:rPr>
            </w:pPr>
          </w:p>
        </w:tc>
      </w:tr>
      <w:tr>
        <w:trPr>
          <w:trHeight w:val="148"/>
        </w:trPr>
        <w:tc>
          <w:tcPr>
            <w:tcW w:w="1200" w:type="dxa"/>
            <w:vAlign w:val="bottom"/>
            <w:shd w:val="clear" w:color="auto" w:fill="ECEBEB"/>
          </w:tcPr>
          <w:p>
            <w:pPr>
              <w:spacing w:after="0"/>
              <w:rPr>
                <w:sz w:val="12"/>
                <w:szCs w:val="12"/>
                <w:color w:val="auto"/>
              </w:rPr>
            </w:pPr>
          </w:p>
        </w:tc>
        <w:tc>
          <w:tcPr>
            <w:tcW w:w="820" w:type="dxa"/>
            <w:vAlign w:val="bottom"/>
            <w:shd w:val="clear" w:color="auto" w:fill="ECEBEB"/>
          </w:tcPr>
          <w:p>
            <w:pPr>
              <w:spacing w:after="0"/>
              <w:rPr>
                <w:sz w:val="12"/>
                <w:szCs w:val="12"/>
                <w:color w:val="auto"/>
              </w:rPr>
            </w:pPr>
          </w:p>
        </w:tc>
        <w:tc>
          <w:tcPr>
            <w:tcW w:w="88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Number of</w:t>
            </w:r>
          </w:p>
        </w:tc>
        <w:tc>
          <w:tcPr>
            <w:tcW w:w="920" w:type="dxa"/>
            <w:vAlign w:val="bottom"/>
            <w:gridSpan w:val="3"/>
            <w:shd w:val="clear" w:color="auto" w:fill="ECEBEB"/>
          </w:tcPr>
          <w:p>
            <w:pPr>
              <w:jc w:val="right"/>
              <w:spacing w:after="0"/>
              <w:rPr>
                <w:sz w:val="20"/>
                <w:szCs w:val="20"/>
                <w:color w:val="auto"/>
              </w:rPr>
            </w:pPr>
            <w:r>
              <w:rPr>
                <w:rFonts w:ascii="Arial" w:cs="Arial" w:eastAsia="Arial" w:hAnsi="Arial"/>
                <w:sz w:val="13"/>
                <w:szCs w:val="13"/>
                <w:b w:val="1"/>
                <w:bCs w:val="1"/>
                <w:color w:val="auto"/>
              </w:rPr>
              <w:t>Number of</w:t>
            </w:r>
          </w:p>
        </w:tc>
        <w:tc>
          <w:tcPr>
            <w:tcW w:w="680" w:type="dxa"/>
            <w:vAlign w:val="bottom"/>
            <w:shd w:val="clear" w:color="auto" w:fill="ECEBEB"/>
          </w:tcPr>
          <w:p>
            <w:pPr>
              <w:spacing w:after="0"/>
              <w:rPr>
                <w:sz w:val="12"/>
                <w:szCs w:val="12"/>
                <w:color w:val="auto"/>
              </w:rPr>
            </w:pPr>
          </w:p>
        </w:tc>
        <w:tc>
          <w:tcPr>
            <w:tcW w:w="700" w:type="dxa"/>
            <w:vAlign w:val="bottom"/>
            <w:shd w:val="clear" w:color="auto" w:fill="ECEBEB"/>
          </w:tcPr>
          <w:p>
            <w:pPr>
              <w:spacing w:after="0"/>
              <w:rPr>
                <w:sz w:val="12"/>
                <w:szCs w:val="12"/>
                <w:color w:val="auto"/>
              </w:rPr>
            </w:pPr>
          </w:p>
        </w:tc>
        <w:tc>
          <w:tcPr>
            <w:tcW w:w="60" w:type="dxa"/>
            <w:vAlign w:val="bottom"/>
            <w:shd w:val="clear" w:color="auto" w:fill="ECEBEB"/>
          </w:tcPr>
          <w:p>
            <w:pPr>
              <w:spacing w:after="0"/>
              <w:rPr>
                <w:sz w:val="12"/>
                <w:szCs w:val="12"/>
                <w:color w:val="auto"/>
              </w:rPr>
            </w:pPr>
          </w:p>
        </w:tc>
        <w:tc>
          <w:tcPr>
            <w:tcW w:w="880" w:type="dxa"/>
            <w:vAlign w:val="bottom"/>
            <w:gridSpan w:val="2"/>
            <w:shd w:val="clear" w:color="auto" w:fill="ECEBEB"/>
          </w:tcPr>
          <w:p>
            <w:pPr>
              <w:jc w:val="right"/>
              <w:ind w:right="15"/>
              <w:spacing w:after="0"/>
              <w:rPr>
                <w:sz w:val="20"/>
                <w:szCs w:val="20"/>
                <w:color w:val="auto"/>
              </w:rPr>
            </w:pPr>
            <w:r>
              <w:rPr>
                <w:rFonts w:ascii="Arial" w:cs="Arial" w:eastAsia="Arial" w:hAnsi="Arial"/>
                <w:sz w:val="13"/>
                <w:szCs w:val="13"/>
                <w:b w:val="1"/>
                <w:bCs w:val="1"/>
                <w:color w:val="auto"/>
              </w:rPr>
              <w:t>Number</w:t>
            </w:r>
          </w:p>
        </w:tc>
        <w:tc>
          <w:tcPr>
            <w:tcW w:w="880" w:type="dxa"/>
            <w:vAlign w:val="bottom"/>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Value of</w:t>
            </w:r>
          </w:p>
        </w:tc>
        <w:tc>
          <w:tcPr>
            <w:tcW w:w="96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Unearned</w:t>
            </w:r>
          </w:p>
        </w:tc>
        <w:tc>
          <w:tcPr>
            <w:tcW w:w="1100" w:type="dxa"/>
            <w:vAlign w:val="bottom"/>
            <w:gridSpan w:val="2"/>
            <w:shd w:val="clear" w:color="auto" w:fill="ECEBEB"/>
          </w:tcPr>
          <w:p>
            <w:pPr>
              <w:jc w:val="right"/>
              <w:spacing w:after="0"/>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1200" w:type="dxa"/>
            <w:vAlign w:val="bottom"/>
            <w:shd w:val="clear" w:color="auto" w:fill="ECEBEB"/>
          </w:tcPr>
          <w:p>
            <w:pPr>
              <w:spacing w:after="0"/>
              <w:rPr>
                <w:sz w:val="12"/>
                <w:szCs w:val="12"/>
                <w:color w:val="auto"/>
              </w:rPr>
            </w:pPr>
          </w:p>
        </w:tc>
        <w:tc>
          <w:tcPr>
            <w:tcW w:w="820" w:type="dxa"/>
            <w:vAlign w:val="bottom"/>
            <w:shd w:val="clear" w:color="auto" w:fill="ECEBEB"/>
          </w:tcPr>
          <w:p>
            <w:pPr>
              <w:spacing w:after="0"/>
              <w:rPr>
                <w:sz w:val="12"/>
                <w:szCs w:val="12"/>
                <w:color w:val="auto"/>
              </w:rPr>
            </w:pPr>
          </w:p>
        </w:tc>
        <w:tc>
          <w:tcPr>
            <w:tcW w:w="88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Securities</w:t>
            </w:r>
          </w:p>
        </w:tc>
        <w:tc>
          <w:tcPr>
            <w:tcW w:w="920" w:type="dxa"/>
            <w:vAlign w:val="bottom"/>
            <w:gridSpan w:val="3"/>
            <w:shd w:val="clear" w:color="auto" w:fill="ECEBEB"/>
          </w:tcPr>
          <w:p>
            <w:pPr>
              <w:jc w:val="right"/>
              <w:ind w:right="16"/>
              <w:spacing w:after="0"/>
              <w:rPr>
                <w:sz w:val="20"/>
                <w:szCs w:val="20"/>
                <w:color w:val="auto"/>
              </w:rPr>
            </w:pPr>
            <w:r>
              <w:rPr>
                <w:rFonts w:ascii="Arial" w:cs="Arial" w:eastAsia="Arial" w:hAnsi="Arial"/>
                <w:sz w:val="13"/>
                <w:szCs w:val="13"/>
                <w:b w:val="1"/>
                <w:bCs w:val="1"/>
                <w:color w:val="auto"/>
              </w:rPr>
              <w:t>Securities</w:t>
            </w:r>
          </w:p>
        </w:tc>
        <w:tc>
          <w:tcPr>
            <w:tcW w:w="680" w:type="dxa"/>
            <w:vAlign w:val="bottom"/>
            <w:shd w:val="clear" w:color="auto" w:fill="ECEBEB"/>
          </w:tcPr>
          <w:p>
            <w:pPr>
              <w:spacing w:after="0"/>
              <w:rPr>
                <w:sz w:val="12"/>
                <w:szCs w:val="12"/>
                <w:color w:val="auto"/>
              </w:rPr>
            </w:pPr>
          </w:p>
        </w:tc>
        <w:tc>
          <w:tcPr>
            <w:tcW w:w="700" w:type="dxa"/>
            <w:vAlign w:val="bottom"/>
            <w:shd w:val="clear" w:color="auto" w:fill="ECEBEB"/>
          </w:tcPr>
          <w:p>
            <w:pPr>
              <w:spacing w:after="0"/>
              <w:rPr>
                <w:sz w:val="12"/>
                <w:szCs w:val="12"/>
                <w:color w:val="auto"/>
              </w:rPr>
            </w:pPr>
          </w:p>
        </w:tc>
        <w:tc>
          <w:tcPr>
            <w:tcW w:w="60" w:type="dxa"/>
            <w:vAlign w:val="bottom"/>
            <w:shd w:val="clear" w:color="auto" w:fill="ECEBEB"/>
          </w:tcPr>
          <w:p>
            <w:pPr>
              <w:spacing w:after="0"/>
              <w:rPr>
                <w:sz w:val="12"/>
                <w:szCs w:val="12"/>
                <w:color w:val="auto"/>
              </w:rPr>
            </w:pPr>
          </w:p>
        </w:tc>
        <w:tc>
          <w:tcPr>
            <w:tcW w:w="880" w:type="dxa"/>
            <w:vAlign w:val="bottom"/>
            <w:gridSpan w:val="2"/>
            <w:shd w:val="clear" w:color="auto" w:fill="ECEBEB"/>
          </w:tcPr>
          <w:p>
            <w:pPr>
              <w:jc w:val="right"/>
              <w:spacing w:after="0"/>
              <w:rPr>
                <w:sz w:val="20"/>
                <w:szCs w:val="20"/>
                <w:color w:val="auto"/>
              </w:rPr>
            </w:pPr>
            <w:r>
              <w:rPr>
                <w:rFonts w:ascii="Arial" w:cs="Arial" w:eastAsia="Arial" w:hAnsi="Arial"/>
                <w:sz w:val="13"/>
                <w:szCs w:val="13"/>
                <w:b w:val="1"/>
                <w:bCs w:val="1"/>
                <w:color w:val="auto"/>
              </w:rPr>
              <w:t>of Shares</w:t>
            </w:r>
          </w:p>
        </w:tc>
        <w:tc>
          <w:tcPr>
            <w:tcW w:w="88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Shares or</w:t>
            </w:r>
          </w:p>
        </w:tc>
        <w:tc>
          <w:tcPr>
            <w:tcW w:w="960" w:type="dxa"/>
            <w:vAlign w:val="bottom"/>
            <w:gridSpan w:val="2"/>
            <w:shd w:val="clear" w:color="auto" w:fill="ECEBEB"/>
          </w:tcPr>
          <w:p>
            <w:pPr>
              <w:ind w:left="80"/>
              <w:spacing w:after="0"/>
              <w:rPr>
                <w:sz w:val="20"/>
                <w:szCs w:val="20"/>
                <w:color w:val="auto"/>
              </w:rPr>
            </w:pPr>
            <w:r>
              <w:rPr>
                <w:rFonts w:ascii="Arial" w:cs="Arial" w:eastAsia="Arial" w:hAnsi="Arial"/>
                <w:sz w:val="13"/>
                <w:szCs w:val="13"/>
                <w:b w:val="1"/>
                <w:bCs w:val="1"/>
                <w:color w:val="auto"/>
                <w:w w:val="99"/>
              </w:rPr>
              <w:t>Shares, Units,</w:t>
            </w:r>
          </w:p>
        </w:tc>
        <w:tc>
          <w:tcPr>
            <w:tcW w:w="1100" w:type="dxa"/>
            <w:vAlign w:val="bottom"/>
            <w:gridSpan w:val="2"/>
            <w:shd w:val="clear" w:color="auto" w:fill="ECEBEB"/>
          </w:tcPr>
          <w:p>
            <w:pPr>
              <w:jc w:val="right"/>
              <w:spacing w:after="0"/>
              <w:rPr>
                <w:sz w:val="20"/>
                <w:szCs w:val="20"/>
                <w:color w:val="auto"/>
              </w:rPr>
            </w:pPr>
            <w:r>
              <w:rPr>
                <w:rFonts w:ascii="Arial" w:cs="Arial" w:eastAsia="Arial" w:hAnsi="Arial"/>
                <w:sz w:val="13"/>
                <w:szCs w:val="13"/>
                <w:b w:val="1"/>
                <w:bCs w:val="1"/>
                <w:color w:val="auto"/>
              </w:rPr>
              <w:t>Shares, Units,</w:t>
            </w:r>
          </w:p>
        </w:tc>
        <w:tc>
          <w:tcPr>
            <w:tcW w:w="0" w:type="dxa"/>
            <w:vAlign w:val="bottom"/>
          </w:tcPr>
          <w:p>
            <w:pPr>
              <w:spacing w:after="0"/>
              <w:rPr>
                <w:sz w:val="1"/>
                <w:szCs w:val="1"/>
                <w:color w:val="auto"/>
              </w:rPr>
            </w:pPr>
          </w:p>
        </w:tc>
      </w:tr>
      <w:tr>
        <w:trPr>
          <w:trHeight w:val="162"/>
        </w:trPr>
        <w:tc>
          <w:tcPr>
            <w:tcW w:w="1200" w:type="dxa"/>
            <w:vAlign w:val="bottom"/>
            <w:shd w:val="clear" w:color="auto" w:fill="ECEBEB"/>
          </w:tcPr>
          <w:p>
            <w:pPr>
              <w:spacing w:after="0"/>
              <w:rPr>
                <w:sz w:val="14"/>
                <w:szCs w:val="14"/>
                <w:color w:val="auto"/>
              </w:rPr>
            </w:pPr>
          </w:p>
        </w:tc>
        <w:tc>
          <w:tcPr>
            <w:tcW w:w="820" w:type="dxa"/>
            <w:vAlign w:val="bottom"/>
            <w:shd w:val="clear" w:color="auto" w:fill="ECEBEB"/>
          </w:tcPr>
          <w:p>
            <w:pPr>
              <w:spacing w:after="0"/>
              <w:rPr>
                <w:sz w:val="14"/>
                <w:szCs w:val="14"/>
                <w:color w:val="auto"/>
              </w:rPr>
            </w:pPr>
          </w:p>
        </w:tc>
        <w:tc>
          <w:tcPr>
            <w:tcW w:w="88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Underlying</w:t>
            </w:r>
          </w:p>
        </w:tc>
        <w:tc>
          <w:tcPr>
            <w:tcW w:w="920" w:type="dxa"/>
            <w:vAlign w:val="bottom"/>
            <w:gridSpan w:val="3"/>
            <w:shd w:val="clear" w:color="auto" w:fill="ECEBEB"/>
          </w:tcPr>
          <w:p>
            <w:pPr>
              <w:jc w:val="right"/>
              <w:spacing w:after="0"/>
              <w:rPr>
                <w:sz w:val="20"/>
                <w:szCs w:val="20"/>
                <w:color w:val="auto"/>
              </w:rPr>
            </w:pPr>
            <w:r>
              <w:rPr>
                <w:rFonts w:ascii="Arial" w:cs="Arial" w:eastAsia="Arial" w:hAnsi="Arial"/>
                <w:sz w:val="13"/>
                <w:szCs w:val="13"/>
                <w:b w:val="1"/>
                <w:bCs w:val="1"/>
                <w:color w:val="auto"/>
              </w:rPr>
              <w:t>Underlying</w:t>
            </w:r>
          </w:p>
        </w:tc>
        <w:tc>
          <w:tcPr>
            <w:tcW w:w="680" w:type="dxa"/>
            <w:vAlign w:val="bottom"/>
            <w:shd w:val="clear" w:color="auto" w:fill="ECEBEB"/>
          </w:tcPr>
          <w:p>
            <w:pPr>
              <w:spacing w:after="0"/>
              <w:rPr>
                <w:sz w:val="14"/>
                <w:szCs w:val="14"/>
                <w:color w:val="auto"/>
              </w:rPr>
            </w:pPr>
          </w:p>
        </w:tc>
        <w:tc>
          <w:tcPr>
            <w:tcW w:w="700" w:type="dxa"/>
            <w:vAlign w:val="bottom"/>
            <w:shd w:val="clear" w:color="auto" w:fill="ECEBEB"/>
          </w:tcPr>
          <w:p>
            <w:pPr>
              <w:spacing w:after="0"/>
              <w:rPr>
                <w:sz w:val="14"/>
                <w:szCs w:val="14"/>
                <w:color w:val="auto"/>
              </w:rPr>
            </w:pPr>
          </w:p>
        </w:tc>
        <w:tc>
          <w:tcPr>
            <w:tcW w:w="60" w:type="dxa"/>
            <w:vAlign w:val="bottom"/>
            <w:shd w:val="clear" w:color="auto" w:fill="ECEBEB"/>
          </w:tcPr>
          <w:p>
            <w:pPr>
              <w:spacing w:after="0"/>
              <w:rPr>
                <w:sz w:val="14"/>
                <w:szCs w:val="14"/>
                <w:color w:val="auto"/>
              </w:rPr>
            </w:pPr>
          </w:p>
        </w:tc>
        <w:tc>
          <w:tcPr>
            <w:tcW w:w="880" w:type="dxa"/>
            <w:vAlign w:val="bottom"/>
            <w:gridSpan w:val="2"/>
            <w:shd w:val="clear" w:color="auto" w:fill="ECEBEB"/>
          </w:tcPr>
          <w:p>
            <w:pPr>
              <w:jc w:val="right"/>
              <w:spacing w:after="0"/>
              <w:rPr>
                <w:sz w:val="20"/>
                <w:szCs w:val="20"/>
                <w:color w:val="auto"/>
              </w:rPr>
            </w:pPr>
            <w:r>
              <w:rPr>
                <w:rFonts w:ascii="Arial" w:cs="Arial" w:eastAsia="Arial" w:hAnsi="Arial"/>
                <w:sz w:val="13"/>
                <w:szCs w:val="13"/>
                <w:b w:val="1"/>
                <w:bCs w:val="1"/>
                <w:color w:val="auto"/>
              </w:rPr>
              <w:t>or Units of</w:t>
            </w:r>
          </w:p>
        </w:tc>
        <w:tc>
          <w:tcPr>
            <w:tcW w:w="88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Units of</w:t>
            </w:r>
          </w:p>
        </w:tc>
        <w:tc>
          <w:tcPr>
            <w:tcW w:w="96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or Other</w:t>
            </w:r>
          </w:p>
        </w:tc>
        <w:tc>
          <w:tcPr>
            <w:tcW w:w="1100" w:type="dxa"/>
            <w:vAlign w:val="bottom"/>
            <w:gridSpan w:val="2"/>
            <w:shd w:val="clear" w:color="auto" w:fill="ECEBEB"/>
          </w:tcPr>
          <w:p>
            <w:pPr>
              <w:jc w:val="right"/>
              <w:spacing w:after="0"/>
              <w:rPr>
                <w:sz w:val="20"/>
                <w:szCs w:val="20"/>
                <w:color w:val="auto"/>
              </w:rPr>
            </w:pPr>
            <w:r>
              <w:rPr>
                <w:rFonts w:ascii="Arial" w:cs="Arial" w:eastAsia="Arial" w:hAnsi="Arial"/>
                <w:sz w:val="13"/>
                <w:szCs w:val="13"/>
                <w:b w:val="1"/>
                <w:bCs w:val="1"/>
                <w:color w:val="auto"/>
              </w:rPr>
              <w:t>or Other</w:t>
            </w:r>
          </w:p>
        </w:tc>
        <w:tc>
          <w:tcPr>
            <w:tcW w:w="0" w:type="dxa"/>
            <w:vAlign w:val="bottom"/>
          </w:tcPr>
          <w:p>
            <w:pPr>
              <w:spacing w:after="0"/>
              <w:rPr>
                <w:sz w:val="1"/>
                <w:szCs w:val="1"/>
                <w:color w:val="auto"/>
              </w:rPr>
            </w:pPr>
          </w:p>
        </w:tc>
      </w:tr>
      <w:tr>
        <w:trPr>
          <w:trHeight w:val="149"/>
        </w:trPr>
        <w:tc>
          <w:tcPr>
            <w:tcW w:w="1200" w:type="dxa"/>
            <w:vAlign w:val="bottom"/>
            <w:shd w:val="clear" w:color="auto" w:fill="ECEBEB"/>
          </w:tcPr>
          <w:p>
            <w:pPr>
              <w:spacing w:after="0"/>
              <w:rPr>
                <w:sz w:val="12"/>
                <w:szCs w:val="12"/>
                <w:color w:val="auto"/>
              </w:rPr>
            </w:pPr>
          </w:p>
        </w:tc>
        <w:tc>
          <w:tcPr>
            <w:tcW w:w="820" w:type="dxa"/>
            <w:vAlign w:val="bottom"/>
            <w:shd w:val="clear" w:color="auto" w:fill="ECEBEB"/>
          </w:tcPr>
          <w:p>
            <w:pPr>
              <w:spacing w:after="0"/>
              <w:rPr>
                <w:sz w:val="12"/>
                <w:szCs w:val="12"/>
                <w:color w:val="auto"/>
              </w:rPr>
            </w:pPr>
          </w:p>
        </w:tc>
        <w:tc>
          <w:tcPr>
            <w:tcW w:w="88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Unexercised</w:t>
            </w:r>
          </w:p>
        </w:tc>
        <w:tc>
          <w:tcPr>
            <w:tcW w:w="920" w:type="dxa"/>
            <w:vAlign w:val="bottom"/>
            <w:gridSpan w:val="3"/>
            <w:shd w:val="clear" w:color="auto" w:fill="ECEBEB"/>
          </w:tcPr>
          <w:p>
            <w:pPr>
              <w:jc w:val="right"/>
              <w:spacing w:after="0"/>
              <w:rPr>
                <w:sz w:val="20"/>
                <w:szCs w:val="20"/>
                <w:color w:val="auto"/>
              </w:rPr>
            </w:pPr>
            <w:r>
              <w:rPr>
                <w:rFonts w:ascii="Arial" w:cs="Arial" w:eastAsia="Arial" w:hAnsi="Arial"/>
                <w:sz w:val="13"/>
                <w:szCs w:val="13"/>
                <w:b w:val="1"/>
                <w:bCs w:val="1"/>
                <w:color w:val="auto"/>
              </w:rPr>
              <w:t>Unexercised</w:t>
            </w:r>
          </w:p>
        </w:tc>
        <w:tc>
          <w:tcPr>
            <w:tcW w:w="68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Option</w:t>
            </w:r>
          </w:p>
        </w:tc>
        <w:tc>
          <w:tcPr>
            <w:tcW w:w="700" w:type="dxa"/>
            <w:vAlign w:val="bottom"/>
            <w:shd w:val="clear" w:color="auto" w:fill="ECEBEB"/>
          </w:tcPr>
          <w:p>
            <w:pPr>
              <w:spacing w:after="0"/>
              <w:rPr>
                <w:sz w:val="12"/>
                <w:szCs w:val="12"/>
                <w:color w:val="auto"/>
              </w:rPr>
            </w:pPr>
          </w:p>
        </w:tc>
        <w:tc>
          <w:tcPr>
            <w:tcW w:w="60" w:type="dxa"/>
            <w:vAlign w:val="bottom"/>
            <w:shd w:val="clear" w:color="auto" w:fill="ECEBEB"/>
          </w:tcPr>
          <w:p>
            <w:pPr>
              <w:spacing w:after="0"/>
              <w:rPr>
                <w:sz w:val="12"/>
                <w:szCs w:val="12"/>
                <w:color w:val="auto"/>
              </w:rPr>
            </w:pPr>
          </w:p>
        </w:tc>
        <w:tc>
          <w:tcPr>
            <w:tcW w:w="880" w:type="dxa"/>
            <w:vAlign w:val="bottom"/>
            <w:gridSpan w:val="2"/>
            <w:shd w:val="clear" w:color="auto" w:fill="ECEBEB"/>
          </w:tcPr>
          <w:p>
            <w:pPr>
              <w:jc w:val="right"/>
              <w:ind w:right="15"/>
              <w:spacing w:after="0"/>
              <w:rPr>
                <w:sz w:val="20"/>
                <w:szCs w:val="20"/>
                <w:color w:val="auto"/>
              </w:rPr>
            </w:pPr>
            <w:r>
              <w:rPr>
                <w:rFonts w:ascii="Arial" w:cs="Arial" w:eastAsia="Arial" w:hAnsi="Arial"/>
                <w:sz w:val="13"/>
                <w:szCs w:val="13"/>
                <w:b w:val="1"/>
                <w:bCs w:val="1"/>
                <w:color w:val="auto"/>
              </w:rPr>
              <w:t>Stock That</w:t>
            </w:r>
          </w:p>
        </w:tc>
        <w:tc>
          <w:tcPr>
            <w:tcW w:w="880" w:type="dxa"/>
            <w:vAlign w:val="bottom"/>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Stock That</w:t>
            </w:r>
          </w:p>
        </w:tc>
        <w:tc>
          <w:tcPr>
            <w:tcW w:w="96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Rights That</w:t>
            </w:r>
          </w:p>
        </w:tc>
        <w:tc>
          <w:tcPr>
            <w:tcW w:w="1100" w:type="dxa"/>
            <w:vAlign w:val="bottom"/>
            <w:gridSpan w:val="2"/>
            <w:shd w:val="clear" w:color="auto" w:fill="ECEBEB"/>
          </w:tcPr>
          <w:p>
            <w:pPr>
              <w:jc w:val="right"/>
              <w:spacing w:after="0"/>
              <w:rPr>
                <w:sz w:val="20"/>
                <w:szCs w:val="20"/>
                <w:color w:val="auto"/>
              </w:rPr>
            </w:pPr>
            <w:r>
              <w:rPr>
                <w:rFonts w:ascii="Arial" w:cs="Arial" w:eastAsia="Arial" w:hAnsi="Arial"/>
                <w:sz w:val="13"/>
                <w:szCs w:val="13"/>
                <w:b w:val="1"/>
                <w:bCs w:val="1"/>
                <w:color w:val="auto"/>
              </w:rPr>
              <w:t>Rights That</w:t>
            </w:r>
          </w:p>
        </w:tc>
        <w:tc>
          <w:tcPr>
            <w:tcW w:w="0" w:type="dxa"/>
            <w:vAlign w:val="bottom"/>
          </w:tcPr>
          <w:p>
            <w:pPr>
              <w:spacing w:after="0"/>
              <w:rPr>
                <w:sz w:val="1"/>
                <w:szCs w:val="1"/>
                <w:color w:val="auto"/>
              </w:rPr>
            </w:pPr>
          </w:p>
        </w:tc>
      </w:tr>
      <w:tr>
        <w:trPr>
          <w:trHeight w:val="148"/>
        </w:trPr>
        <w:tc>
          <w:tcPr>
            <w:tcW w:w="1200" w:type="dxa"/>
            <w:vAlign w:val="bottom"/>
            <w:shd w:val="clear" w:color="auto" w:fill="ECEBEB"/>
          </w:tcPr>
          <w:p>
            <w:pPr>
              <w:spacing w:after="0"/>
              <w:rPr>
                <w:sz w:val="12"/>
                <w:szCs w:val="12"/>
                <w:color w:val="auto"/>
              </w:rPr>
            </w:pPr>
          </w:p>
        </w:tc>
        <w:tc>
          <w:tcPr>
            <w:tcW w:w="820" w:type="dxa"/>
            <w:vAlign w:val="bottom"/>
            <w:shd w:val="clear" w:color="auto" w:fill="ECEBEB"/>
          </w:tcPr>
          <w:p>
            <w:pPr>
              <w:spacing w:after="0"/>
              <w:rPr>
                <w:sz w:val="12"/>
                <w:szCs w:val="12"/>
                <w:color w:val="auto"/>
              </w:rPr>
            </w:pPr>
          </w:p>
        </w:tc>
        <w:tc>
          <w:tcPr>
            <w:tcW w:w="88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Options</w:t>
            </w:r>
          </w:p>
        </w:tc>
        <w:tc>
          <w:tcPr>
            <w:tcW w:w="920" w:type="dxa"/>
            <w:vAlign w:val="bottom"/>
            <w:gridSpan w:val="3"/>
            <w:shd w:val="clear" w:color="auto" w:fill="ECEBEB"/>
          </w:tcPr>
          <w:p>
            <w:pPr>
              <w:jc w:val="center"/>
              <w:ind w:left="294"/>
              <w:spacing w:after="0"/>
              <w:rPr>
                <w:sz w:val="20"/>
                <w:szCs w:val="20"/>
                <w:color w:val="auto"/>
              </w:rPr>
            </w:pPr>
            <w:r>
              <w:rPr>
                <w:rFonts w:ascii="Arial" w:cs="Arial" w:eastAsia="Arial" w:hAnsi="Arial"/>
                <w:sz w:val="13"/>
                <w:szCs w:val="13"/>
                <w:b w:val="1"/>
                <w:bCs w:val="1"/>
                <w:color w:val="auto"/>
                <w:w w:val="97"/>
              </w:rPr>
              <w:t>Options</w:t>
            </w:r>
          </w:p>
        </w:tc>
        <w:tc>
          <w:tcPr>
            <w:tcW w:w="680" w:type="dxa"/>
            <w:vAlign w:val="bottom"/>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Exercise</w:t>
            </w:r>
          </w:p>
        </w:tc>
        <w:tc>
          <w:tcPr>
            <w:tcW w:w="760" w:type="dxa"/>
            <w:vAlign w:val="bottom"/>
            <w:gridSpan w:val="2"/>
            <w:shd w:val="clear" w:color="auto" w:fill="ECEBEB"/>
          </w:tcPr>
          <w:p>
            <w:pPr>
              <w:ind w:left="260"/>
              <w:spacing w:after="0"/>
              <w:rPr>
                <w:sz w:val="20"/>
                <w:szCs w:val="20"/>
                <w:color w:val="auto"/>
              </w:rPr>
            </w:pPr>
            <w:r>
              <w:rPr>
                <w:rFonts w:ascii="Arial" w:cs="Arial" w:eastAsia="Arial" w:hAnsi="Arial"/>
                <w:sz w:val="13"/>
                <w:szCs w:val="13"/>
                <w:b w:val="1"/>
                <w:bCs w:val="1"/>
                <w:color w:val="auto"/>
              </w:rPr>
              <w:t>Option</w:t>
            </w:r>
          </w:p>
        </w:tc>
        <w:tc>
          <w:tcPr>
            <w:tcW w:w="880" w:type="dxa"/>
            <w:vAlign w:val="bottom"/>
            <w:gridSpan w:val="2"/>
            <w:shd w:val="clear" w:color="auto" w:fill="ECEBEB"/>
          </w:tcPr>
          <w:p>
            <w:pPr>
              <w:jc w:val="right"/>
              <w:ind w:right="15"/>
              <w:spacing w:after="0"/>
              <w:rPr>
                <w:sz w:val="20"/>
                <w:szCs w:val="20"/>
                <w:color w:val="auto"/>
              </w:rPr>
            </w:pPr>
            <w:r>
              <w:rPr>
                <w:rFonts w:ascii="Arial" w:cs="Arial" w:eastAsia="Arial" w:hAnsi="Arial"/>
                <w:sz w:val="13"/>
                <w:szCs w:val="13"/>
                <w:b w:val="1"/>
                <w:bCs w:val="1"/>
                <w:color w:val="auto"/>
              </w:rPr>
              <w:t>Have Not</w:t>
            </w:r>
          </w:p>
        </w:tc>
        <w:tc>
          <w:tcPr>
            <w:tcW w:w="880" w:type="dxa"/>
            <w:vAlign w:val="bottom"/>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Have Not</w:t>
            </w:r>
          </w:p>
        </w:tc>
        <w:tc>
          <w:tcPr>
            <w:tcW w:w="96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Have Not</w:t>
            </w:r>
          </w:p>
        </w:tc>
        <w:tc>
          <w:tcPr>
            <w:tcW w:w="1100" w:type="dxa"/>
            <w:vAlign w:val="bottom"/>
            <w:gridSpan w:val="2"/>
            <w:shd w:val="clear" w:color="auto" w:fill="ECEBEB"/>
          </w:tcPr>
          <w:p>
            <w:pPr>
              <w:jc w:val="right"/>
              <w:spacing w:after="0"/>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48"/>
        </w:trPr>
        <w:tc>
          <w:tcPr>
            <w:tcW w:w="1200" w:type="dxa"/>
            <w:vAlign w:val="bottom"/>
            <w:shd w:val="clear" w:color="auto" w:fill="ECEBEB"/>
          </w:tcPr>
          <w:p>
            <w:pPr>
              <w:spacing w:after="0"/>
              <w:rPr>
                <w:sz w:val="12"/>
                <w:szCs w:val="12"/>
                <w:color w:val="auto"/>
              </w:rPr>
            </w:pPr>
          </w:p>
        </w:tc>
        <w:tc>
          <w:tcPr>
            <w:tcW w:w="820" w:type="dxa"/>
            <w:vAlign w:val="bottom"/>
            <w:shd w:val="clear" w:color="auto" w:fill="ECEBEB"/>
          </w:tcPr>
          <w:p>
            <w:pPr>
              <w:jc w:val="right"/>
              <w:spacing w:after="0"/>
              <w:rPr>
                <w:sz w:val="20"/>
                <w:szCs w:val="20"/>
                <w:color w:val="auto"/>
              </w:rPr>
            </w:pPr>
            <w:r>
              <w:rPr>
                <w:rFonts w:ascii="Arial" w:cs="Arial" w:eastAsia="Arial" w:hAnsi="Arial"/>
                <w:sz w:val="13"/>
                <w:szCs w:val="13"/>
                <w:b w:val="1"/>
                <w:bCs w:val="1"/>
                <w:color w:val="auto"/>
              </w:rPr>
              <w:t>Grant</w:t>
            </w:r>
          </w:p>
        </w:tc>
        <w:tc>
          <w:tcPr>
            <w:tcW w:w="880" w:type="dxa"/>
            <w:vAlign w:val="bottom"/>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Exercisable</w:t>
            </w:r>
          </w:p>
        </w:tc>
        <w:tc>
          <w:tcPr>
            <w:tcW w:w="920" w:type="dxa"/>
            <w:vAlign w:val="bottom"/>
            <w:gridSpan w:val="3"/>
            <w:shd w:val="clear" w:color="auto" w:fill="ECEBEB"/>
          </w:tcPr>
          <w:p>
            <w:pPr>
              <w:jc w:val="right"/>
              <w:ind w:right="16"/>
              <w:spacing w:after="0"/>
              <w:rPr>
                <w:sz w:val="20"/>
                <w:szCs w:val="20"/>
                <w:color w:val="auto"/>
              </w:rPr>
            </w:pPr>
            <w:r>
              <w:rPr>
                <w:rFonts w:ascii="Arial" w:cs="Arial" w:eastAsia="Arial" w:hAnsi="Arial"/>
                <w:sz w:val="13"/>
                <w:szCs w:val="13"/>
                <w:b w:val="1"/>
                <w:bCs w:val="1"/>
                <w:color w:val="auto"/>
                <w:w w:val="95"/>
              </w:rPr>
              <w:t>Unexercisable</w:t>
            </w:r>
          </w:p>
        </w:tc>
        <w:tc>
          <w:tcPr>
            <w:tcW w:w="680" w:type="dxa"/>
            <w:vAlign w:val="bottom"/>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Price</w:t>
            </w:r>
          </w:p>
        </w:tc>
        <w:tc>
          <w:tcPr>
            <w:tcW w:w="760" w:type="dxa"/>
            <w:vAlign w:val="bottom"/>
            <w:gridSpan w:val="2"/>
            <w:shd w:val="clear" w:color="auto" w:fill="ECEBEB"/>
          </w:tcPr>
          <w:p>
            <w:pPr>
              <w:ind w:left="40"/>
              <w:spacing w:after="0"/>
              <w:rPr>
                <w:sz w:val="20"/>
                <w:szCs w:val="20"/>
                <w:color w:val="auto"/>
              </w:rPr>
            </w:pPr>
            <w:r>
              <w:rPr>
                <w:rFonts w:ascii="Arial" w:cs="Arial" w:eastAsia="Arial" w:hAnsi="Arial"/>
                <w:sz w:val="13"/>
                <w:szCs w:val="13"/>
                <w:b w:val="1"/>
                <w:bCs w:val="1"/>
                <w:color w:val="auto"/>
              </w:rPr>
              <w:t>Expiration</w:t>
            </w:r>
          </w:p>
        </w:tc>
        <w:tc>
          <w:tcPr>
            <w:tcW w:w="880" w:type="dxa"/>
            <w:vAlign w:val="bottom"/>
            <w:gridSpan w:val="2"/>
            <w:shd w:val="clear" w:color="auto" w:fill="ECEBEB"/>
          </w:tcPr>
          <w:p>
            <w:pPr>
              <w:jc w:val="right"/>
              <w:ind w:right="35"/>
              <w:spacing w:after="0"/>
              <w:rPr>
                <w:sz w:val="20"/>
                <w:szCs w:val="20"/>
                <w:color w:val="auto"/>
              </w:rPr>
            </w:pPr>
            <w:r>
              <w:rPr>
                <w:rFonts w:ascii="Arial" w:cs="Arial" w:eastAsia="Arial" w:hAnsi="Arial"/>
                <w:sz w:val="13"/>
                <w:szCs w:val="13"/>
                <w:b w:val="1"/>
                <w:bCs w:val="1"/>
                <w:color w:val="auto"/>
              </w:rPr>
              <w:t>Vested</w:t>
            </w:r>
          </w:p>
        </w:tc>
        <w:tc>
          <w:tcPr>
            <w:tcW w:w="880" w:type="dxa"/>
            <w:vAlign w:val="bottom"/>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Vested</w:t>
            </w:r>
          </w:p>
        </w:tc>
        <w:tc>
          <w:tcPr>
            <w:tcW w:w="960" w:type="dxa"/>
            <w:vAlign w:val="bottom"/>
            <w:gridSpan w:val="2"/>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Vested</w:t>
            </w:r>
          </w:p>
        </w:tc>
        <w:tc>
          <w:tcPr>
            <w:tcW w:w="1100" w:type="dxa"/>
            <w:vAlign w:val="bottom"/>
            <w:gridSpan w:val="2"/>
            <w:shd w:val="clear" w:color="auto" w:fill="ECEBEB"/>
          </w:tcPr>
          <w:p>
            <w:pPr>
              <w:jc w:val="right"/>
              <w:ind w:right="14"/>
              <w:spacing w:after="0"/>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198"/>
        </w:trPr>
        <w:tc>
          <w:tcPr>
            <w:tcW w:w="1200" w:type="dxa"/>
            <w:vAlign w:val="bottom"/>
            <w:tcBorders>
              <w:bottom w:val="single" w:sz="8" w:color="ECEBEB"/>
            </w:tcBorders>
            <w:shd w:val="clear" w:color="auto" w:fill="ECEBEB"/>
          </w:tcPr>
          <w:p>
            <w:pPr>
              <w:ind w:left="60"/>
              <w:spacing w:after="0"/>
              <w:rPr>
                <w:sz w:val="20"/>
                <w:szCs w:val="20"/>
                <w:color w:val="auto"/>
              </w:rPr>
            </w:pPr>
            <w:r>
              <w:rPr>
                <w:rFonts w:ascii="Arial" w:cs="Arial" w:eastAsia="Arial" w:hAnsi="Arial"/>
                <w:sz w:val="13"/>
                <w:szCs w:val="13"/>
                <w:b w:val="1"/>
                <w:bCs w:val="1"/>
                <w:color w:val="auto"/>
              </w:rPr>
              <w:t>Name</w:t>
            </w:r>
          </w:p>
        </w:tc>
        <w:tc>
          <w:tcPr>
            <w:tcW w:w="820" w:type="dxa"/>
            <w:vAlign w:val="bottom"/>
            <w:tcBorders>
              <w:bottom w:val="single" w:sz="8" w:color="ECEBEB"/>
            </w:tcBorders>
            <w:shd w:val="clear" w:color="auto" w:fill="ECEBEB"/>
          </w:tcPr>
          <w:p>
            <w:pPr>
              <w:jc w:val="right"/>
              <w:ind w:right="13"/>
              <w:spacing w:after="0"/>
              <w:rPr>
                <w:sz w:val="20"/>
                <w:szCs w:val="20"/>
                <w:color w:val="auto"/>
              </w:rPr>
            </w:pPr>
            <w:r>
              <w:rPr>
                <w:rFonts w:ascii="Arial" w:cs="Arial" w:eastAsia="Arial" w:hAnsi="Arial"/>
                <w:sz w:val="13"/>
                <w:szCs w:val="13"/>
                <w:b w:val="1"/>
                <w:bCs w:val="1"/>
                <w:color w:val="auto"/>
              </w:rPr>
              <w:t>Date</w:t>
            </w:r>
          </w:p>
        </w:tc>
        <w:tc>
          <w:tcPr>
            <w:tcW w:w="880" w:type="dxa"/>
            <w:vAlign w:val="bottom"/>
            <w:tcBorders>
              <w:bottom w:val="single" w:sz="8" w:color="ECEBEB"/>
            </w:tcBorders>
            <w:shd w:val="clear" w:color="auto" w:fill="ECEBEB"/>
          </w:tcPr>
          <w:p>
            <w:pPr>
              <w:jc w:val="right"/>
              <w:ind w:right="54"/>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ECEBEB"/>
            </w:tcBorders>
            <w:gridSpan w:val="3"/>
            <w:shd w:val="clear" w:color="auto" w:fill="ECEBEB"/>
          </w:tcPr>
          <w:p>
            <w:pPr>
              <w:jc w:val="right"/>
              <w:ind w:right="36"/>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ECEBEB"/>
            </w:tcBorders>
            <w:shd w:val="clear" w:color="auto" w:fill="ECEBEB"/>
          </w:tcPr>
          <w:p>
            <w:pPr>
              <w:jc w:val="right"/>
              <w:ind w:right="54"/>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ECEBEB"/>
            </w:tcBorders>
            <w:gridSpan w:val="2"/>
            <w:shd w:val="clear" w:color="auto" w:fill="ECEBEB"/>
          </w:tcPr>
          <w:p>
            <w:pPr>
              <w:ind w:left="380"/>
              <w:spacing w:after="0"/>
              <w:rPr>
                <w:sz w:val="20"/>
                <w:szCs w:val="20"/>
                <w:color w:val="auto"/>
              </w:rPr>
            </w:pPr>
            <w:r>
              <w:rPr>
                <w:rFonts w:ascii="Arial" w:cs="Arial" w:eastAsia="Arial" w:hAnsi="Arial"/>
                <w:sz w:val="13"/>
                <w:szCs w:val="13"/>
                <w:b w:val="1"/>
                <w:bCs w:val="1"/>
                <w:color w:val="auto"/>
              </w:rPr>
              <w:t>Date</w:t>
            </w:r>
          </w:p>
        </w:tc>
        <w:tc>
          <w:tcPr>
            <w:tcW w:w="620" w:type="dxa"/>
            <w:vAlign w:val="bottom"/>
            <w:tcBorders>
              <w:bottom w:val="single" w:sz="8" w:color="ECEBEB"/>
            </w:tcBorders>
            <w:shd w:val="clear" w:color="auto" w:fill="ECEBEB"/>
          </w:tcPr>
          <w:p>
            <w:pPr>
              <w:spacing w:after="0"/>
              <w:rPr>
                <w:sz w:val="16"/>
                <w:szCs w:val="16"/>
                <w:color w:val="auto"/>
              </w:rPr>
            </w:pPr>
          </w:p>
        </w:tc>
        <w:tc>
          <w:tcPr>
            <w:tcW w:w="260" w:type="dxa"/>
            <w:vAlign w:val="bottom"/>
            <w:tcBorders>
              <w:bottom w:val="single" w:sz="8" w:color="ECEBEB"/>
            </w:tcBorders>
            <w:shd w:val="clear" w:color="auto" w:fill="ECEBEB"/>
          </w:tcPr>
          <w:p>
            <w:pPr>
              <w:jc w:val="right"/>
              <w:ind w:right="55"/>
              <w:spacing w:after="0"/>
              <w:rPr>
                <w:sz w:val="20"/>
                <w:szCs w:val="20"/>
                <w:color w:val="auto"/>
              </w:rPr>
            </w:pPr>
            <w:r>
              <w:rPr>
                <w:rFonts w:ascii="Arial" w:cs="Arial" w:eastAsia="Arial" w:hAnsi="Arial"/>
                <w:sz w:val="13"/>
                <w:szCs w:val="13"/>
                <w:b w:val="1"/>
                <w:bCs w:val="1"/>
                <w:color w:val="auto"/>
                <w:w w:val="87"/>
              </w:rPr>
              <w:t>(#)</w:t>
            </w:r>
          </w:p>
        </w:tc>
        <w:tc>
          <w:tcPr>
            <w:tcW w:w="880" w:type="dxa"/>
            <w:vAlign w:val="bottom"/>
            <w:tcBorders>
              <w:bottom w:val="single" w:sz="8" w:color="ECEBEB"/>
            </w:tcBorders>
            <w:shd w:val="clear" w:color="auto" w:fill="ECEBEB"/>
          </w:tcPr>
          <w:p>
            <w:pPr>
              <w:jc w:val="right"/>
              <w:ind w:right="34"/>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CEBEB"/>
            </w:tcBorders>
            <w:shd w:val="clear" w:color="auto" w:fill="ECEBEB"/>
          </w:tcPr>
          <w:p>
            <w:pPr>
              <w:spacing w:after="0"/>
              <w:rPr>
                <w:sz w:val="16"/>
                <w:szCs w:val="16"/>
                <w:color w:val="auto"/>
              </w:rPr>
            </w:pPr>
          </w:p>
        </w:tc>
        <w:tc>
          <w:tcPr>
            <w:tcW w:w="300" w:type="dxa"/>
            <w:vAlign w:val="bottom"/>
            <w:tcBorders>
              <w:bottom w:val="single" w:sz="8" w:color="ECEBEB"/>
            </w:tcBorders>
            <w:shd w:val="clear" w:color="auto" w:fill="ECEBEB"/>
          </w:tcPr>
          <w:p>
            <w:pPr>
              <w:jc w:val="right"/>
              <w:ind w:right="54"/>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ECEBEB"/>
            </w:tcBorders>
            <w:shd w:val="clear" w:color="auto" w:fill="ECEBEB"/>
          </w:tcPr>
          <w:p>
            <w:pPr>
              <w:spacing w:after="0"/>
              <w:rPr>
                <w:sz w:val="16"/>
                <w:szCs w:val="16"/>
                <w:color w:val="auto"/>
              </w:rPr>
            </w:pPr>
          </w:p>
        </w:tc>
        <w:tc>
          <w:tcPr>
            <w:tcW w:w="260" w:type="dxa"/>
            <w:vAlign w:val="bottom"/>
            <w:tcBorders>
              <w:bottom w:val="single" w:sz="8" w:color="ECEBEB"/>
            </w:tcBorders>
            <w:shd w:val="clear" w:color="auto" w:fill="ECEBEB"/>
          </w:tcPr>
          <w:p>
            <w:pPr>
              <w:ind w:left="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8"/>
        </w:trPr>
        <w:tc>
          <w:tcPr>
            <w:tcW w:w="1200" w:type="dxa"/>
            <w:vAlign w:val="bottom"/>
            <w:tcBorders>
              <w:top w:val="single" w:sz="8" w:color="0956FF"/>
            </w:tcBorders>
          </w:tcPr>
          <w:p>
            <w:pPr>
              <w:ind w:left="60"/>
              <w:spacing w:after="0"/>
              <w:rPr>
                <w:sz w:val="20"/>
                <w:szCs w:val="20"/>
                <w:color w:val="auto"/>
              </w:rPr>
            </w:pPr>
            <w:r>
              <w:rPr>
                <w:rFonts w:ascii="Arial" w:cs="Arial" w:eastAsia="Arial" w:hAnsi="Arial"/>
                <w:sz w:val="13"/>
                <w:szCs w:val="13"/>
                <w:b w:val="1"/>
                <w:bCs w:val="1"/>
                <w:color w:val="0956FF"/>
              </w:rPr>
              <w:t>Mary T. Barra</w:t>
            </w:r>
          </w:p>
        </w:tc>
        <w:tc>
          <w:tcPr>
            <w:tcW w:w="820" w:type="dxa"/>
            <w:vAlign w:val="bottom"/>
            <w:tcBorders>
              <w:top w:val="single" w:sz="8" w:color="0956FF"/>
            </w:tcBorders>
          </w:tcPr>
          <w:p>
            <w:pPr>
              <w:jc w:val="right"/>
              <w:ind w:right="113"/>
              <w:spacing w:after="0"/>
              <w:rPr>
                <w:sz w:val="20"/>
                <w:szCs w:val="20"/>
                <w:color w:val="auto"/>
              </w:rPr>
            </w:pPr>
            <w:r>
              <w:rPr>
                <w:rFonts w:ascii="Arial" w:cs="Arial" w:eastAsia="Arial" w:hAnsi="Arial"/>
                <w:sz w:val="13"/>
                <w:szCs w:val="13"/>
                <w:color w:val="auto"/>
              </w:rPr>
              <w:t>2/4/2025</w:t>
            </w:r>
          </w:p>
        </w:tc>
        <w:tc>
          <w:tcPr>
            <w:tcW w:w="880" w:type="dxa"/>
            <w:vAlign w:val="bottom"/>
            <w:tcBorders>
              <w:top w:val="single" w:sz="8" w:color="0956FF"/>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0956FF"/>
            </w:tcBorders>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Borders>
              <w:top w:val="single" w:sz="8" w:color="0956FF"/>
            </w:tcBorders>
          </w:tcPr>
          <w:p>
            <w:pPr>
              <w:spacing w:after="0"/>
              <w:rPr>
                <w:sz w:val="18"/>
                <w:szCs w:val="18"/>
                <w:color w:val="auto"/>
              </w:rPr>
            </w:pPr>
          </w:p>
        </w:tc>
        <w:tc>
          <w:tcPr>
            <w:tcW w:w="680" w:type="dxa"/>
            <w:vAlign w:val="bottom"/>
            <w:tcBorders>
              <w:top w:val="single" w:sz="8" w:color="0956FF"/>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0956FF"/>
            </w:tcBorders>
            <w:gridSpan w:val="2"/>
          </w:tcPr>
          <w:p>
            <w:pPr>
              <w:ind w:left="56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0956FF"/>
            </w:tcBorders>
          </w:tcPr>
          <w:p>
            <w:pPr>
              <w:jc w:val="right"/>
              <w:spacing w:after="0"/>
              <w:rPr>
                <w:sz w:val="20"/>
                <w:szCs w:val="20"/>
                <w:color w:val="auto"/>
              </w:rPr>
            </w:pPr>
            <w:r>
              <w:rPr>
                <w:rFonts w:ascii="Arial" w:cs="Arial" w:eastAsia="Arial" w:hAnsi="Arial"/>
                <w:sz w:val="13"/>
                <w:szCs w:val="13"/>
                <w:color w:val="auto"/>
              </w:rPr>
              <w:t>108,092</w:t>
            </w:r>
          </w:p>
        </w:tc>
        <w:tc>
          <w:tcPr>
            <w:tcW w:w="260" w:type="dxa"/>
            <w:vAlign w:val="bottom"/>
            <w:tcBorders>
              <w:top w:val="single" w:sz="8" w:color="0956FF"/>
            </w:tcBorders>
          </w:tcPr>
          <w:p>
            <w:pPr>
              <w:jc w:val="right"/>
              <w:ind w:right="55"/>
              <w:spacing w:after="0"/>
              <w:rPr>
                <w:sz w:val="20"/>
                <w:szCs w:val="20"/>
                <w:color w:val="auto"/>
              </w:rPr>
            </w:pPr>
            <w:r>
              <w:rPr>
                <w:rFonts w:ascii="Arial" w:cs="Arial" w:eastAsia="Arial" w:hAnsi="Arial"/>
                <w:sz w:val="9"/>
                <w:szCs w:val="9"/>
                <w:color w:val="auto"/>
              </w:rPr>
              <w:t>(2)</w:t>
            </w:r>
          </w:p>
        </w:tc>
        <w:tc>
          <w:tcPr>
            <w:tcW w:w="880" w:type="dxa"/>
            <w:vAlign w:val="bottom"/>
            <w:tcBorders>
              <w:top w:val="single" w:sz="8" w:color="0956FF"/>
            </w:tcBorders>
          </w:tcPr>
          <w:p>
            <w:pPr>
              <w:jc w:val="right"/>
              <w:ind w:right="54"/>
              <w:spacing w:after="0"/>
              <w:rPr>
                <w:sz w:val="20"/>
                <w:szCs w:val="20"/>
                <w:color w:val="auto"/>
              </w:rPr>
            </w:pPr>
            <w:r>
              <w:rPr>
                <w:rFonts w:ascii="Arial" w:cs="Arial" w:eastAsia="Arial" w:hAnsi="Arial"/>
                <w:sz w:val="13"/>
                <w:szCs w:val="13"/>
                <w:color w:val="auto"/>
              </w:rPr>
              <w:t>8,790,041</w:t>
            </w:r>
          </w:p>
        </w:tc>
        <w:tc>
          <w:tcPr>
            <w:tcW w:w="660" w:type="dxa"/>
            <w:vAlign w:val="bottom"/>
            <w:tcBorders>
              <w:top w:val="single" w:sz="8" w:color="0956FF"/>
            </w:tcBorders>
          </w:tcPr>
          <w:p>
            <w:pPr>
              <w:ind w:left="80"/>
              <w:spacing w:after="0"/>
              <w:rPr>
                <w:sz w:val="20"/>
                <w:szCs w:val="20"/>
                <w:color w:val="auto"/>
              </w:rPr>
            </w:pPr>
            <w:r>
              <w:rPr>
                <w:rFonts w:ascii="Arial" w:cs="Arial" w:eastAsia="Arial" w:hAnsi="Arial"/>
                <w:sz w:val="13"/>
                <w:szCs w:val="13"/>
                <w:color w:val="auto"/>
              </w:rPr>
              <w:t>324,275</w:t>
            </w:r>
          </w:p>
        </w:tc>
        <w:tc>
          <w:tcPr>
            <w:tcW w:w="300" w:type="dxa"/>
            <w:vAlign w:val="bottom"/>
            <w:tcBorders>
              <w:top w:val="single" w:sz="8" w:color="0956FF"/>
            </w:tcBorders>
          </w:tcPr>
          <w:p>
            <w:pPr>
              <w:ind w:left="20"/>
              <w:spacing w:after="0"/>
              <w:rPr>
                <w:sz w:val="20"/>
                <w:szCs w:val="20"/>
                <w:color w:val="auto"/>
              </w:rPr>
            </w:pPr>
            <w:r>
              <w:rPr>
                <w:rFonts w:ascii="Arial" w:cs="Arial" w:eastAsia="Arial" w:hAnsi="Arial"/>
                <w:sz w:val="9"/>
                <w:szCs w:val="9"/>
                <w:color w:val="auto"/>
              </w:rPr>
              <w:t>(7)</w:t>
            </w:r>
          </w:p>
        </w:tc>
        <w:tc>
          <w:tcPr>
            <w:tcW w:w="840" w:type="dxa"/>
            <w:vAlign w:val="bottom"/>
            <w:tcBorders>
              <w:top w:val="single" w:sz="8" w:color="0956FF"/>
            </w:tcBorders>
          </w:tcPr>
          <w:p>
            <w:pPr>
              <w:jc w:val="right"/>
              <w:ind w:right="55"/>
              <w:spacing w:after="0"/>
              <w:rPr>
                <w:sz w:val="20"/>
                <w:szCs w:val="20"/>
                <w:color w:val="auto"/>
              </w:rPr>
            </w:pPr>
            <w:r>
              <w:rPr>
                <w:rFonts w:ascii="Arial" w:cs="Arial" w:eastAsia="Arial" w:hAnsi="Arial"/>
                <w:sz w:val="13"/>
                <w:szCs w:val="13"/>
                <w:color w:val="auto"/>
              </w:rPr>
              <w:t>26,370,043</w:t>
            </w:r>
          </w:p>
        </w:tc>
        <w:tc>
          <w:tcPr>
            <w:tcW w:w="260" w:type="dxa"/>
            <w:vAlign w:val="bottom"/>
            <w:tcBorders>
              <w:top w:val="single" w:sz="8" w:color="0956FF"/>
            </w:tcBorders>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D8D7D7"/>
          </w:tcPr>
          <w:p>
            <w:pPr>
              <w:spacing w:after="0" w:line="20" w:lineRule="exact"/>
              <w:rPr>
                <w:sz w:val="1"/>
                <w:szCs w:val="1"/>
                <w:color w:val="auto"/>
              </w:rPr>
            </w:pPr>
          </w:p>
        </w:tc>
        <w:tc>
          <w:tcPr>
            <w:tcW w:w="880" w:type="dxa"/>
            <w:vAlign w:val="bottom"/>
            <w:shd w:val="clear" w:color="auto" w:fill="D8D7D7"/>
          </w:tcPr>
          <w:p>
            <w:pPr>
              <w:spacing w:after="0" w:line="20" w:lineRule="exact"/>
              <w:rPr>
                <w:sz w:val="1"/>
                <w:szCs w:val="1"/>
                <w:color w:val="auto"/>
              </w:rPr>
            </w:pPr>
          </w:p>
        </w:tc>
        <w:tc>
          <w:tcPr>
            <w:tcW w:w="700" w:type="dxa"/>
            <w:vAlign w:val="bottom"/>
            <w:shd w:val="clear" w:color="auto" w:fill="D8D7D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D8D7D7"/>
          </w:tcPr>
          <w:p>
            <w:pPr>
              <w:spacing w:after="0" w:line="20" w:lineRule="exact"/>
              <w:rPr>
                <w:sz w:val="1"/>
                <w:szCs w:val="1"/>
                <w:color w:val="auto"/>
              </w:rPr>
            </w:pPr>
          </w:p>
        </w:tc>
        <w:tc>
          <w:tcPr>
            <w:tcW w:w="700" w:type="dxa"/>
            <w:vAlign w:val="bottom"/>
            <w:shd w:val="clear" w:color="auto" w:fill="D8D7D7"/>
          </w:tcPr>
          <w:p>
            <w:pPr>
              <w:spacing w:after="0" w:line="20" w:lineRule="exact"/>
              <w:rPr>
                <w:sz w:val="1"/>
                <w:szCs w:val="1"/>
                <w:color w:val="auto"/>
              </w:rPr>
            </w:pPr>
          </w:p>
        </w:tc>
        <w:tc>
          <w:tcPr>
            <w:tcW w:w="60" w:type="dxa"/>
            <w:vAlign w:val="bottom"/>
            <w:shd w:val="clear" w:color="auto" w:fill="D8D7D7"/>
          </w:tcPr>
          <w:p>
            <w:pPr>
              <w:spacing w:after="0" w:line="20" w:lineRule="exact"/>
              <w:rPr>
                <w:sz w:val="1"/>
                <w:szCs w:val="1"/>
                <w:color w:val="auto"/>
              </w:rPr>
            </w:pPr>
          </w:p>
        </w:tc>
        <w:tc>
          <w:tcPr>
            <w:tcW w:w="620" w:type="dxa"/>
            <w:vAlign w:val="bottom"/>
            <w:shd w:val="clear" w:color="auto" w:fill="D8D7D7"/>
          </w:tcPr>
          <w:p>
            <w:pPr>
              <w:spacing w:after="0" w:line="20" w:lineRule="exact"/>
              <w:rPr>
                <w:sz w:val="1"/>
                <w:szCs w:val="1"/>
                <w:color w:val="auto"/>
              </w:rPr>
            </w:pPr>
          </w:p>
        </w:tc>
        <w:tc>
          <w:tcPr>
            <w:tcW w:w="260" w:type="dxa"/>
            <w:vAlign w:val="bottom"/>
            <w:shd w:val="clear" w:color="auto" w:fill="D8D7D7"/>
          </w:tcPr>
          <w:p>
            <w:pPr>
              <w:spacing w:after="0" w:line="20" w:lineRule="exact"/>
              <w:rPr>
                <w:sz w:val="1"/>
                <w:szCs w:val="1"/>
                <w:color w:val="auto"/>
              </w:rPr>
            </w:pPr>
          </w:p>
        </w:tc>
        <w:tc>
          <w:tcPr>
            <w:tcW w:w="880" w:type="dxa"/>
            <w:vAlign w:val="bottom"/>
            <w:shd w:val="clear" w:color="auto" w:fill="D8D7D7"/>
          </w:tcPr>
          <w:p>
            <w:pPr>
              <w:spacing w:after="0" w:line="20" w:lineRule="exact"/>
              <w:rPr>
                <w:sz w:val="1"/>
                <w:szCs w:val="1"/>
                <w:color w:val="auto"/>
              </w:rPr>
            </w:pPr>
          </w:p>
        </w:tc>
        <w:tc>
          <w:tcPr>
            <w:tcW w:w="660" w:type="dxa"/>
            <w:vAlign w:val="bottom"/>
            <w:shd w:val="clear" w:color="auto" w:fill="D8D7D7"/>
          </w:tcPr>
          <w:p>
            <w:pPr>
              <w:spacing w:after="0" w:line="20" w:lineRule="exact"/>
              <w:rPr>
                <w:sz w:val="1"/>
                <w:szCs w:val="1"/>
                <w:color w:val="auto"/>
              </w:rPr>
            </w:pPr>
          </w:p>
        </w:tc>
        <w:tc>
          <w:tcPr>
            <w:tcW w:w="300" w:type="dxa"/>
            <w:vAlign w:val="bottom"/>
            <w:shd w:val="clear" w:color="auto" w:fill="D8D7D7"/>
          </w:tcPr>
          <w:p>
            <w:pPr>
              <w:spacing w:after="0" w:line="20" w:lineRule="exact"/>
              <w:rPr>
                <w:sz w:val="1"/>
                <w:szCs w:val="1"/>
                <w:color w:val="auto"/>
              </w:rPr>
            </w:pPr>
          </w:p>
        </w:tc>
        <w:tc>
          <w:tcPr>
            <w:tcW w:w="840" w:type="dxa"/>
            <w:vAlign w:val="bottom"/>
            <w:shd w:val="clear" w:color="auto" w:fill="D8D7D7"/>
          </w:tcPr>
          <w:p>
            <w:pPr>
              <w:spacing w:after="0" w:line="20" w:lineRule="exact"/>
              <w:rPr>
                <w:sz w:val="1"/>
                <w:szCs w:val="1"/>
                <w:color w:val="auto"/>
              </w:rPr>
            </w:pPr>
          </w:p>
        </w:tc>
        <w:tc>
          <w:tcPr>
            <w:tcW w:w="260" w:type="dxa"/>
            <w:vAlign w:val="bottom"/>
            <w:shd w:val="clear" w:color="auto" w:fill="D8D7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0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Arial" w:cs="Arial" w:eastAsia="Arial" w:hAnsi="Arial"/>
                <w:sz w:val="13"/>
                <w:szCs w:val="13"/>
                <w:color w:val="auto"/>
              </w:rPr>
              <w:t>2/6/2024</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85,459</w:t>
            </w:r>
          </w:p>
        </w:tc>
        <w:tc>
          <w:tcPr>
            <w:tcW w:w="260" w:type="dxa"/>
            <w:vAlign w:val="bottom"/>
          </w:tcPr>
          <w:p>
            <w:pPr>
              <w:jc w:val="right"/>
              <w:ind w:right="55"/>
              <w:spacing w:after="0"/>
              <w:rPr>
                <w:sz w:val="20"/>
                <w:szCs w:val="20"/>
                <w:color w:val="auto"/>
              </w:rPr>
            </w:pPr>
            <w:r>
              <w:rPr>
                <w:rFonts w:ascii="Arial" w:cs="Arial" w:eastAsia="Arial" w:hAnsi="Arial"/>
                <w:sz w:val="9"/>
                <w:szCs w:val="9"/>
                <w:color w:val="auto"/>
              </w:rPr>
              <w:t>(3)</w:t>
            </w:r>
          </w:p>
        </w:tc>
        <w:tc>
          <w:tcPr>
            <w:tcW w:w="880" w:type="dxa"/>
            <w:vAlign w:val="bottom"/>
          </w:tcPr>
          <w:p>
            <w:pPr>
              <w:jc w:val="right"/>
              <w:ind w:right="74"/>
              <w:spacing w:after="0"/>
              <w:rPr>
                <w:sz w:val="20"/>
                <w:szCs w:val="20"/>
                <w:color w:val="auto"/>
              </w:rPr>
            </w:pPr>
            <w:r>
              <w:rPr>
                <w:rFonts w:ascii="Arial" w:cs="Arial" w:eastAsia="Arial" w:hAnsi="Arial"/>
                <w:sz w:val="13"/>
                <w:szCs w:val="13"/>
                <w:color w:val="auto"/>
              </w:rPr>
              <w:t>6,949,526</w:t>
            </w:r>
          </w:p>
        </w:tc>
        <w:tc>
          <w:tcPr>
            <w:tcW w:w="660" w:type="dxa"/>
            <w:vAlign w:val="bottom"/>
          </w:tcPr>
          <w:p>
            <w:pPr>
              <w:ind w:left="80"/>
              <w:spacing w:after="0"/>
              <w:rPr>
                <w:sz w:val="20"/>
                <w:szCs w:val="20"/>
                <w:color w:val="auto"/>
              </w:rPr>
            </w:pPr>
            <w:r>
              <w:rPr>
                <w:rFonts w:ascii="Arial" w:cs="Arial" w:eastAsia="Arial" w:hAnsi="Arial"/>
                <w:sz w:val="13"/>
                <w:szCs w:val="13"/>
                <w:color w:val="auto"/>
              </w:rPr>
              <w:t>337,863</w:t>
            </w:r>
          </w:p>
        </w:tc>
        <w:tc>
          <w:tcPr>
            <w:tcW w:w="300" w:type="dxa"/>
            <w:vAlign w:val="bottom"/>
          </w:tcPr>
          <w:p>
            <w:pPr>
              <w:ind w:left="20"/>
              <w:spacing w:after="0"/>
              <w:rPr>
                <w:sz w:val="20"/>
                <w:szCs w:val="20"/>
                <w:color w:val="auto"/>
              </w:rPr>
            </w:pPr>
            <w:r>
              <w:rPr>
                <w:rFonts w:ascii="Arial" w:cs="Arial" w:eastAsia="Arial" w:hAnsi="Arial"/>
                <w:sz w:val="9"/>
                <w:szCs w:val="9"/>
                <w:color w:val="auto"/>
              </w:rPr>
              <w:t>(8)</w:t>
            </w:r>
          </w:p>
        </w:tc>
        <w:tc>
          <w:tcPr>
            <w:tcW w:w="840" w:type="dxa"/>
            <w:vAlign w:val="bottom"/>
          </w:tcPr>
          <w:p>
            <w:pPr>
              <w:jc w:val="center"/>
              <w:spacing w:after="0"/>
              <w:rPr>
                <w:sz w:val="20"/>
                <w:szCs w:val="20"/>
                <w:color w:val="auto"/>
              </w:rPr>
            </w:pPr>
            <w:r>
              <w:rPr>
                <w:rFonts w:ascii="Arial" w:cs="Arial" w:eastAsia="Arial" w:hAnsi="Arial"/>
                <w:sz w:val="13"/>
                <w:szCs w:val="13"/>
                <w:color w:val="auto"/>
              </w:rPr>
              <w:t>27,475,019</w:t>
            </w:r>
          </w:p>
        </w:tc>
        <w:tc>
          <w:tcPr>
            <w:tcW w:w="260" w:type="dxa"/>
            <w:vAlign w:val="bottom"/>
          </w:tcPr>
          <w:p>
            <w:pPr>
              <w:ind w:left="40"/>
              <w:spacing w:after="0"/>
              <w:rPr>
                <w:sz w:val="20"/>
                <w:szCs w:val="20"/>
                <w:color w:val="auto"/>
              </w:rPr>
            </w:pPr>
            <w:r>
              <w:rPr>
                <w:rFonts w:ascii="Arial" w:cs="Arial" w:eastAsia="Arial" w:hAnsi="Arial"/>
                <w:sz w:val="9"/>
                <w:szCs w:val="9"/>
                <w:color w:val="auto"/>
              </w:rPr>
              <w:t>(10)</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8D7D7"/>
            </w:tcBorders>
          </w:tcPr>
          <w:p>
            <w:pPr>
              <w:spacing w:after="0"/>
              <w:rPr>
                <w:sz w:val="18"/>
                <w:szCs w:val="18"/>
                <w:color w:val="auto"/>
              </w:rPr>
            </w:pPr>
          </w:p>
        </w:tc>
        <w:tc>
          <w:tcPr>
            <w:tcW w:w="820" w:type="dxa"/>
            <w:vAlign w:val="bottom"/>
            <w:tcBorders>
              <w:top w:val="single" w:sz="8" w:color="D8D7D7"/>
              <w:bottom w:val="single" w:sz="8" w:color="D8D7D7"/>
            </w:tcBorders>
          </w:tcPr>
          <w:p>
            <w:pPr>
              <w:jc w:val="right"/>
              <w:ind w:right="93"/>
              <w:spacing w:after="0"/>
              <w:rPr>
                <w:sz w:val="20"/>
                <w:szCs w:val="20"/>
                <w:color w:val="auto"/>
              </w:rPr>
            </w:pPr>
            <w:r>
              <w:rPr>
                <w:rFonts w:ascii="Arial" w:cs="Arial" w:eastAsia="Arial" w:hAnsi="Arial"/>
                <w:sz w:val="13"/>
                <w:szCs w:val="13"/>
                <w:color w:val="auto"/>
              </w:rPr>
              <w:t>2/7/2023</w:t>
            </w:r>
          </w:p>
        </w:tc>
        <w:tc>
          <w:tcPr>
            <w:tcW w:w="880" w:type="dxa"/>
            <w:vAlign w:val="bottom"/>
            <w:tcBorders>
              <w:top w:val="single" w:sz="8" w:color="D8D7D7"/>
              <w:bottom w:val="single" w:sz="8" w:color="D8D7D7"/>
            </w:tcBorders>
          </w:tcPr>
          <w:p>
            <w:pPr>
              <w:jc w:val="right"/>
              <w:ind w:right="54"/>
              <w:spacing w:after="0"/>
              <w:rPr>
                <w:sz w:val="20"/>
                <w:szCs w:val="20"/>
                <w:color w:val="auto"/>
              </w:rPr>
            </w:pPr>
            <w:r>
              <w:rPr>
                <w:rFonts w:ascii="Arial" w:cs="Arial" w:eastAsia="Arial" w:hAnsi="Arial"/>
                <w:sz w:val="13"/>
                <w:szCs w:val="13"/>
                <w:color w:val="auto"/>
              </w:rPr>
              <w:t>244,914</w:t>
            </w:r>
          </w:p>
        </w:tc>
        <w:tc>
          <w:tcPr>
            <w:tcW w:w="700" w:type="dxa"/>
            <w:vAlign w:val="bottom"/>
            <w:tcBorders>
              <w:top w:val="single" w:sz="8" w:color="D8D7D7"/>
              <w:bottom w:val="single" w:sz="8" w:color="D8D7D7"/>
            </w:tcBorders>
          </w:tcPr>
          <w:p>
            <w:pPr>
              <w:jc w:val="right"/>
              <w:spacing w:after="0"/>
              <w:rPr>
                <w:sz w:val="20"/>
                <w:szCs w:val="20"/>
                <w:color w:val="auto"/>
              </w:rPr>
            </w:pPr>
            <w:r>
              <w:rPr>
                <w:rFonts w:ascii="Arial" w:cs="Arial" w:eastAsia="Arial" w:hAnsi="Arial"/>
                <w:sz w:val="13"/>
                <w:szCs w:val="13"/>
                <w:color w:val="auto"/>
              </w:rPr>
              <w:t>122,457</w:t>
            </w:r>
          </w:p>
        </w:tc>
        <w:tc>
          <w:tcPr>
            <w:tcW w:w="20" w:type="dxa"/>
            <w:vAlign w:val="bottom"/>
            <w:tcBorders>
              <w:bottom w:val="single" w:sz="8" w:color="D8D7D7"/>
            </w:tcBorders>
          </w:tcPr>
          <w:p>
            <w:pPr>
              <w:spacing w:after="0"/>
              <w:rPr>
                <w:sz w:val="18"/>
                <w:szCs w:val="18"/>
                <w:color w:val="auto"/>
              </w:rPr>
            </w:pPr>
          </w:p>
        </w:tc>
        <w:tc>
          <w:tcPr>
            <w:tcW w:w="200" w:type="dxa"/>
            <w:vAlign w:val="bottom"/>
            <w:tcBorders>
              <w:bottom w:val="single" w:sz="8" w:color="D8D7D7"/>
            </w:tcBorders>
          </w:tcPr>
          <w:p>
            <w:pPr>
              <w:jc w:val="right"/>
              <w:ind w:right="16"/>
              <w:spacing w:after="0"/>
              <w:rPr>
                <w:sz w:val="20"/>
                <w:szCs w:val="20"/>
                <w:color w:val="auto"/>
              </w:rPr>
            </w:pPr>
            <w:r>
              <w:rPr>
                <w:rFonts w:ascii="Arial" w:cs="Arial" w:eastAsia="Arial" w:hAnsi="Arial"/>
                <w:sz w:val="9"/>
                <w:szCs w:val="9"/>
                <w:color w:val="auto"/>
              </w:rPr>
              <w:t>(4)</w:t>
            </w:r>
          </w:p>
        </w:tc>
        <w:tc>
          <w:tcPr>
            <w:tcW w:w="680" w:type="dxa"/>
            <w:vAlign w:val="bottom"/>
            <w:tcBorders>
              <w:top w:val="single" w:sz="8" w:color="D8D7D7"/>
              <w:bottom w:val="single" w:sz="8" w:color="D8D7D7"/>
            </w:tcBorders>
          </w:tcPr>
          <w:p>
            <w:pPr>
              <w:jc w:val="right"/>
              <w:ind w:right="54"/>
              <w:spacing w:after="0"/>
              <w:rPr>
                <w:sz w:val="20"/>
                <w:szCs w:val="20"/>
                <w:color w:val="auto"/>
              </w:rPr>
            </w:pPr>
            <w:r>
              <w:rPr>
                <w:rFonts w:ascii="Arial" w:cs="Arial" w:eastAsia="Arial" w:hAnsi="Arial"/>
                <w:sz w:val="13"/>
                <w:szCs w:val="13"/>
                <w:color w:val="auto"/>
              </w:rPr>
              <w:t>41.40</w:t>
            </w:r>
          </w:p>
        </w:tc>
        <w:tc>
          <w:tcPr>
            <w:tcW w:w="700" w:type="dxa"/>
            <w:vAlign w:val="bottom"/>
            <w:tcBorders>
              <w:top w:val="single" w:sz="8" w:color="D8D7D7"/>
              <w:bottom w:val="single" w:sz="8" w:color="D8D7D7"/>
            </w:tcBorders>
          </w:tcPr>
          <w:p>
            <w:pPr>
              <w:ind w:left="40"/>
              <w:spacing w:after="0"/>
              <w:rPr>
                <w:sz w:val="20"/>
                <w:szCs w:val="20"/>
                <w:color w:val="auto"/>
              </w:rPr>
            </w:pPr>
            <w:r>
              <w:rPr>
                <w:rFonts w:ascii="Arial" w:cs="Arial" w:eastAsia="Arial" w:hAnsi="Arial"/>
                <w:sz w:val="13"/>
                <w:szCs w:val="13"/>
                <w:color w:val="auto"/>
              </w:rPr>
              <w:t>2/7/2033</w:t>
            </w:r>
          </w:p>
        </w:tc>
        <w:tc>
          <w:tcPr>
            <w:tcW w:w="60" w:type="dxa"/>
            <w:vAlign w:val="bottom"/>
            <w:tcBorders>
              <w:top w:val="single" w:sz="8" w:color="D8D7D7"/>
              <w:bottom w:val="single" w:sz="8" w:color="D8D7D7"/>
            </w:tcBorders>
          </w:tcPr>
          <w:p>
            <w:pPr>
              <w:spacing w:after="0"/>
              <w:rPr>
                <w:sz w:val="18"/>
                <w:szCs w:val="18"/>
                <w:color w:val="auto"/>
              </w:rPr>
            </w:pPr>
          </w:p>
        </w:tc>
        <w:tc>
          <w:tcPr>
            <w:tcW w:w="620" w:type="dxa"/>
            <w:vAlign w:val="bottom"/>
            <w:tcBorders>
              <w:top w:val="single" w:sz="8" w:color="D8D7D7"/>
              <w:bottom w:val="single" w:sz="8" w:color="D8D7D7"/>
            </w:tcBorders>
          </w:tcPr>
          <w:p>
            <w:pPr>
              <w:jc w:val="right"/>
              <w:spacing w:after="0"/>
              <w:rPr>
                <w:sz w:val="20"/>
                <w:szCs w:val="20"/>
                <w:color w:val="auto"/>
              </w:rPr>
            </w:pPr>
            <w:r>
              <w:rPr>
                <w:rFonts w:ascii="Arial" w:cs="Arial" w:eastAsia="Arial" w:hAnsi="Arial"/>
                <w:sz w:val="13"/>
                <w:szCs w:val="13"/>
                <w:color w:val="auto"/>
              </w:rPr>
              <w:t>521,778</w:t>
            </w:r>
          </w:p>
        </w:tc>
        <w:tc>
          <w:tcPr>
            <w:tcW w:w="260" w:type="dxa"/>
            <w:vAlign w:val="bottom"/>
            <w:tcBorders>
              <w:top w:val="single" w:sz="8" w:color="D8D7D7"/>
              <w:bottom w:val="single" w:sz="8" w:color="D8D7D7"/>
            </w:tcBorders>
          </w:tcPr>
          <w:p>
            <w:pPr>
              <w:jc w:val="right"/>
              <w:ind w:right="55"/>
              <w:spacing w:after="0"/>
              <w:rPr>
                <w:sz w:val="20"/>
                <w:szCs w:val="20"/>
                <w:color w:val="auto"/>
              </w:rPr>
            </w:pPr>
            <w:r>
              <w:rPr>
                <w:rFonts w:ascii="Arial" w:cs="Arial" w:eastAsia="Arial" w:hAnsi="Arial"/>
                <w:sz w:val="9"/>
                <w:szCs w:val="9"/>
                <w:color w:val="auto"/>
              </w:rPr>
              <w:t>(5)</w:t>
            </w:r>
          </w:p>
        </w:tc>
        <w:tc>
          <w:tcPr>
            <w:tcW w:w="880" w:type="dxa"/>
            <w:vAlign w:val="bottom"/>
            <w:tcBorders>
              <w:top w:val="single" w:sz="8" w:color="D8D7D7"/>
              <w:bottom w:val="single" w:sz="8" w:color="D8D7D7"/>
            </w:tcBorders>
          </w:tcPr>
          <w:p>
            <w:pPr>
              <w:jc w:val="right"/>
              <w:ind w:right="94"/>
              <w:spacing w:after="0"/>
              <w:rPr>
                <w:sz w:val="20"/>
                <w:szCs w:val="20"/>
                <w:color w:val="auto"/>
              </w:rPr>
            </w:pPr>
            <w:r>
              <w:rPr>
                <w:rFonts w:ascii="Arial" w:cs="Arial" w:eastAsia="Arial" w:hAnsi="Arial"/>
                <w:sz w:val="13"/>
                <w:szCs w:val="13"/>
                <w:color w:val="auto"/>
              </w:rPr>
              <w:t>42,430,987</w:t>
            </w:r>
          </w:p>
        </w:tc>
        <w:tc>
          <w:tcPr>
            <w:tcW w:w="660" w:type="dxa"/>
            <w:vAlign w:val="bottom"/>
            <w:tcBorders>
              <w:top w:val="single" w:sz="8" w:color="D8D7D7"/>
              <w:bottom w:val="single" w:sz="8" w:color="D8D7D7"/>
            </w:tcBorders>
          </w:tcPr>
          <w:p>
            <w:pPr>
              <w:spacing w:after="0"/>
              <w:rPr>
                <w:sz w:val="18"/>
                <w:szCs w:val="18"/>
                <w:color w:val="auto"/>
              </w:rPr>
            </w:pPr>
          </w:p>
        </w:tc>
        <w:tc>
          <w:tcPr>
            <w:tcW w:w="300" w:type="dxa"/>
            <w:vAlign w:val="bottom"/>
            <w:tcBorders>
              <w:top w:val="single" w:sz="8" w:color="D8D7D7"/>
              <w:bottom w:val="single" w:sz="8" w:color="D8D7D7"/>
            </w:tcBorders>
          </w:tcPr>
          <w:p>
            <w:pPr>
              <w:spacing w:after="0"/>
              <w:rPr>
                <w:sz w:val="18"/>
                <w:szCs w:val="18"/>
                <w:color w:val="auto"/>
              </w:rPr>
            </w:pPr>
          </w:p>
        </w:tc>
        <w:tc>
          <w:tcPr>
            <w:tcW w:w="840" w:type="dxa"/>
            <w:vAlign w:val="bottom"/>
            <w:tcBorders>
              <w:top w:val="single" w:sz="8" w:color="D8D7D7"/>
              <w:bottom w:val="single" w:sz="8" w:color="D8D7D7"/>
            </w:tcBorders>
          </w:tcPr>
          <w:p>
            <w:pPr>
              <w:spacing w:after="0"/>
              <w:rPr>
                <w:sz w:val="18"/>
                <w:szCs w:val="18"/>
                <w:color w:val="auto"/>
              </w:rPr>
            </w:pPr>
          </w:p>
        </w:tc>
        <w:tc>
          <w:tcPr>
            <w:tcW w:w="260" w:type="dxa"/>
            <w:vAlign w:val="bottom"/>
            <w:tcBorders>
              <w:top w:val="single" w:sz="8" w:color="D8D7D7"/>
              <w:bottom w:val="single" w:sz="8" w:color="D8D7D7"/>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tcPr>
          <w:p>
            <w:pPr>
              <w:ind w:left="60"/>
              <w:spacing w:after="0"/>
              <w:rPr>
                <w:sz w:val="20"/>
                <w:szCs w:val="20"/>
                <w:color w:val="auto"/>
              </w:rPr>
            </w:pPr>
            <w:r>
              <w:rPr>
                <w:rFonts w:ascii="Arial" w:cs="Arial" w:eastAsia="Arial" w:hAnsi="Arial"/>
                <w:sz w:val="13"/>
                <w:szCs w:val="13"/>
                <w:b w:val="1"/>
                <w:bCs w:val="1"/>
                <w:color w:val="0956FF"/>
              </w:rPr>
              <w:t>Paul A. Jacobson</w:t>
            </w:r>
          </w:p>
        </w:tc>
        <w:tc>
          <w:tcPr>
            <w:tcW w:w="820" w:type="dxa"/>
            <w:vAlign w:val="bottom"/>
            <w:tcBorders>
              <w:bottom w:val="single" w:sz="8" w:color="D8D7D7"/>
            </w:tcBorders>
          </w:tcPr>
          <w:p>
            <w:pPr>
              <w:jc w:val="right"/>
              <w:ind w:right="113"/>
              <w:spacing w:after="0"/>
              <w:rPr>
                <w:sz w:val="20"/>
                <w:szCs w:val="20"/>
                <w:color w:val="auto"/>
              </w:rPr>
            </w:pPr>
            <w:r>
              <w:rPr>
                <w:rFonts w:ascii="Arial" w:cs="Arial" w:eastAsia="Arial" w:hAnsi="Arial"/>
                <w:sz w:val="13"/>
                <w:szCs w:val="13"/>
                <w:color w:val="auto"/>
              </w:rPr>
              <w:t>2/4/2025</w:t>
            </w:r>
          </w:p>
        </w:tc>
        <w:tc>
          <w:tcPr>
            <w:tcW w:w="8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8D7D7"/>
            </w:tcBorders>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D8D7D7"/>
            </w:tcBorders>
          </w:tcPr>
          <w:p>
            <w:pPr>
              <w:spacing w:after="0"/>
              <w:rPr>
                <w:sz w:val="18"/>
                <w:szCs w:val="18"/>
                <w:color w:val="auto"/>
              </w:rPr>
            </w:pPr>
          </w:p>
        </w:tc>
        <w:tc>
          <w:tcPr>
            <w:tcW w:w="6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7D7"/>
            </w:tcBorders>
            <w:gridSpan w:val="2"/>
          </w:tcPr>
          <w:p>
            <w:pPr>
              <w:ind w:left="5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53,017</w:t>
            </w:r>
          </w:p>
        </w:tc>
        <w:tc>
          <w:tcPr>
            <w:tcW w:w="260" w:type="dxa"/>
            <w:vAlign w:val="bottom"/>
            <w:tcBorders>
              <w:bottom w:val="single" w:sz="8" w:color="D8D7D7"/>
            </w:tcBorders>
          </w:tcPr>
          <w:p>
            <w:pPr>
              <w:jc w:val="right"/>
              <w:ind w:right="55"/>
              <w:spacing w:after="0"/>
              <w:rPr>
                <w:sz w:val="20"/>
                <w:szCs w:val="20"/>
                <w:color w:val="auto"/>
              </w:rPr>
            </w:pPr>
            <w:r>
              <w:rPr>
                <w:rFonts w:ascii="Arial" w:cs="Arial" w:eastAsia="Arial" w:hAnsi="Arial"/>
                <w:sz w:val="9"/>
                <w:szCs w:val="9"/>
                <w:color w:val="auto"/>
              </w:rPr>
              <w:t>(2)</w:t>
            </w:r>
          </w:p>
        </w:tc>
        <w:tc>
          <w:tcPr>
            <w:tcW w:w="880" w:type="dxa"/>
            <w:vAlign w:val="bottom"/>
            <w:tcBorders>
              <w:bottom w:val="single" w:sz="8" w:color="D8D7D7"/>
            </w:tcBorders>
          </w:tcPr>
          <w:p>
            <w:pPr>
              <w:jc w:val="right"/>
              <w:ind w:right="34"/>
              <w:spacing w:after="0"/>
              <w:rPr>
                <w:sz w:val="20"/>
                <w:szCs w:val="20"/>
                <w:color w:val="auto"/>
              </w:rPr>
            </w:pPr>
            <w:r>
              <w:rPr>
                <w:rFonts w:ascii="Arial" w:cs="Arial" w:eastAsia="Arial" w:hAnsi="Arial"/>
                <w:sz w:val="13"/>
                <w:szCs w:val="13"/>
                <w:color w:val="auto"/>
              </w:rPr>
              <w:t>4,311,342</w:t>
            </w:r>
          </w:p>
        </w:tc>
        <w:tc>
          <w:tcPr>
            <w:tcW w:w="660" w:type="dxa"/>
            <w:vAlign w:val="bottom"/>
            <w:tcBorders>
              <w:bottom w:val="single" w:sz="8" w:color="D8D7D7"/>
            </w:tcBorders>
          </w:tcPr>
          <w:p>
            <w:pPr>
              <w:ind w:left="100"/>
              <w:spacing w:after="0"/>
              <w:rPr>
                <w:sz w:val="20"/>
                <w:szCs w:val="20"/>
                <w:color w:val="auto"/>
              </w:rPr>
            </w:pPr>
            <w:r>
              <w:rPr>
                <w:rFonts w:ascii="Arial" w:cs="Arial" w:eastAsia="Arial" w:hAnsi="Arial"/>
                <w:sz w:val="13"/>
                <w:szCs w:val="13"/>
                <w:color w:val="auto"/>
              </w:rPr>
              <w:t>159,049</w:t>
            </w:r>
          </w:p>
        </w:tc>
        <w:tc>
          <w:tcPr>
            <w:tcW w:w="300" w:type="dxa"/>
            <w:vAlign w:val="bottom"/>
            <w:tcBorders>
              <w:bottom w:val="single" w:sz="8" w:color="D8D7D7"/>
            </w:tcBorders>
          </w:tcPr>
          <w:p>
            <w:pPr>
              <w:ind w:left="20"/>
              <w:spacing w:after="0"/>
              <w:rPr>
                <w:sz w:val="20"/>
                <w:szCs w:val="20"/>
                <w:color w:val="auto"/>
              </w:rPr>
            </w:pPr>
            <w:r>
              <w:rPr>
                <w:rFonts w:ascii="Arial" w:cs="Arial" w:eastAsia="Arial" w:hAnsi="Arial"/>
                <w:sz w:val="9"/>
                <w:szCs w:val="9"/>
                <w:color w:val="auto"/>
              </w:rPr>
              <w:t>(7)</w:t>
            </w:r>
          </w:p>
        </w:tc>
        <w:tc>
          <w:tcPr>
            <w:tcW w:w="840" w:type="dxa"/>
            <w:vAlign w:val="bottom"/>
            <w:tcBorders>
              <w:bottom w:val="single" w:sz="8" w:color="D8D7D7"/>
            </w:tcBorders>
          </w:tcPr>
          <w:p>
            <w:pPr>
              <w:jc w:val="right"/>
              <w:ind w:right="15"/>
              <w:spacing w:after="0"/>
              <w:rPr>
                <w:sz w:val="20"/>
                <w:szCs w:val="20"/>
                <w:color w:val="auto"/>
              </w:rPr>
            </w:pPr>
            <w:r>
              <w:rPr>
                <w:rFonts w:ascii="Arial" w:cs="Arial" w:eastAsia="Arial" w:hAnsi="Arial"/>
                <w:sz w:val="13"/>
                <w:szCs w:val="13"/>
                <w:color w:val="auto"/>
              </w:rPr>
              <w:t>12,933,865</w:t>
            </w:r>
          </w:p>
        </w:tc>
        <w:tc>
          <w:tcPr>
            <w:tcW w:w="260" w:type="dxa"/>
            <w:vAlign w:val="bottom"/>
            <w:tcBorders>
              <w:bottom w:val="single" w:sz="8" w:color="D8D7D7"/>
            </w:tcBorders>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820" w:type="dxa"/>
            <w:vAlign w:val="bottom"/>
            <w:tcBorders>
              <w:bottom w:val="single" w:sz="8" w:color="D8D7D7"/>
            </w:tcBorders>
          </w:tcPr>
          <w:p>
            <w:pPr>
              <w:jc w:val="right"/>
              <w:ind w:right="113"/>
              <w:spacing w:after="0"/>
              <w:rPr>
                <w:sz w:val="20"/>
                <w:szCs w:val="20"/>
                <w:color w:val="auto"/>
              </w:rPr>
            </w:pPr>
            <w:r>
              <w:rPr>
                <w:rFonts w:ascii="Arial" w:cs="Arial" w:eastAsia="Arial" w:hAnsi="Arial"/>
                <w:sz w:val="13"/>
                <w:szCs w:val="13"/>
                <w:color w:val="auto"/>
              </w:rPr>
              <w:t>2/6/2024</w:t>
            </w:r>
          </w:p>
        </w:tc>
        <w:tc>
          <w:tcPr>
            <w:tcW w:w="8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8D7D7"/>
            </w:tcBorders>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D8D7D7"/>
            </w:tcBorders>
          </w:tcPr>
          <w:p>
            <w:pPr>
              <w:spacing w:after="0"/>
              <w:rPr>
                <w:sz w:val="17"/>
                <w:szCs w:val="17"/>
                <w:color w:val="auto"/>
              </w:rPr>
            </w:pPr>
          </w:p>
        </w:tc>
        <w:tc>
          <w:tcPr>
            <w:tcW w:w="6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7D7"/>
            </w:tcBorders>
            <w:gridSpan w:val="2"/>
          </w:tcPr>
          <w:p>
            <w:pPr>
              <w:ind w:left="5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40,757</w:t>
            </w:r>
          </w:p>
        </w:tc>
        <w:tc>
          <w:tcPr>
            <w:tcW w:w="260" w:type="dxa"/>
            <w:vAlign w:val="bottom"/>
            <w:tcBorders>
              <w:bottom w:val="single" w:sz="8" w:color="D8D7D7"/>
            </w:tcBorders>
          </w:tcPr>
          <w:p>
            <w:pPr>
              <w:jc w:val="right"/>
              <w:ind w:right="55"/>
              <w:spacing w:after="0"/>
              <w:rPr>
                <w:sz w:val="20"/>
                <w:szCs w:val="20"/>
                <w:color w:val="auto"/>
              </w:rPr>
            </w:pPr>
            <w:r>
              <w:rPr>
                <w:rFonts w:ascii="Arial" w:cs="Arial" w:eastAsia="Arial" w:hAnsi="Arial"/>
                <w:sz w:val="9"/>
                <w:szCs w:val="9"/>
                <w:color w:val="auto"/>
              </w:rPr>
              <w:t>(3)</w:t>
            </w:r>
          </w:p>
        </w:tc>
        <w:tc>
          <w:tcPr>
            <w:tcW w:w="880" w:type="dxa"/>
            <w:vAlign w:val="bottom"/>
            <w:tcBorders>
              <w:bottom w:val="single" w:sz="8" w:color="D8D7D7"/>
            </w:tcBorders>
          </w:tcPr>
          <w:p>
            <w:pPr>
              <w:jc w:val="right"/>
              <w:ind w:right="54"/>
              <w:spacing w:after="0"/>
              <w:rPr>
                <w:sz w:val="20"/>
                <w:szCs w:val="20"/>
                <w:color w:val="auto"/>
              </w:rPr>
            </w:pPr>
            <w:r>
              <w:rPr>
                <w:rFonts w:ascii="Arial" w:cs="Arial" w:eastAsia="Arial" w:hAnsi="Arial"/>
                <w:sz w:val="13"/>
                <w:szCs w:val="13"/>
                <w:color w:val="auto"/>
              </w:rPr>
              <w:t>3,314,359</w:t>
            </w:r>
          </w:p>
        </w:tc>
        <w:tc>
          <w:tcPr>
            <w:tcW w:w="660" w:type="dxa"/>
            <w:vAlign w:val="bottom"/>
            <w:tcBorders>
              <w:bottom w:val="single" w:sz="8" w:color="D8D7D7"/>
            </w:tcBorders>
          </w:tcPr>
          <w:p>
            <w:pPr>
              <w:ind w:left="160"/>
              <w:spacing w:after="0"/>
              <w:rPr>
                <w:sz w:val="20"/>
                <w:szCs w:val="20"/>
                <w:color w:val="auto"/>
              </w:rPr>
            </w:pPr>
            <w:r>
              <w:rPr>
                <w:rFonts w:ascii="Arial" w:cs="Arial" w:eastAsia="Arial" w:hAnsi="Arial"/>
                <w:sz w:val="13"/>
                <w:szCs w:val="13"/>
                <w:color w:val="auto"/>
              </w:rPr>
              <w:t>161,135</w:t>
            </w:r>
          </w:p>
        </w:tc>
        <w:tc>
          <w:tcPr>
            <w:tcW w:w="300" w:type="dxa"/>
            <w:vAlign w:val="bottom"/>
            <w:tcBorders>
              <w:bottom w:val="single" w:sz="8" w:color="D8D7D7"/>
            </w:tcBorders>
          </w:tcPr>
          <w:p>
            <w:pPr>
              <w:ind w:left="20"/>
              <w:spacing w:after="0"/>
              <w:rPr>
                <w:sz w:val="20"/>
                <w:szCs w:val="20"/>
                <w:color w:val="auto"/>
              </w:rPr>
            </w:pPr>
            <w:r>
              <w:rPr>
                <w:rFonts w:ascii="Arial" w:cs="Arial" w:eastAsia="Arial" w:hAnsi="Arial"/>
                <w:sz w:val="9"/>
                <w:szCs w:val="9"/>
                <w:color w:val="auto"/>
              </w:rPr>
              <w:t>(8)</w:t>
            </w:r>
          </w:p>
        </w:tc>
        <w:tc>
          <w:tcPr>
            <w:tcW w:w="840" w:type="dxa"/>
            <w:vAlign w:val="bottom"/>
            <w:tcBorders>
              <w:bottom w:val="single" w:sz="8" w:color="D8D7D7"/>
            </w:tcBorders>
          </w:tcPr>
          <w:p>
            <w:pPr>
              <w:jc w:val="center"/>
              <w:spacing w:after="0"/>
              <w:rPr>
                <w:sz w:val="20"/>
                <w:szCs w:val="20"/>
                <w:color w:val="auto"/>
              </w:rPr>
            </w:pPr>
            <w:r>
              <w:rPr>
                <w:rFonts w:ascii="Arial" w:cs="Arial" w:eastAsia="Arial" w:hAnsi="Arial"/>
                <w:sz w:val="13"/>
                <w:szCs w:val="13"/>
                <w:color w:val="auto"/>
              </w:rPr>
              <w:t>13,103,498</w:t>
            </w:r>
          </w:p>
        </w:tc>
        <w:tc>
          <w:tcPr>
            <w:tcW w:w="260" w:type="dxa"/>
            <w:vAlign w:val="bottom"/>
            <w:tcBorders>
              <w:bottom w:val="single" w:sz="8" w:color="D8D7D7"/>
            </w:tcBorders>
          </w:tcPr>
          <w:p>
            <w:pPr>
              <w:ind w:left="40"/>
              <w:spacing w:after="0"/>
              <w:rPr>
                <w:sz w:val="20"/>
                <w:szCs w:val="20"/>
                <w:color w:val="auto"/>
              </w:rPr>
            </w:pPr>
            <w:r>
              <w:rPr>
                <w:rFonts w:ascii="Arial" w:cs="Arial" w:eastAsia="Arial" w:hAnsi="Arial"/>
                <w:sz w:val="9"/>
                <w:szCs w:val="9"/>
                <w:color w:val="auto"/>
              </w:rPr>
              <w:t>(10)</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8D7D7"/>
            </w:tcBorders>
          </w:tcPr>
          <w:p>
            <w:pPr>
              <w:spacing w:after="0"/>
              <w:rPr>
                <w:sz w:val="18"/>
                <w:szCs w:val="18"/>
                <w:color w:val="auto"/>
              </w:rPr>
            </w:pPr>
          </w:p>
        </w:tc>
        <w:tc>
          <w:tcPr>
            <w:tcW w:w="820" w:type="dxa"/>
            <w:vAlign w:val="bottom"/>
            <w:tcBorders>
              <w:bottom w:val="single" w:sz="8" w:color="D8D7D7"/>
            </w:tcBorders>
          </w:tcPr>
          <w:p>
            <w:pPr>
              <w:jc w:val="right"/>
              <w:ind w:right="93"/>
              <w:spacing w:after="0"/>
              <w:rPr>
                <w:sz w:val="20"/>
                <w:szCs w:val="20"/>
                <w:color w:val="auto"/>
              </w:rPr>
            </w:pPr>
            <w:r>
              <w:rPr>
                <w:rFonts w:ascii="Arial" w:cs="Arial" w:eastAsia="Arial" w:hAnsi="Arial"/>
                <w:sz w:val="13"/>
                <w:szCs w:val="13"/>
                <w:color w:val="auto"/>
              </w:rPr>
              <w:t>2/7/2023</w:t>
            </w:r>
          </w:p>
        </w:tc>
        <w:tc>
          <w:tcPr>
            <w:tcW w:w="880" w:type="dxa"/>
            <w:vAlign w:val="bottom"/>
            <w:tcBorders>
              <w:bottom w:val="single" w:sz="8" w:color="D8D7D7"/>
            </w:tcBorders>
          </w:tcPr>
          <w:p>
            <w:pPr>
              <w:jc w:val="right"/>
              <w:ind w:right="14"/>
              <w:spacing w:after="0"/>
              <w:rPr>
                <w:sz w:val="20"/>
                <w:szCs w:val="20"/>
                <w:color w:val="auto"/>
              </w:rPr>
            </w:pPr>
            <w:r>
              <w:rPr>
                <w:rFonts w:ascii="Arial" w:cs="Arial" w:eastAsia="Arial" w:hAnsi="Arial"/>
                <w:sz w:val="13"/>
                <w:szCs w:val="13"/>
                <w:color w:val="auto"/>
              </w:rPr>
              <w:t>103,618</w:t>
            </w:r>
          </w:p>
        </w:tc>
        <w:tc>
          <w:tcPr>
            <w:tcW w:w="70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51,808</w:t>
            </w:r>
          </w:p>
        </w:tc>
        <w:tc>
          <w:tcPr>
            <w:tcW w:w="20" w:type="dxa"/>
            <w:vAlign w:val="bottom"/>
            <w:tcBorders>
              <w:bottom w:val="single" w:sz="8" w:color="D8D7D7"/>
            </w:tcBorders>
          </w:tcPr>
          <w:p>
            <w:pPr>
              <w:spacing w:after="0"/>
              <w:rPr>
                <w:sz w:val="18"/>
                <w:szCs w:val="18"/>
                <w:color w:val="auto"/>
              </w:rPr>
            </w:pPr>
          </w:p>
        </w:tc>
        <w:tc>
          <w:tcPr>
            <w:tcW w:w="200" w:type="dxa"/>
            <w:vAlign w:val="bottom"/>
            <w:tcBorders>
              <w:bottom w:val="single" w:sz="8" w:color="D8D7D7"/>
            </w:tcBorders>
          </w:tcPr>
          <w:p>
            <w:pPr>
              <w:jc w:val="right"/>
              <w:ind w:right="16"/>
              <w:spacing w:after="0"/>
              <w:rPr>
                <w:sz w:val="20"/>
                <w:szCs w:val="20"/>
                <w:color w:val="auto"/>
              </w:rPr>
            </w:pPr>
            <w:r>
              <w:rPr>
                <w:rFonts w:ascii="Arial" w:cs="Arial" w:eastAsia="Arial" w:hAnsi="Arial"/>
                <w:sz w:val="9"/>
                <w:szCs w:val="9"/>
                <w:color w:val="auto"/>
              </w:rPr>
              <w:t>(4)</w:t>
            </w:r>
          </w:p>
        </w:tc>
        <w:tc>
          <w:tcPr>
            <w:tcW w:w="680" w:type="dxa"/>
            <w:vAlign w:val="bottom"/>
            <w:tcBorders>
              <w:bottom w:val="single" w:sz="8" w:color="D8D7D7"/>
            </w:tcBorders>
          </w:tcPr>
          <w:p>
            <w:pPr>
              <w:jc w:val="right"/>
              <w:ind w:right="54"/>
              <w:spacing w:after="0"/>
              <w:rPr>
                <w:sz w:val="20"/>
                <w:szCs w:val="20"/>
                <w:color w:val="auto"/>
              </w:rPr>
            </w:pPr>
            <w:r>
              <w:rPr>
                <w:rFonts w:ascii="Arial" w:cs="Arial" w:eastAsia="Arial" w:hAnsi="Arial"/>
                <w:sz w:val="13"/>
                <w:szCs w:val="13"/>
                <w:color w:val="auto"/>
              </w:rPr>
              <w:t>41.40</w:t>
            </w:r>
          </w:p>
        </w:tc>
        <w:tc>
          <w:tcPr>
            <w:tcW w:w="700" w:type="dxa"/>
            <w:vAlign w:val="bottom"/>
            <w:tcBorders>
              <w:bottom w:val="single" w:sz="8" w:color="D8D7D7"/>
            </w:tcBorders>
          </w:tcPr>
          <w:p>
            <w:pPr>
              <w:ind w:left="40"/>
              <w:spacing w:after="0"/>
              <w:rPr>
                <w:sz w:val="20"/>
                <w:szCs w:val="20"/>
                <w:color w:val="auto"/>
              </w:rPr>
            </w:pPr>
            <w:r>
              <w:rPr>
                <w:rFonts w:ascii="Arial" w:cs="Arial" w:eastAsia="Arial" w:hAnsi="Arial"/>
                <w:sz w:val="13"/>
                <w:szCs w:val="13"/>
                <w:color w:val="auto"/>
              </w:rPr>
              <w:t>2/7/2033</w:t>
            </w:r>
          </w:p>
        </w:tc>
        <w:tc>
          <w:tcPr>
            <w:tcW w:w="60" w:type="dxa"/>
            <w:vAlign w:val="bottom"/>
            <w:tcBorders>
              <w:bottom w:val="single" w:sz="8" w:color="D8D7D7"/>
            </w:tcBorders>
          </w:tcPr>
          <w:p>
            <w:pPr>
              <w:spacing w:after="0"/>
              <w:rPr>
                <w:sz w:val="18"/>
                <w:szCs w:val="18"/>
                <w:color w:val="auto"/>
              </w:rPr>
            </w:pPr>
          </w:p>
        </w:tc>
        <w:tc>
          <w:tcPr>
            <w:tcW w:w="6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220,753</w:t>
            </w:r>
          </w:p>
        </w:tc>
        <w:tc>
          <w:tcPr>
            <w:tcW w:w="260" w:type="dxa"/>
            <w:vAlign w:val="bottom"/>
            <w:tcBorders>
              <w:bottom w:val="single" w:sz="8" w:color="D8D7D7"/>
            </w:tcBorders>
          </w:tcPr>
          <w:p>
            <w:pPr>
              <w:jc w:val="right"/>
              <w:ind w:right="55"/>
              <w:spacing w:after="0"/>
              <w:rPr>
                <w:sz w:val="20"/>
                <w:szCs w:val="20"/>
                <w:color w:val="auto"/>
              </w:rPr>
            </w:pPr>
            <w:r>
              <w:rPr>
                <w:rFonts w:ascii="Arial" w:cs="Arial" w:eastAsia="Arial" w:hAnsi="Arial"/>
                <w:sz w:val="9"/>
                <w:szCs w:val="9"/>
                <w:color w:val="auto"/>
              </w:rPr>
              <w:t>(5)</w:t>
            </w:r>
          </w:p>
        </w:tc>
        <w:tc>
          <w:tcPr>
            <w:tcW w:w="880" w:type="dxa"/>
            <w:vAlign w:val="bottom"/>
            <w:tcBorders>
              <w:bottom w:val="single" w:sz="8" w:color="D8D7D7"/>
            </w:tcBorders>
          </w:tcPr>
          <w:p>
            <w:pPr>
              <w:jc w:val="right"/>
              <w:ind w:right="14"/>
              <w:spacing w:after="0"/>
              <w:rPr>
                <w:sz w:val="20"/>
                <w:szCs w:val="20"/>
                <w:color w:val="auto"/>
              </w:rPr>
            </w:pPr>
            <w:r>
              <w:rPr>
                <w:rFonts w:ascii="Arial" w:cs="Arial" w:eastAsia="Arial" w:hAnsi="Arial"/>
                <w:sz w:val="13"/>
                <w:szCs w:val="13"/>
                <w:color w:val="auto"/>
              </w:rPr>
              <w:t>17,951,634</w:t>
            </w:r>
          </w:p>
        </w:tc>
        <w:tc>
          <w:tcPr>
            <w:tcW w:w="660" w:type="dxa"/>
            <w:vAlign w:val="bottom"/>
            <w:tcBorders>
              <w:bottom w:val="single" w:sz="8" w:color="D8D7D7"/>
            </w:tcBorders>
          </w:tcPr>
          <w:p>
            <w:pPr>
              <w:spacing w:after="0"/>
              <w:rPr>
                <w:sz w:val="18"/>
                <w:szCs w:val="18"/>
                <w:color w:val="auto"/>
              </w:rPr>
            </w:pPr>
          </w:p>
        </w:tc>
        <w:tc>
          <w:tcPr>
            <w:tcW w:w="300" w:type="dxa"/>
            <w:vAlign w:val="bottom"/>
            <w:tcBorders>
              <w:bottom w:val="single" w:sz="8" w:color="D8D7D7"/>
            </w:tcBorders>
          </w:tcPr>
          <w:p>
            <w:pPr>
              <w:spacing w:after="0"/>
              <w:rPr>
                <w:sz w:val="18"/>
                <w:szCs w:val="18"/>
                <w:color w:val="auto"/>
              </w:rPr>
            </w:pPr>
          </w:p>
        </w:tc>
        <w:tc>
          <w:tcPr>
            <w:tcW w:w="840" w:type="dxa"/>
            <w:vAlign w:val="bottom"/>
            <w:tcBorders>
              <w:bottom w:val="single" w:sz="8" w:color="D8D7D7"/>
            </w:tcBorders>
          </w:tcPr>
          <w:p>
            <w:pPr>
              <w:spacing w:after="0"/>
              <w:rPr>
                <w:sz w:val="18"/>
                <w:szCs w:val="18"/>
                <w:color w:val="auto"/>
              </w:rPr>
            </w:pPr>
          </w:p>
        </w:tc>
        <w:tc>
          <w:tcPr>
            <w:tcW w:w="260" w:type="dxa"/>
            <w:vAlign w:val="bottom"/>
            <w:tcBorders>
              <w:bottom w:val="single" w:sz="8" w:color="D8D7D7"/>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00" w:type="dxa"/>
            <w:vAlign w:val="bottom"/>
          </w:tcPr>
          <w:p>
            <w:pPr>
              <w:ind w:left="60"/>
              <w:spacing w:after="0"/>
              <w:rPr>
                <w:sz w:val="20"/>
                <w:szCs w:val="20"/>
                <w:color w:val="auto"/>
              </w:rPr>
            </w:pPr>
            <w:r>
              <w:rPr>
                <w:rFonts w:ascii="Arial" w:cs="Arial" w:eastAsia="Arial" w:hAnsi="Arial"/>
                <w:sz w:val="13"/>
                <w:szCs w:val="13"/>
                <w:b w:val="1"/>
                <w:bCs w:val="1"/>
                <w:color w:val="0956FF"/>
              </w:rPr>
              <w:t>Mark L. Reuss</w:t>
            </w:r>
          </w:p>
        </w:tc>
        <w:tc>
          <w:tcPr>
            <w:tcW w:w="820" w:type="dxa"/>
            <w:vAlign w:val="bottom"/>
          </w:tcPr>
          <w:p>
            <w:pPr>
              <w:jc w:val="right"/>
              <w:ind w:right="113"/>
              <w:spacing w:after="0"/>
              <w:rPr>
                <w:sz w:val="20"/>
                <w:szCs w:val="20"/>
                <w:color w:val="auto"/>
              </w:rPr>
            </w:pPr>
            <w:r>
              <w:rPr>
                <w:rFonts w:ascii="Arial" w:cs="Arial" w:eastAsia="Arial" w:hAnsi="Arial"/>
                <w:sz w:val="13"/>
                <w:szCs w:val="13"/>
                <w:color w:val="auto"/>
              </w:rPr>
              <w:t>2/4/2025</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74,442</w:t>
            </w:r>
          </w:p>
        </w:tc>
        <w:tc>
          <w:tcPr>
            <w:tcW w:w="260" w:type="dxa"/>
            <w:vAlign w:val="bottom"/>
          </w:tcPr>
          <w:p>
            <w:pPr>
              <w:jc w:val="right"/>
              <w:ind w:right="55"/>
              <w:spacing w:after="0"/>
              <w:rPr>
                <w:sz w:val="20"/>
                <w:szCs w:val="20"/>
                <w:color w:val="auto"/>
              </w:rPr>
            </w:pPr>
            <w:r>
              <w:rPr>
                <w:rFonts w:ascii="Arial" w:cs="Arial" w:eastAsia="Arial" w:hAnsi="Arial"/>
                <w:sz w:val="9"/>
                <w:szCs w:val="9"/>
                <w:color w:val="auto"/>
              </w:rPr>
              <w:t>(2)</w:t>
            </w:r>
          </w:p>
        </w:tc>
        <w:tc>
          <w:tcPr>
            <w:tcW w:w="880" w:type="dxa"/>
            <w:vAlign w:val="bottom"/>
          </w:tcPr>
          <w:p>
            <w:pPr>
              <w:jc w:val="right"/>
              <w:ind w:right="74"/>
              <w:spacing w:after="0"/>
              <w:rPr>
                <w:sz w:val="20"/>
                <w:szCs w:val="20"/>
                <w:color w:val="auto"/>
              </w:rPr>
            </w:pPr>
            <w:r>
              <w:rPr>
                <w:rFonts w:ascii="Arial" w:cs="Arial" w:eastAsia="Arial" w:hAnsi="Arial"/>
                <w:sz w:val="13"/>
                <w:szCs w:val="13"/>
                <w:color w:val="auto"/>
              </w:rPr>
              <w:t>6,053,623</w:t>
            </w:r>
          </w:p>
        </w:tc>
        <w:tc>
          <w:tcPr>
            <w:tcW w:w="660" w:type="dxa"/>
            <w:vAlign w:val="bottom"/>
          </w:tcPr>
          <w:p>
            <w:pPr>
              <w:ind w:left="80"/>
              <w:spacing w:after="0"/>
              <w:rPr>
                <w:sz w:val="20"/>
                <w:szCs w:val="20"/>
                <w:color w:val="auto"/>
              </w:rPr>
            </w:pPr>
            <w:r>
              <w:rPr>
                <w:rFonts w:ascii="Arial" w:cs="Arial" w:eastAsia="Arial" w:hAnsi="Arial"/>
                <w:sz w:val="13"/>
                <w:szCs w:val="13"/>
                <w:color w:val="auto"/>
              </w:rPr>
              <w:t>223,325</w:t>
            </w:r>
          </w:p>
        </w:tc>
        <w:tc>
          <w:tcPr>
            <w:tcW w:w="300" w:type="dxa"/>
            <w:vAlign w:val="bottom"/>
          </w:tcPr>
          <w:p>
            <w:pPr>
              <w:ind w:left="20"/>
              <w:spacing w:after="0"/>
              <w:rPr>
                <w:sz w:val="20"/>
                <w:szCs w:val="20"/>
                <w:color w:val="auto"/>
              </w:rPr>
            </w:pPr>
            <w:r>
              <w:rPr>
                <w:rFonts w:ascii="Arial" w:cs="Arial" w:eastAsia="Arial" w:hAnsi="Arial"/>
                <w:sz w:val="9"/>
                <w:szCs w:val="9"/>
                <w:color w:val="auto"/>
              </w:rPr>
              <w:t>(7)</w:t>
            </w:r>
          </w:p>
        </w:tc>
        <w:tc>
          <w:tcPr>
            <w:tcW w:w="840" w:type="dxa"/>
            <w:vAlign w:val="bottom"/>
          </w:tcPr>
          <w:p>
            <w:pPr>
              <w:jc w:val="right"/>
              <w:spacing w:after="0"/>
              <w:rPr>
                <w:sz w:val="20"/>
                <w:szCs w:val="20"/>
                <w:color w:val="auto"/>
              </w:rPr>
            </w:pPr>
            <w:r>
              <w:rPr>
                <w:rFonts w:ascii="Arial" w:cs="Arial" w:eastAsia="Arial" w:hAnsi="Arial"/>
                <w:sz w:val="13"/>
                <w:szCs w:val="13"/>
                <w:color w:val="auto"/>
              </w:rPr>
              <w:t>18,160,789</w:t>
            </w:r>
          </w:p>
        </w:tc>
        <w:tc>
          <w:tcPr>
            <w:tcW w:w="260" w:type="dxa"/>
            <w:vAlign w:val="bottom"/>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D8D7D7"/>
          </w:tcPr>
          <w:p>
            <w:pPr>
              <w:spacing w:after="0" w:line="20" w:lineRule="exact"/>
              <w:rPr>
                <w:sz w:val="1"/>
                <w:szCs w:val="1"/>
                <w:color w:val="auto"/>
              </w:rPr>
            </w:pPr>
          </w:p>
        </w:tc>
        <w:tc>
          <w:tcPr>
            <w:tcW w:w="880" w:type="dxa"/>
            <w:vAlign w:val="bottom"/>
            <w:shd w:val="clear" w:color="auto" w:fill="D8D7D7"/>
          </w:tcPr>
          <w:p>
            <w:pPr>
              <w:spacing w:after="0" w:line="20" w:lineRule="exact"/>
              <w:rPr>
                <w:sz w:val="1"/>
                <w:szCs w:val="1"/>
                <w:color w:val="auto"/>
              </w:rPr>
            </w:pPr>
          </w:p>
        </w:tc>
        <w:tc>
          <w:tcPr>
            <w:tcW w:w="700" w:type="dxa"/>
            <w:vAlign w:val="bottom"/>
            <w:shd w:val="clear" w:color="auto" w:fill="D8D7D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D8D7D7"/>
          </w:tcPr>
          <w:p>
            <w:pPr>
              <w:spacing w:after="0" w:line="20" w:lineRule="exact"/>
              <w:rPr>
                <w:sz w:val="1"/>
                <w:szCs w:val="1"/>
                <w:color w:val="auto"/>
              </w:rPr>
            </w:pPr>
          </w:p>
        </w:tc>
        <w:tc>
          <w:tcPr>
            <w:tcW w:w="700" w:type="dxa"/>
            <w:vAlign w:val="bottom"/>
            <w:shd w:val="clear" w:color="auto" w:fill="D8D7D7"/>
          </w:tcPr>
          <w:p>
            <w:pPr>
              <w:spacing w:after="0" w:line="20" w:lineRule="exact"/>
              <w:rPr>
                <w:sz w:val="1"/>
                <w:szCs w:val="1"/>
                <w:color w:val="auto"/>
              </w:rPr>
            </w:pPr>
          </w:p>
        </w:tc>
        <w:tc>
          <w:tcPr>
            <w:tcW w:w="60" w:type="dxa"/>
            <w:vAlign w:val="bottom"/>
            <w:shd w:val="clear" w:color="auto" w:fill="D8D7D7"/>
          </w:tcPr>
          <w:p>
            <w:pPr>
              <w:spacing w:after="0" w:line="20" w:lineRule="exact"/>
              <w:rPr>
                <w:sz w:val="1"/>
                <w:szCs w:val="1"/>
                <w:color w:val="auto"/>
              </w:rPr>
            </w:pPr>
          </w:p>
        </w:tc>
        <w:tc>
          <w:tcPr>
            <w:tcW w:w="880" w:type="dxa"/>
            <w:vAlign w:val="bottom"/>
            <w:gridSpan w:val="2"/>
            <w:shd w:val="clear" w:color="auto" w:fill="D8D7D7"/>
          </w:tcPr>
          <w:p>
            <w:pPr>
              <w:spacing w:after="0" w:line="20" w:lineRule="exact"/>
              <w:rPr>
                <w:sz w:val="1"/>
                <w:szCs w:val="1"/>
                <w:color w:val="auto"/>
              </w:rPr>
            </w:pPr>
          </w:p>
        </w:tc>
        <w:tc>
          <w:tcPr>
            <w:tcW w:w="880" w:type="dxa"/>
            <w:vAlign w:val="bottom"/>
            <w:shd w:val="clear" w:color="auto" w:fill="D8D7D7"/>
          </w:tcPr>
          <w:p>
            <w:pPr>
              <w:spacing w:after="0" w:line="20" w:lineRule="exact"/>
              <w:rPr>
                <w:sz w:val="1"/>
                <w:szCs w:val="1"/>
                <w:color w:val="auto"/>
              </w:rPr>
            </w:pPr>
          </w:p>
        </w:tc>
        <w:tc>
          <w:tcPr>
            <w:tcW w:w="660" w:type="dxa"/>
            <w:vAlign w:val="bottom"/>
            <w:shd w:val="clear" w:color="auto" w:fill="D8D7D7"/>
          </w:tcPr>
          <w:p>
            <w:pPr>
              <w:spacing w:after="0" w:line="20" w:lineRule="exact"/>
              <w:rPr>
                <w:sz w:val="1"/>
                <w:szCs w:val="1"/>
                <w:color w:val="auto"/>
              </w:rPr>
            </w:pPr>
          </w:p>
        </w:tc>
        <w:tc>
          <w:tcPr>
            <w:tcW w:w="300" w:type="dxa"/>
            <w:vAlign w:val="bottom"/>
            <w:shd w:val="clear" w:color="auto" w:fill="D8D7D7"/>
          </w:tcPr>
          <w:p>
            <w:pPr>
              <w:spacing w:after="0" w:line="20" w:lineRule="exact"/>
              <w:rPr>
                <w:sz w:val="1"/>
                <w:szCs w:val="1"/>
                <w:color w:val="auto"/>
              </w:rPr>
            </w:pPr>
          </w:p>
        </w:tc>
        <w:tc>
          <w:tcPr>
            <w:tcW w:w="840" w:type="dxa"/>
            <w:vAlign w:val="bottom"/>
            <w:shd w:val="clear" w:color="auto" w:fill="D8D7D7"/>
          </w:tcPr>
          <w:p>
            <w:pPr>
              <w:spacing w:after="0" w:line="20" w:lineRule="exact"/>
              <w:rPr>
                <w:sz w:val="1"/>
                <w:szCs w:val="1"/>
                <w:color w:val="auto"/>
              </w:rPr>
            </w:pPr>
          </w:p>
        </w:tc>
        <w:tc>
          <w:tcPr>
            <w:tcW w:w="260" w:type="dxa"/>
            <w:vAlign w:val="bottom"/>
            <w:shd w:val="clear" w:color="auto" w:fill="D8D7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200" w:type="dxa"/>
            <w:vAlign w:val="bottom"/>
          </w:tcPr>
          <w:p>
            <w:pPr>
              <w:spacing w:after="0"/>
              <w:rPr>
                <w:sz w:val="18"/>
                <w:szCs w:val="18"/>
                <w:color w:val="auto"/>
              </w:rPr>
            </w:pPr>
          </w:p>
        </w:tc>
        <w:tc>
          <w:tcPr>
            <w:tcW w:w="820" w:type="dxa"/>
            <w:vAlign w:val="bottom"/>
          </w:tcPr>
          <w:p>
            <w:pPr>
              <w:jc w:val="right"/>
              <w:ind w:right="113"/>
              <w:spacing w:after="0"/>
              <w:rPr>
                <w:sz w:val="20"/>
                <w:szCs w:val="20"/>
                <w:color w:val="auto"/>
              </w:rPr>
            </w:pPr>
            <w:r>
              <w:rPr>
                <w:rFonts w:ascii="Arial" w:cs="Arial" w:eastAsia="Arial" w:hAnsi="Arial"/>
                <w:sz w:val="13"/>
                <w:szCs w:val="13"/>
                <w:color w:val="auto"/>
              </w:rPr>
              <w:t>2/6/2024</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55"/>
              <w:spacing w:after="0"/>
              <w:rPr>
                <w:sz w:val="20"/>
                <w:szCs w:val="20"/>
                <w:color w:val="auto"/>
              </w:rPr>
            </w:pPr>
            <w:r>
              <w:rPr>
                <w:rFonts w:ascii="Arial" w:cs="Arial" w:eastAsia="Arial" w:hAnsi="Arial"/>
                <w:sz w:val="13"/>
                <w:szCs w:val="13"/>
                <w:color w:val="auto"/>
              </w:rPr>
              <w:t xml:space="preserve">61,191 </w:t>
            </w:r>
            <w:r>
              <w:rPr>
                <w:rFonts w:ascii="Arial" w:cs="Arial" w:eastAsia="Arial" w:hAnsi="Arial"/>
                <w:sz w:val="17"/>
                <w:szCs w:val="17"/>
                <w:color w:val="auto"/>
                <w:vertAlign w:val="superscript"/>
              </w:rPr>
              <w:t>(3)</w:t>
            </w:r>
          </w:p>
        </w:tc>
        <w:tc>
          <w:tcPr>
            <w:tcW w:w="880" w:type="dxa"/>
            <w:vAlign w:val="bottom"/>
          </w:tcPr>
          <w:p>
            <w:pPr>
              <w:jc w:val="right"/>
              <w:ind w:right="74"/>
              <w:spacing w:after="0"/>
              <w:rPr>
                <w:sz w:val="20"/>
                <w:szCs w:val="20"/>
                <w:color w:val="auto"/>
              </w:rPr>
            </w:pPr>
            <w:r>
              <w:rPr>
                <w:rFonts w:ascii="Arial" w:cs="Arial" w:eastAsia="Arial" w:hAnsi="Arial"/>
                <w:sz w:val="13"/>
                <w:szCs w:val="13"/>
                <w:color w:val="auto"/>
              </w:rPr>
              <w:t>4,976,052</w:t>
            </w:r>
          </w:p>
        </w:tc>
        <w:tc>
          <w:tcPr>
            <w:tcW w:w="660" w:type="dxa"/>
            <w:vAlign w:val="bottom"/>
          </w:tcPr>
          <w:p>
            <w:pPr>
              <w:ind w:left="120"/>
              <w:spacing w:after="0"/>
              <w:rPr>
                <w:sz w:val="20"/>
                <w:szCs w:val="20"/>
                <w:color w:val="auto"/>
              </w:rPr>
            </w:pPr>
            <w:r>
              <w:rPr>
                <w:rFonts w:ascii="Arial" w:cs="Arial" w:eastAsia="Arial" w:hAnsi="Arial"/>
                <w:sz w:val="13"/>
                <w:szCs w:val="13"/>
                <w:color w:val="auto"/>
              </w:rPr>
              <w:t>241,918</w:t>
            </w:r>
          </w:p>
        </w:tc>
        <w:tc>
          <w:tcPr>
            <w:tcW w:w="300" w:type="dxa"/>
            <w:vAlign w:val="bottom"/>
          </w:tcPr>
          <w:p>
            <w:pPr>
              <w:ind w:left="20"/>
              <w:spacing w:after="0"/>
              <w:rPr>
                <w:sz w:val="20"/>
                <w:szCs w:val="20"/>
                <w:color w:val="auto"/>
              </w:rPr>
            </w:pPr>
            <w:r>
              <w:rPr>
                <w:rFonts w:ascii="Arial" w:cs="Arial" w:eastAsia="Arial" w:hAnsi="Arial"/>
                <w:sz w:val="9"/>
                <w:szCs w:val="9"/>
                <w:color w:val="auto"/>
              </w:rPr>
              <w:t>(8)</w:t>
            </w:r>
          </w:p>
        </w:tc>
        <w:tc>
          <w:tcPr>
            <w:tcW w:w="840" w:type="dxa"/>
            <w:vAlign w:val="bottom"/>
          </w:tcPr>
          <w:p>
            <w:pPr>
              <w:jc w:val="right"/>
              <w:spacing w:after="0"/>
              <w:rPr>
                <w:sz w:val="20"/>
                <w:szCs w:val="20"/>
                <w:color w:val="auto"/>
              </w:rPr>
            </w:pPr>
            <w:r>
              <w:rPr>
                <w:rFonts w:ascii="Arial" w:cs="Arial" w:eastAsia="Arial" w:hAnsi="Arial"/>
                <w:sz w:val="13"/>
                <w:szCs w:val="13"/>
                <w:color w:val="auto"/>
              </w:rPr>
              <w:t>19,672,772</w:t>
            </w:r>
          </w:p>
        </w:tc>
        <w:tc>
          <w:tcPr>
            <w:tcW w:w="260" w:type="dxa"/>
            <w:vAlign w:val="bottom"/>
          </w:tcPr>
          <w:p>
            <w:pPr>
              <w:ind w:left="40"/>
              <w:spacing w:after="0"/>
              <w:rPr>
                <w:sz w:val="20"/>
                <w:szCs w:val="20"/>
                <w:color w:val="auto"/>
              </w:rPr>
            </w:pPr>
            <w:r>
              <w:rPr>
                <w:rFonts w:ascii="Arial" w:cs="Arial" w:eastAsia="Arial" w:hAnsi="Arial"/>
                <w:sz w:val="9"/>
                <w:szCs w:val="9"/>
                <w:color w:val="auto"/>
              </w:rPr>
              <w:t>(10)</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D8D7D7"/>
            </w:tcBorders>
          </w:tcPr>
          <w:p>
            <w:pPr>
              <w:spacing w:after="0"/>
              <w:rPr>
                <w:sz w:val="17"/>
                <w:szCs w:val="17"/>
                <w:color w:val="auto"/>
              </w:rPr>
            </w:pPr>
          </w:p>
        </w:tc>
        <w:tc>
          <w:tcPr>
            <w:tcW w:w="820" w:type="dxa"/>
            <w:vAlign w:val="bottom"/>
            <w:tcBorders>
              <w:top w:val="single" w:sz="8" w:color="D8D7D7"/>
              <w:bottom w:val="single" w:sz="8" w:color="D8D7D7"/>
            </w:tcBorders>
          </w:tcPr>
          <w:p>
            <w:pPr>
              <w:jc w:val="right"/>
              <w:ind w:right="93"/>
              <w:spacing w:after="0"/>
              <w:rPr>
                <w:sz w:val="20"/>
                <w:szCs w:val="20"/>
                <w:color w:val="auto"/>
              </w:rPr>
            </w:pPr>
            <w:r>
              <w:rPr>
                <w:rFonts w:ascii="Arial" w:cs="Arial" w:eastAsia="Arial" w:hAnsi="Arial"/>
                <w:sz w:val="13"/>
                <w:szCs w:val="13"/>
                <w:color w:val="auto"/>
              </w:rPr>
              <w:t>2/7/2023</w:t>
            </w:r>
          </w:p>
        </w:tc>
        <w:tc>
          <w:tcPr>
            <w:tcW w:w="880" w:type="dxa"/>
            <w:vAlign w:val="bottom"/>
            <w:tcBorders>
              <w:top w:val="single" w:sz="8" w:color="D8D7D7"/>
              <w:bottom w:val="single" w:sz="8" w:color="D8D7D7"/>
            </w:tcBorders>
          </w:tcPr>
          <w:p>
            <w:pPr>
              <w:jc w:val="right"/>
              <w:ind w:right="14"/>
              <w:spacing w:after="0"/>
              <w:rPr>
                <w:sz w:val="20"/>
                <w:szCs w:val="20"/>
                <w:color w:val="auto"/>
              </w:rPr>
            </w:pPr>
            <w:r>
              <w:rPr>
                <w:rFonts w:ascii="Arial" w:cs="Arial" w:eastAsia="Arial" w:hAnsi="Arial"/>
                <w:sz w:val="13"/>
                <w:szCs w:val="13"/>
                <w:color w:val="auto"/>
              </w:rPr>
              <w:t>175,365</w:t>
            </w:r>
          </w:p>
        </w:tc>
        <w:tc>
          <w:tcPr>
            <w:tcW w:w="700" w:type="dxa"/>
            <w:vAlign w:val="bottom"/>
            <w:tcBorders>
              <w:top w:val="single" w:sz="8" w:color="D8D7D7"/>
              <w:bottom w:val="single" w:sz="8" w:color="D8D7D7"/>
            </w:tcBorders>
          </w:tcPr>
          <w:p>
            <w:pPr>
              <w:jc w:val="right"/>
              <w:spacing w:after="0"/>
              <w:rPr>
                <w:sz w:val="20"/>
                <w:szCs w:val="20"/>
                <w:color w:val="auto"/>
              </w:rPr>
            </w:pPr>
            <w:r>
              <w:rPr>
                <w:rFonts w:ascii="Arial" w:cs="Arial" w:eastAsia="Arial" w:hAnsi="Arial"/>
                <w:sz w:val="13"/>
                <w:szCs w:val="13"/>
                <w:color w:val="auto"/>
              </w:rPr>
              <w:t>87,682</w:t>
            </w:r>
          </w:p>
        </w:tc>
        <w:tc>
          <w:tcPr>
            <w:tcW w:w="20" w:type="dxa"/>
            <w:vAlign w:val="bottom"/>
            <w:tcBorders>
              <w:bottom w:val="single" w:sz="8" w:color="D8D7D7"/>
            </w:tcBorders>
          </w:tcPr>
          <w:p>
            <w:pPr>
              <w:spacing w:after="0"/>
              <w:rPr>
                <w:sz w:val="17"/>
                <w:szCs w:val="17"/>
                <w:color w:val="auto"/>
              </w:rPr>
            </w:pPr>
          </w:p>
        </w:tc>
        <w:tc>
          <w:tcPr>
            <w:tcW w:w="200" w:type="dxa"/>
            <w:vAlign w:val="bottom"/>
            <w:tcBorders>
              <w:bottom w:val="single" w:sz="8" w:color="D8D7D7"/>
            </w:tcBorders>
          </w:tcPr>
          <w:p>
            <w:pPr>
              <w:jc w:val="right"/>
              <w:ind w:right="16"/>
              <w:spacing w:after="0"/>
              <w:rPr>
                <w:sz w:val="20"/>
                <w:szCs w:val="20"/>
                <w:color w:val="auto"/>
              </w:rPr>
            </w:pPr>
            <w:r>
              <w:rPr>
                <w:rFonts w:ascii="Arial" w:cs="Arial" w:eastAsia="Arial" w:hAnsi="Arial"/>
                <w:sz w:val="9"/>
                <w:szCs w:val="9"/>
                <w:color w:val="auto"/>
              </w:rPr>
              <w:t>(4)</w:t>
            </w:r>
          </w:p>
        </w:tc>
        <w:tc>
          <w:tcPr>
            <w:tcW w:w="680" w:type="dxa"/>
            <w:vAlign w:val="bottom"/>
            <w:tcBorders>
              <w:top w:val="single" w:sz="8" w:color="D8D7D7"/>
              <w:bottom w:val="single" w:sz="8" w:color="D8D7D7"/>
            </w:tcBorders>
          </w:tcPr>
          <w:p>
            <w:pPr>
              <w:jc w:val="right"/>
              <w:ind w:right="54"/>
              <w:spacing w:after="0"/>
              <w:rPr>
                <w:sz w:val="20"/>
                <w:szCs w:val="20"/>
                <w:color w:val="auto"/>
              </w:rPr>
            </w:pPr>
            <w:r>
              <w:rPr>
                <w:rFonts w:ascii="Arial" w:cs="Arial" w:eastAsia="Arial" w:hAnsi="Arial"/>
                <w:sz w:val="13"/>
                <w:szCs w:val="13"/>
                <w:color w:val="auto"/>
              </w:rPr>
              <w:t>41.40</w:t>
            </w:r>
          </w:p>
        </w:tc>
        <w:tc>
          <w:tcPr>
            <w:tcW w:w="700" w:type="dxa"/>
            <w:vAlign w:val="bottom"/>
            <w:tcBorders>
              <w:top w:val="single" w:sz="8" w:color="D8D7D7"/>
              <w:bottom w:val="single" w:sz="8" w:color="D8D7D7"/>
            </w:tcBorders>
          </w:tcPr>
          <w:p>
            <w:pPr>
              <w:ind w:left="40"/>
              <w:spacing w:after="0"/>
              <w:rPr>
                <w:sz w:val="20"/>
                <w:szCs w:val="20"/>
                <w:color w:val="auto"/>
              </w:rPr>
            </w:pPr>
            <w:r>
              <w:rPr>
                <w:rFonts w:ascii="Arial" w:cs="Arial" w:eastAsia="Arial" w:hAnsi="Arial"/>
                <w:sz w:val="13"/>
                <w:szCs w:val="13"/>
                <w:color w:val="auto"/>
              </w:rPr>
              <w:t>2/7/2033</w:t>
            </w:r>
          </w:p>
        </w:tc>
        <w:tc>
          <w:tcPr>
            <w:tcW w:w="60" w:type="dxa"/>
            <w:vAlign w:val="bottom"/>
            <w:tcBorders>
              <w:top w:val="single" w:sz="8" w:color="D8D7D7"/>
              <w:bottom w:val="single" w:sz="8" w:color="D8D7D7"/>
            </w:tcBorders>
          </w:tcPr>
          <w:p>
            <w:pPr>
              <w:spacing w:after="0"/>
              <w:rPr>
                <w:sz w:val="17"/>
                <w:szCs w:val="17"/>
                <w:color w:val="auto"/>
              </w:rPr>
            </w:pPr>
          </w:p>
        </w:tc>
        <w:tc>
          <w:tcPr>
            <w:tcW w:w="620" w:type="dxa"/>
            <w:vAlign w:val="bottom"/>
            <w:tcBorders>
              <w:top w:val="single" w:sz="8" w:color="D8D7D7"/>
              <w:bottom w:val="single" w:sz="8" w:color="D8D7D7"/>
            </w:tcBorders>
          </w:tcPr>
          <w:p>
            <w:pPr>
              <w:jc w:val="right"/>
              <w:spacing w:after="0"/>
              <w:rPr>
                <w:sz w:val="20"/>
                <w:szCs w:val="20"/>
                <w:color w:val="auto"/>
              </w:rPr>
            </w:pPr>
            <w:r>
              <w:rPr>
                <w:rFonts w:ascii="Arial" w:cs="Arial" w:eastAsia="Arial" w:hAnsi="Arial"/>
                <w:sz w:val="13"/>
                <w:szCs w:val="13"/>
                <w:color w:val="auto"/>
              </w:rPr>
              <w:t>373,607</w:t>
            </w:r>
          </w:p>
        </w:tc>
        <w:tc>
          <w:tcPr>
            <w:tcW w:w="260" w:type="dxa"/>
            <w:vAlign w:val="bottom"/>
            <w:tcBorders>
              <w:top w:val="single" w:sz="8" w:color="D8D7D7"/>
              <w:bottom w:val="single" w:sz="8" w:color="D8D7D7"/>
            </w:tcBorders>
          </w:tcPr>
          <w:p>
            <w:pPr>
              <w:jc w:val="right"/>
              <w:ind w:right="55"/>
              <w:spacing w:after="0"/>
              <w:rPr>
                <w:sz w:val="20"/>
                <w:szCs w:val="20"/>
                <w:color w:val="auto"/>
              </w:rPr>
            </w:pPr>
            <w:r>
              <w:rPr>
                <w:rFonts w:ascii="Arial" w:cs="Arial" w:eastAsia="Arial" w:hAnsi="Arial"/>
                <w:sz w:val="9"/>
                <w:szCs w:val="9"/>
                <w:color w:val="auto"/>
              </w:rPr>
              <w:t>(5)</w:t>
            </w:r>
          </w:p>
        </w:tc>
        <w:tc>
          <w:tcPr>
            <w:tcW w:w="880" w:type="dxa"/>
            <w:vAlign w:val="bottom"/>
            <w:tcBorders>
              <w:top w:val="single" w:sz="8" w:color="D8D7D7"/>
              <w:bottom w:val="single" w:sz="8" w:color="D8D7D7"/>
            </w:tcBorders>
          </w:tcPr>
          <w:p>
            <w:pPr>
              <w:jc w:val="right"/>
              <w:ind w:right="14"/>
              <w:spacing w:after="0"/>
              <w:rPr>
                <w:sz w:val="20"/>
                <w:szCs w:val="20"/>
                <w:color w:val="auto"/>
              </w:rPr>
            </w:pPr>
            <w:r>
              <w:rPr>
                <w:rFonts w:ascii="Arial" w:cs="Arial" w:eastAsia="Arial" w:hAnsi="Arial"/>
                <w:sz w:val="13"/>
                <w:szCs w:val="13"/>
                <w:color w:val="auto"/>
              </w:rPr>
              <w:t>30,381,721</w:t>
            </w:r>
          </w:p>
        </w:tc>
        <w:tc>
          <w:tcPr>
            <w:tcW w:w="660" w:type="dxa"/>
            <w:vAlign w:val="bottom"/>
            <w:tcBorders>
              <w:top w:val="single" w:sz="8" w:color="D8D7D7"/>
              <w:bottom w:val="single" w:sz="8" w:color="D8D7D7"/>
            </w:tcBorders>
          </w:tcPr>
          <w:p>
            <w:pPr>
              <w:spacing w:after="0"/>
              <w:rPr>
                <w:sz w:val="17"/>
                <w:szCs w:val="17"/>
                <w:color w:val="auto"/>
              </w:rPr>
            </w:pPr>
          </w:p>
        </w:tc>
        <w:tc>
          <w:tcPr>
            <w:tcW w:w="300" w:type="dxa"/>
            <w:vAlign w:val="bottom"/>
            <w:tcBorders>
              <w:top w:val="single" w:sz="8" w:color="D8D7D7"/>
              <w:bottom w:val="single" w:sz="8" w:color="D8D7D7"/>
            </w:tcBorders>
          </w:tcPr>
          <w:p>
            <w:pPr>
              <w:spacing w:after="0"/>
              <w:rPr>
                <w:sz w:val="17"/>
                <w:szCs w:val="17"/>
                <w:color w:val="auto"/>
              </w:rPr>
            </w:pPr>
          </w:p>
        </w:tc>
        <w:tc>
          <w:tcPr>
            <w:tcW w:w="840" w:type="dxa"/>
            <w:vAlign w:val="bottom"/>
            <w:tcBorders>
              <w:top w:val="single" w:sz="8" w:color="D8D7D7"/>
              <w:bottom w:val="single" w:sz="8" w:color="D8D7D7"/>
            </w:tcBorders>
          </w:tcPr>
          <w:p>
            <w:pPr>
              <w:spacing w:after="0"/>
              <w:rPr>
                <w:sz w:val="17"/>
                <w:szCs w:val="17"/>
                <w:color w:val="auto"/>
              </w:rPr>
            </w:pPr>
          </w:p>
        </w:tc>
        <w:tc>
          <w:tcPr>
            <w:tcW w:w="260" w:type="dxa"/>
            <w:vAlign w:val="bottom"/>
            <w:tcBorders>
              <w:top w:val="single" w:sz="8" w:color="D8D7D7"/>
              <w:bottom w:val="single" w:sz="8" w:color="D8D7D7"/>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200" w:type="dxa"/>
            <w:vAlign w:val="bottom"/>
          </w:tcPr>
          <w:p>
            <w:pPr>
              <w:ind w:left="60"/>
              <w:spacing w:after="0"/>
              <w:rPr>
                <w:sz w:val="20"/>
                <w:szCs w:val="20"/>
                <w:color w:val="auto"/>
              </w:rPr>
            </w:pPr>
            <w:r>
              <w:rPr>
                <w:rFonts w:ascii="Arial" w:cs="Arial" w:eastAsia="Arial" w:hAnsi="Arial"/>
                <w:sz w:val="13"/>
                <w:szCs w:val="13"/>
                <w:b w:val="1"/>
                <w:bCs w:val="1"/>
                <w:color w:val="0956FF"/>
              </w:rPr>
              <w:t>Sterling J.</w:t>
            </w: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vMerge w:val="restart"/>
          </w:tcPr>
          <w:p>
            <w:pPr>
              <w:jc w:val="right"/>
              <w:ind w:right="55"/>
              <w:spacing w:after="0"/>
              <w:rPr>
                <w:sz w:val="20"/>
                <w:szCs w:val="20"/>
                <w:color w:val="auto"/>
              </w:rPr>
            </w:pPr>
            <w:r>
              <w:rPr>
                <w:rFonts w:ascii="Arial" w:cs="Arial" w:eastAsia="Arial" w:hAnsi="Arial"/>
                <w:sz w:val="9"/>
                <w:szCs w:val="9"/>
                <w:color w:val="auto"/>
              </w:rPr>
              <w:t>(6)</w:t>
            </w: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vMerge w:val="restart"/>
          </w:tcPr>
          <w:p>
            <w:pPr>
              <w:ind w:left="20"/>
              <w:spacing w:after="0"/>
              <w:rPr>
                <w:sz w:val="20"/>
                <w:szCs w:val="20"/>
                <w:color w:val="auto"/>
              </w:rPr>
            </w:pPr>
            <w:r>
              <w:rPr>
                <w:rFonts w:ascii="Arial" w:cs="Arial" w:eastAsia="Arial" w:hAnsi="Arial"/>
                <w:sz w:val="9"/>
                <w:szCs w:val="9"/>
                <w:color w:val="auto"/>
              </w:rPr>
              <w:t>(7,8)</w:t>
            </w:r>
          </w:p>
        </w:tc>
        <w:tc>
          <w:tcPr>
            <w:tcW w:w="840" w:type="dxa"/>
            <w:vAlign w:val="bottom"/>
          </w:tcPr>
          <w:p>
            <w:pPr>
              <w:spacing w:after="0"/>
              <w:rPr>
                <w:sz w:val="16"/>
                <w:szCs w:val="16"/>
                <w:color w:val="auto"/>
              </w:rPr>
            </w:pPr>
          </w:p>
        </w:tc>
        <w:tc>
          <w:tcPr>
            <w:tcW w:w="260" w:type="dxa"/>
            <w:vAlign w:val="bottom"/>
            <w:vMerge w:val="restart"/>
          </w:tcPr>
          <w:p>
            <w:pPr>
              <w:ind w:left="40"/>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D8D7D7"/>
            </w:tcBorders>
          </w:tcPr>
          <w:p>
            <w:pPr>
              <w:ind w:left="60"/>
              <w:spacing w:after="0"/>
              <w:rPr>
                <w:sz w:val="20"/>
                <w:szCs w:val="20"/>
                <w:color w:val="auto"/>
              </w:rPr>
            </w:pPr>
            <w:r>
              <w:rPr>
                <w:rFonts w:ascii="Arial" w:cs="Arial" w:eastAsia="Arial" w:hAnsi="Arial"/>
                <w:sz w:val="13"/>
                <w:szCs w:val="13"/>
                <w:b w:val="1"/>
                <w:bCs w:val="1"/>
                <w:color w:val="0956FF"/>
              </w:rPr>
              <w:t>Anderson</w:t>
            </w:r>
          </w:p>
        </w:tc>
        <w:tc>
          <w:tcPr>
            <w:tcW w:w="820" w:type="dxa"/>
            <w:vAlign w:val="bottom"/>
            <w:tcBorders>
              <w:bottom w:val="single" w:sz="8" w:color="D8D7D7"/>
            </w:tcBorders>
          </w:tcPr>
          <w:p>
            <w:pPr>
              <w:jc w:val="right"/>
              <w:ind w:right="93"/>
              <w:spacing w:after="0"/>
              <w:rPr>
                <w:sz w:val="20"/>
                <w:szCs w:val="20"/>
                <w:color w:val="auto"/>
              </w:rPr>
            </w:pPr>
            <w:r>
              <w:rPr>
                <w:rFonts w:ascii="Arial" w:cs="Arial" w:eastAsia="Arial" w:hAnsi="Arial"/>
                <w:sz w:val="13"/>
                <w:szCs w:val="13"/>
                <w:color w:val="auto"/>
              </w:rPr>
              <w:t>7/29/2025</w:t>
            </w:r>
          </w:p>
        </w:tc>
        <w:tc>
          <w:tcPr>
            <w:tcW w:w="8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8D7D7"/>
            </w:tcBorders>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D8D7D7"/>
            </w:tcBorders>
          </w:tcPr>
          <w:p>
            <w:pPr>
              <w:spacing w:after="0"/>
              <w:rPr>
                <w:sz w:val="16"/>
                <w:szCs w:val="16"/>
                <w:color w:val="auto"/>
              </w:rPr>
            </w:pPr>
          </w:p>
        </w:tc>
        <w:tc>
          <w:tcPr>
            <w:tcW w:w="6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7D7"/>
            </w:tcBorders>
            <w:gridSpan w:val="2"/>
          </w:tcPr>
          <w:p>
            <w:pPr>
              <w:ind w:left="5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257,869</w:t>
            </w:r>
          </w:p>
        </w:tc>
        <w:tc>
          <w:tcPr>
            <w:tcW w:w="260" w:type="dxa"/>
            <w:vAlign w:val="bottom"/>
            <w:tcBorders>
              <w:bottom w:val="single" w:sz="8" w:color="D8D7D7"/>
            </w:tcBorders>
            <w:vMerge w:val="continue"/>
          </w:tcPr>
          <w:p>
            <w:pPr>
              <w:spacing w:after="0"/>
              <w:rPr>
                <w:sz w:val="16"/>
                <w:szCs w:val="16"/>
                <w:color w:val="auto"/>
              </w:rPr>
            </w:pPr>
          </w:p>
        </w:tc>
        <w:tc>
          <w:tcPr>
            <w:tcW w:w="880" w:type="dxa"/>
            <w:vAlign w:val="bottom"/>
            <w:tcBorders>
              <w:bottom w:val="single" w:sz="8" w:color="D8D7D7"/>
            </w:tcBorders>
          </w:tcPr>
          <w:p>
            <w:pPr>
              <w:jc w:val="right"/>
              <w:ind w:right="74"/>
              <w:spacing w:after="0"/>
              <w:rPr>
                <w:sz w:val="20"/>
                <w:szCs w:val="20"/>
                <w:color w:val="auto"/>
              </w:rPr>
            </w:pPr>
            <w:r>
              <w:rPr>
                <w:rFonts w:ascii="Arial" w:cs="Arial" w:eastAsia="Arial" w:hAnsi="Arial"/>
                <w:sz w:val="13"/>
                <w:szCs w:val="13"/>
                <w:color w:val="auto"/>
              </w:rPr>
              <w:t>20,969,907</w:t>
            </w:r>
          </w:p>
        </w:tc>
        <w:tc>
          <w:tcPr>
            <w:tcW w:w="660" w:type="dxa"/>
            <w:vAlign w:val="bottom"/>
            <w:tcBorders>
              <w:bottom w:val="single" w:sz="8" w:color="D8D7D7"/>
            </w:tcBorders>
          </w:tcPr>
          <w:p>
            <w:pPr>
              <w:ind w:left="100"/>
              <w:spacing w:after="0"/>
              <w:rPr>
                <w:sz w:val="20"/>
                <w:szCs w:val="20"/>
                <w:color w:val="auto"/>
              </w:rPr>
            </w:pPr>
            <w:r>
              <w:rPr>
                <w:rFonts w:ascii="Arial" w:cs="Arial" w:eastAsia="Arial" w:hAnsi="Arial"/>
                <w:sz w:val="13"/>
                <w:szCs w:val="13"/>
                <w:color w:val="auto"/>
              </w:rPr>
              <w:t>408,991</w:t>
            </w:r>
          </w:p>
        </w:tc>
        <w:tc>
          <w:tcPr>
            <w:tcW w:w="300" w:type="dxa"/>
            <w:vAlign w:val="bottom"/>
            <w:tcBorders>
              <w:bottom w:val="single" w:sz="8" w:color="D8D7D7"/>
            </w:tcBorders>
            <w:vMerge w:val="continue"/>
          </w:tcPr>
          <w:p>
            <w:pPr>
              <w:spacing w:after="0"/>
              <w:rPr>
                <w:sz w:val="16"/>
                <w:szCs w:val="16"/>
                <w:color w:val="auto"/>
              </w:rPr>
            </w:pPr>
          </w:p>
        </w:tc>
        <w:tc>
          <w:tcPr>
            <w:tcW w:w="840" w:type="dxa"/>
            <w:vAlign w:val="bottom"/>
            <w:tcBorders>
              <w:bottom w:val="single" w:sz="8" w:color="D8D7D7"/>
            </w:tcBorders>
          </w:tcPr>
          <w:p>
            <w:pPr>
              <w:jc w:val="right"/>
              <w:ind w:right="15"/>
              <w:spacing w:after="0"/>
              <w:rPr>
                <w:sz w:val="20"/>
                <w:szCs w:val="20"/>
                <w:color w:val="auto"/>
              </w:rPr>
            </w:pPr>
            <w:r>
              <w:rPr>
                <w:rFonts w:ascii="Arial" w:cs="Arial" w:eastAsia="Arial" w:hAnsi="Arial"/>
                <w:sz w:val="13"/>
                <w:szCs w:val="13"/>
                <w:color w:val="auto"/>
              </w:rPr>
              <w:t>33,259,148</w:t>
            </w:r>
          </w:p>
        </w:tc>
        <w:tc>
          <w:tcPr>
            <w:tcW w:w="260" w:type="dxa"/>
            <w:vAlign w:val="bottom"/>
            <w:tcBorders>
              <w:bottom w:val="single" w:sz="8" w:color="D8D7D7"/>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00" w:type="dxa"/>
            <w:vAlign w:val="bottom"/>
          </w:tcPr>
          <w:p>
            <w:pPr>
              <w:ind w:left="60"/>
              <w:spacing w:after="0"/>
              <w:rPr>
                <w:sz w:val="20"/>
                <w:szCs w:val="20"/>
                <w:color w:val="auto"/>
              </w:rPr>
            </w:pPr>
            <w:r>
              <w:rPr>
                <w:rFonts w:ascii="Arial" w:cs="Arial" w:eastAsia="Arial" w:hAnsi="Arial"/>
                <w:sz w:val="13"/>
                <w:szCs w:val="13"/>
                <w:b w:val="1"/>
                <w:bCs w:val="1"/>
                <w:color w:val="0956FF"/>
              </w:rPr>
              <w:t>Rory V. Harvey</w:t>
            </w:r>
          </w:p>
        </w:tc>
        <w:tc>
          <w:tcPr>
            <w:tcW w:w="820" w:type="dxa"/>
            <w:vAlign w:val="bottom"/>
            <w:tcBorders>
              <w:bottom w:val="single" w:sz="8" w:color="D8D7D7"/>
            </w:tcBorders>
          </w:tcPr>
          <w:p>
            <w:pPr>
              <w:jc w:val="right"/>
              <w:ind w:right="113"/>
              <w:spacing w:after="0"/>
              <w:rPr>
                <w:sz w:val="20"/>
                <w:szCs w:val="20"/>
                <w:color w:val="auto"/>
              </w:rPr>
            </w:pPr>
            <w:r>
              <w:rPr>
                <w:rFonts w:ascii="Arial" w:cs="Arial" w:eastAsia="Arial" w:hAnsi="Arial"/>
                <w:sz w:val="13"/>
                <w:szCs w:val="13"/>
                <w:color w:val="auto"/>
              </w:rPr>
              <w:t>2/4/2025</w:t>
            </w:r>
          </w:p>
        </w:tc>
        <w:tc>
          <w:tcPr>
            <w:tcW w:w="8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8D7D7"/>
            </w:tcBorders>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D8D7D7"/>
            </w:tcBorders>
          </w:tcPr>
          <w:p>
            <w:pPr>
              <w:spacing w:after="0"/>
              <w:rPr>
                <w:sz w:val="18"/>
                <w:szCs w:val="18"/>
                <w:color w:val="auto"/>
              </w:rPr>
            </w:pPr>
          </w:p>
        </w:tc>
        <w:tc>
          <w:tcPr>
            <w:tcW w:w="6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7D7"/>
            </w:tcBorders>
            <w:gridSpan w:val="2"/>
          </w:tcPr>
          <w:p>
            <w:pPr>
              <w:ind w:left="5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36,481</w:t>
            </w:r>
          </w:p>
        </w:tc>
        <w:tc>
          <w:tcPr>
            <w:tcW w:w="260" w:type="dxa"/>
            <w:vAlign w:val="bottom"/>
            <w:tcBorders>
              <w:bottom w:val="single" w:sz="8" w:color="D8D7D7"/>
            </w:tcBorders>
          </w:tcPr>
          <w:p>
            <w:pPr>
              <w:jc w:val="right"/>
              <w:ind w:right="55"/>
              <w:spacing w:after="0"/>
              <w:rPr>
                <w:sz w:val="20"/>
                <w:szCs w:val="20"/>
                <w:color w:val="auto"/>
              </w:rPr>
            </w:pPr>
            <w:r>
              <w:rPr>
                <w:rFonts w:ascii="Arial" w:cs="Arial" w:eastAsia="Arial" w:hAnsi="Arial"/>
                <w:sz w:val="9"/>
                <w:szCs w:val="9"/>
                <w:color w:val="auto"/>
              </w:rPr>
              <w:t>(2)</w:t>
            </w:r>
          </w:p>
        </w:tc>
        <w:tc>
          <w:tcPr>
            <w:tcW w:w="880" w:type="dxa"/>
            <w:vAlign w:val="bottom"/>
            <w:tcBorders>
              <w:bottom w:val="single" w:sz="8" w:color="D8D7D7"/>
            </w:tcBorders>
          </w:tcPr>
          <w:p>
            <w:pPr>
              <w:jc w:val="right"/>
              <w:ind w:right="74"/>
              <w:spacing w:after="0"/>
              <w:rPr>
                <w:sz w:val="20"/>
                <w:szCs w:val="20"/>
                <w:color w:val="auto"/>
              </w:rPr>
            </w:pPr>
            <w:r>
              <w:rPr>
                <w:rFonts w:ascii="Arial" w:cs="Arial" w:eastAsia="Arial" w:hAnsi="Arial"/>
                <w:sz w:val="13"/>
                <w:szCs w:val="13"/>
                <w:color w:val="auto"/>
              </w:rPr>
              <w:t>2,966,635</w:t>
            </w:r>
          </w:p>
        </w:tc>
        <w:tc>
          <w:tcPr>
            <w:tcW w:w="660" w:type="dxa"/>
            <w:vAlign w:val="bottom"/>
            <w:tcBorders>
              <w:bottom w:val="single" w:sz="8" w:color="D8D7D7"/>
            </w:tcBorders>
          </w:tcPr>
          <w:p>
            <w:pPr>
              <w:ind w:left="80"/>
              <w:spacing w:after="0"/>
              <w:rPr>
                <w:sz w:val="20"/>
                <w:szCs w:val="20"/>
                <w:color w:val="auto"/>
              </w:rPr>
            </w:pPr>
            <w:r>
              <w:rPr>
                <w:rFonts w:ascii="Arial" w:cs="Arial" w:eastAsia="Arial" w:hAnsi="Arial"/>
                <w:sz w:val="13"/>
                <w:szCs w:val="13"/>
                <w:color w:val="auto"/>
              </w:rPr>
              <w:t>109,443</w:t>
            </w:r>
          </w:p>
        </w:tc>
        <w:tc>
          <w:tcPr>
            <w:tcW w:w="300" w:type="dxa"/>
            <w:vAlign w:val="bottom"/>
            <w:tcBorders>
              <w:bottom w:val="single" w:sz="8" w:color="D8D7D7"/>
            </w:tcBorders>
          </w:tcPr>
          <w:p>
            <w:pPr>
              <w:ind w:left="20"/>
              <w:spacing w:after="0"/>
              <w:rPr>
                <w:sz w:val="20"/>
                <w:szCs w:val="20"/>
                <w:color w:val="auto"/>
              </w:rPr>
            </w:pPr>
            <w:r>
              <w:rPr>
                <w:rFonts w:ascii="Arial" w:cs="Arial" w:eastAsia="Arial" w:hAnsi="Arial"/>
                <w:sz w:val="9"/>
                <w:szCs w:val="9"/>
                <w:color w:val="auto"/>
              </w:rPr>
              <w:t>(7)</w:t>
            </w:r>
          </w:p>
        </w:tc>
        <w:tc>
          <w:tcPr>
            <w:tcW w:w="840" w:type="dxa"/>
            <w:vAlign w:val="bottom"/>
            <w:tcBorders>
              <w:bottom w:val="single" w:sz="8" w:color="D8D7D7"/>
            </w:tcBorders>
          </w:tcPr>
          <w:p>
            <w:pPr>
              <w:jc w:val="center"/>
              <w:spacing w:after="0"/>
              <w:rPr>
                <w:sz w:val="20"/>
                <w:szCs w:val="20"/>
                <w:color w:val="auto"/>
              </w:rPr>
            </w:pPr>
            <w:r>
              <w:rPr>
                <w:rFonts w:ascii="Arial" w:cs="Arial" w:eastAsia="Arial" w:hAnsi="Arial"/>
                <w:sz w:val="13"/>
                <w:szCs w:val="13"/>
                <w:color w:val="auto"/>
              </w:rPr>
              <w:t>8,899,905</w:t>
            </w:r>
          </w:p>
        </w:tc>
        <w:tc>
          <w:tcPr>
            <w:tcW w:w="260" w:type="dxa"/>
            <w:vAlign w:val="bottom"/>
            <w:tcBorders>
              <w:bottom w:val="single" w:sz="8" w:color="D8D7D7"/>
            </w:tcBorders>
          </w:tcPr>
          <w:p>
            <w:pPr>
              <w:ind w:left="40"/>
              <w:spacing w:after="0"/>
              <w:rPr>
                <w:sz w:val="20"/>
                <w:szCs w:val="20"/>
                <w:color w:val="auto"/>
              </w:rPr>
            </w:pPr>
            <w:r>
              <w:rPr>
                <w:rFonts w:ascii="Arial" w:cs="Arial" w:eastAsia="Arial" w:hAnsi="Arial"/>
                <w:sz w:val="9"/>
                <w:szCs w:val="9"/>
                <w:color w:val="auto"/>
              </w:rPr>
              <w:t>(9)</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820" w:type="dxa"/>
            <w:vAlign w:val="bottom"/>
            <w:tcBorders>
              <w:bottom w:val="single" w:sz="8" w:color="D8D7D7"/>
            </w:tcBorders>
          </w:tcPr>
          <w:p>
            <w:pPr>
              <w:jc w:val="right"/>
              <w:ind w:right="113"/>
              <w:spacing w:after="0"/>
              <w:rPr>
                <w:sz w:val="20"/>
                <w:szCs w:val="20"/>
                <w:color w:val="auto"/>
              </w:rPr>
            </w:pPr>
            <w:r>
              <w:rPr>
                <w:rFonts w:ascii="Arial" w:cs="Arial" w:eastAsia="Arial" w:hAnsi="Arial"/>
                <w:sz w:val="13"/>
                <w:szCs w:val="13"/>
                <w:color w:val="auto"/>
              </w:rPr>
              <w:t>2/6/2024</w:t>
            </w:r>
          </w:p>
        </w:tc>
        <w:tc>
          <w:tcPr>
            <w:tcW w:w="8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8D7D7"/>
            </w:tcBorders>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D8D7D7"/>
            </w:tcBorders>
          </w:tcPr>
          <w:p>
            <w:pPr>
              <w:spacing w:after="0"/>
              <w:rPr>
                <w:sz w:val="18"/>
                <w:szCs w:val="18"/>
                <w:color w:val="auto"/>
              </w:rPr>
            </w:pPr>
          </w:p>
        </w:tc>
        <w:tc>
          <w:tcPr>
            <w:tcW w:w="6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7D7"/>
            </w:tcBorders>
            <w:gridSpan w:val="2"/>
          </w:tcPr>
          <w:p>
            <w:pPr>
              <w:ind w:left="5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D8D7D7"/>
            </w:tcBorders>
            <w:gridSpan w:val="2"/>
          </w:tcPr>
          <w:p>
            <w:pPr>
              <w:jc w:val="right"/>
              <w:ind w:right="55"/>
              <w:spacing w:after="0"/>
              <w:rPr>
                <w:sz w:val="20"/>
                <w:szCs w:val="20"/>
                <w:color w:val="auto"/>
              </w:rPr>
            </w:pPr>
            <w:r>
              <w:rPr>
                <w:rFonts w:ascii="Arial" w:cs="Arial" w:eastAsia="Arial" w:hAnsi="Arial"/>
                <w:sz w:val="13"/>
                <w:szCs w:val="13"/>
                <w:color w:val="auto"/>
              </w:rPr>
              <w:t xml:space="preserve">31,061 </w:t>
            </w:r>
            <w:r>
              <w:rPr>
                <w:rFonts w:ascii="Arial" w:cs="Arial" w:eastAsia="Arial" w:hAnsi="Arial"/>
                <w:sz w:val="17"/>
                <w:szCs w:val="17"/>
                <w:color w:val="auto"/>
                <w:vertAlign w:val="superscript"/>
              </w:rPr>
              <w:t>(3)</w:t>
            </w:r>
          </w:p>
        </w:tc>
        <w:tc>
          <w:tcPr>
            <w:tcW w:w="880" w:type="dxa"/>
            <w:vAlign w:val="bottom"/>
            <w:tcBorders>
              <w:bottom w:val="single" w:sz="8" w:color="D8D7D7"/>
            </w:tcBorders>
          </w:tcPr>
          <w:p>
            <w:pPr>
              <w:jc w:val="right"/>
              <w:ind w:right="54"/>
              <w:spacing w:after="0"/>
              <w:rPr>
                <w:sz w:val="20"/>
                <w:szCs w:val="20"/>
                <w:color w:val="auto"/>
              </w:rPr>
            </w:pPr>
            <w:r>
              <w:rPr>
                <w:rFonts w:ascii="Arial" w:cs="Arial" w:eastAsia="Arial" w:hAnsi="Arial"/>
                <w:sz w:val="13"/>
                <w:szCs w:val="13"/>
                <w:color w:val="auto"/>
              </w:rPr>
              <w:t>2,525,881</w:t>
            </w:r>
          </w:p>
        </w:tc>
        <w:tc>
          <w:tcPr>
            <w:tcW w:w="660" w:type="dxa"/>
            <w:vAlign w:val="bottom"/>
            <w:tcBorders>
              <w:bottom w:val="single" w:sz="8" w:color="D8D7D7"/>
            </w:tcBorders>
          </w:tcPr>
          <w:p>
            <w:pPr>
              <w:ind w:left="80"/>
              <w:spacing w:after="0"/>
              <w:rPr>
                <w:sz w:val="20"/>
                <w:szCs w:val="20"/>
                <w:color w:val="auto"/>
              </w:rPr>
            </w:pPr>
            <w:r>
              <w:rPr>
                <w:rFonts w:ascii="Arial" w:cs="Arial" w:eastAsia="Arial" w:hAnsi="Arial"/>
                <w:sz w:val="13"/>
                <w:szCs w:val="13"/>
                <w:color w:val="auto"/>
              </w:rPr>
              <w:t>122,800</w:t>
            </w:r>
          </w:p>
        </w:tc>
        <w:tc>
          <w:tcPr>
            <w:tcW w:w="300" w:type="dxa"/>
            <w:vAlign w:val="bottom"/>
            <w:tcBorders>
              <w:bottom w:val="single" w:sz="8" w:color="D8D7D7"/>
            </w:tcBorders>
          </w:tcPr>
          <w:p>
            <w:pPr>
              <w:ind w:left="20"/>
              <w:spacing w:after="0"/>
              <w:rPr>
                <w:sz w:val="20"/>
                <w:szCs w:val="20"/>
                <w:color w:val="auto"/>
              </w:rPr>
            </w:pPr>
            <w:r>
              <w:rPr>
                <w:rFonts w:ascii="Arial" w:cs="Arial" w:eastAsia="Arial" w:hAnsi="Arial"/>
                <w:sz w:val="9"/>
                <w:szCs w:val="9"/>
                <w:color w:val="auto"/>
              </w:rPr>
              <w:t>(8)</w:t>
            </w:r>
          </w:p>
        </w:tc>
        <w:tc>
          <w:tcPr>
            <w:tcW w:w="840" w:type="dxa"/>
            <w:vAlign w:val="bottom"/>
            <w:tcBorders>
              <w:bottom w:val="single" w:sz="8" w:color="D8D7D7"/>
            </w:tcBorders>
          </w:tcPr>
          <w:p>
            <w:pPr>
              <w:jc w:val="center"/>
              <w:spacing w:after="0"/>
              <w:rPr>
                <w:sz w:val="20"/>
                <w:szCs w:val="20"/>
                <w:color w:val="auto"/>
              </w:rPr>
            </w:pPr>
            <w:r>
              <w:rPr>
                <w:rFonts w:ascii="Arial" w:cs="Arial" w:eastAsia="Arial" w:hAnsi="Arial"/>
                <w:sz w:val="13"/>
                <w:szCs w:val="13"/>
                <w:color w:val="auto"/>
              </w:rPr>
              <w:t>9,986,096</w:t>
            </w:r>
          </w:p>
        </w:tc>
        <w:tc>
          <w:tcPr>
            <w:tcW w:w="260" w:type="dxa"/>
            <w:vAlign w:val="bottom"/>
            <w:tcBorders>
              <w:bottom w:val="single" w:sz="8" w:color="D8D7D7"/>
            </w:tcBorders>
          </w:tcPr>
          <w:p>
            <w:pPr>
              <w:ind w:left="40"/>
              <w:spacing w:after="0"/>
              <w:rPr>
                <w:sz w:val="20"/>
                <w:szCs w:val="20"/>
                <w:color w:val="auto"/>
              </w:rPr>
            </w:pPr>
            <w:r>
              <w:rPr>
                <w:rFonts w:ascii="Arial" w:cs="Arial" w:eastAsia="Arial" w:hAnsi="Arial"/>
                <w:sz w:val="9"/>
                <w:szCs w:val="9"/>
                <w:color w:val="auto"/>
              </w:rPr>
              <w:t>(10)</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20" w:type="dxa"/>
            <w:vAlign w:val="bottom"/>
            <w:tcBorders>
              <w:bottom w:val="single" w:sz="8" w:color="D8D7D7"/>
            </w:tcBorders>
          </w:tcPr>
          <w:p>
            <w:pPr>
              <w:jc w:val="right"/>
              <w:ind w:right="93"/>
              <w:spacing w:after="0"/>
              <w:rPr>
                <w:sz w:val="20"/>
                <w:szCs w:val="20"/>
                <w:color w:val="auto"/>
              </w:rPr>
            </w:pPr>
            <w:r>
              <w:rPr>
                <w:rFonts w:ascii="Arial" w:cs="Arial" w:eastAsia="Arial" w:hAnsi="Arial"/>
                <w:sz w:val="13"/>
                <w:szCs w:val="13"/>
                <w:color w:val="auto"/>
              </w:rPr>
              <w:t>7/3/2023</w:t>
            </w:r>
          </w:p>
        </w:tc>
        <w:tc>
          <w:tcPr>
            <w:tcW w:w="8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8D7D7"/>
            </w:tcBorders>
            <w:gridSpan w:val="2"/>
          </w:tcPr>
          <w:p>
            <w:pPr>
              <w:jc w:val="center"/>
              <w:ind w:left="494"/>
              <w:spacing w:after="0"/>
              <w:rPr>
                <w:sz w:val="20"/>
                <w:szCs w:val="20"/>
                <w:color w:val="auto"/>
              </w:rPr>
            </w:pPr>
            <w:r>
              <w:rPr>
                <w:rFonts w:ascii="Arial" w:cs="Arial" w:eastAsia="Arial" w:hAnsi="Arial"/>
                <w:sz w:val="13"/>
                <w:szCs w:val="13"/>
                <w:color w:val="auto"/>
                <w:w w:val="91"/>
              </w:rPr>
              <w:t>—</w:t>
            </w:r>
          </w:p>
        </w:tc>
        <w:tc>
          <w:tcPr>
            <w:tcW w:w="200" w:type="dxa"/>
            <w:vAlign w:val="bottom"/>
            <w:tcBorders>
              <w:bottom w:val="single" w:sz="8" w:color="D8D7D7"/>
            </w:tcBorders>
          </w:tcPr>
          <w:p>
            <w:pPr>
              <w:spacing w:after="0"/>
              <w:rPr>
                <w:sz w:val="17"/>
                <w:szCs w:val="17"/>
                <w:color w:val="auto"/>
              </w:rPr>
            </w:pPr>
          </w:p>
        </w:tc>
        <w:tc>
          <w:tcPr>
            <w:tcW w:w="68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D8D7D7"/>
            </w:tcBorders>
            <w:gridSpan w:val="2"/>
          </w:tcPr>
          <w:p>
            <w:pPr>
              <w:ind w:left="56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152,459</w:t>
            </w:r>
          </w:p>
        </w:tc>
        <w:tc>
          <w:tcPr>
            <w:tcW w:w="260" w:type="dxa"/>
            <w:vAlign w:val="bottom"/>
            <w:tcBorders>
              <w:bottom w:val="single" w:sz="8" w:color="D8D7D7"/>
            </w:tcBorders>
          </w:tcPr>
          <w:p>
            <w:pPr>
              <w:jc w:val="right"/>
              <w:ind w:right="55"/>
              <w:spacing w:after="0"/>
              <w:rPr>
                <w:sz w:val="20"/>
                <w:szCs w:val="20"/>
                <w:color w:val="auto"/>
              </w:rPr>
            </w:pPr>
            <w:r>
              <w:rPr>
                <w:rFonts w:ascii="Arial" w:cs="Arial" w:eastAsia="Arial" w:hAnsi="Arial"/>
                <w:sz w:val="9"/>
                <w:szCs w:val="9"/>
                <w:color w:val="auto"/>
              </w:rPr>
              <w:t>(5)</w:t>
            </w:r>
          </w:p>
        </w:tc>
        <w:tc>
          <w:tcPr>
            <w:tcW w:w="880" w:type="dxa"/>
            <w:vAlign w:val="bottom"/>
            <w:tcBorders>
              <w:bottom w:val="single" w:sz="8" w:color="D8D7D7"/>
            </w:tcBorders>
          </w:tcPr>
          <w:p>
            <w:pPr>
              <w:jc w:val="right"/>
              <w:ind w:right="34"/>
              <w:spacing w:after="0"/>
              <w:rPr>
                <w:sz w:val="20"/>
                <w:szCs w:val="20"/>
                <w:color w:val="auto"/>
              </w:rPr>
            </w:pPr>
            <w:r>
              <w:rPr>
                <w:rFonts w:ascii="Arial" w:cs="Arial" w:eastAsia="Arial" w:hAnsi="Arial"/>
                <w:sz w:val="13"/>
                <w:szCs w:val="13"/>
                <w:color w:val="auto"/>
              </w:rPr>
              <w:t>12,397,966</w:t>
            </w:r>
          </w:p>
        </w:tc>
        <w:tc>
          <w:tcPr>
            <w:tcW w:w="660" w:type="dxa"/>
            <w:vAlign w:val="bottom"/>
            <w:tcBorders>
              <w:bottom w:val="single" w:sz="8" w:color="D8D7D7"/>
            </w:tcBorders>
          </w:tcPr>
          <w:p>
            <w:pPr>
              <w:spacing w:after="0"/>
              <w:rPr>
                <w:sz w:val="17"/>
                <w:szCs w:val="17"/>
                <w:color w:val="auto"/>
              </w:rPr>
            </w:pPr>
          </w:p>
        </w:tc>
        <w:tc>
          <w:tcPr>
            <w:tcW w:w="300" w:type="dxa"/>
            <w:vAlign w:val="bottom"/>
            <w:tcBorders>
              <w:bottom w:val="single" w:sz="8" w:color="D8D7D7"/>
            </w:tcBorders>
          </w:tcPr>
          <w:p>
            <w:pPr>
              <w:spacing w:after="0"/>
              <w:rPr>
                <w:sz w:val="17"/>
                <w:szCs w:val="17"/>
                <w:color w:val="auto"/>
              </w:rPr>
            </w:pPr>
          </w:p>
        </w:tc>
        <w:tc>
          <w:tcPr>
            <w:tcW w:w="840" w:type="dxa"/>
            <w:vAlign w:val="bottom"/>
            <w:tcBorders>
              <w:bottom w:val="single" w:sz="8" w:color="D8D7D7"/>
            </w:tcBorders>
          </w:tcPr>
          <w:p>
            <w:pPr>
              <w:spacing w:after="0"/>
              <w:rPr>
                <w:sz w:val="17"/>
                <w:szCs w:val="17"/>
                <w:color w:val="auto"/>
              </w:rPr>
            </w:pPr>
          </w:p>
        </w:tc>
        <w:tc>
          <w:tcPr>
            <w:tcW w:w="260" w:type="dxa"/>
            <w:vAlign w:val="bottom"/>
            <w:tcBorders>
              <w:bottom w:val="single" w:sz="8" w:color="D8D7D7"/>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0956FF"/>
            </w:tcBorders>
          </w:tcPr>
          <w:p>
            <w:pPr>
              <w:spacing w:after="0"/>
              <w:rPr>
                <w:sz w:val="18"/>
                <w:szCs w:val="18"/>
                <w:color w:val="auto"/>
              </w:rPr>
            </w:pPr>
          </w:p>
        </w:tc>
        <w:tc>
          <w:tcPr>
            <w:tcW w:w="820" w:type="dxa"/>
            <w:vAlign w:val="bottom"/>
            <w:tcBorders>
              <w:bottom w:val="single" w:sz="8" w:color="0956FF"/>
            </w:tcBorders>
          </w:tcPr>
          <w:p>
            <w:pPr>
              <w:jc w:val="right"/>
              <w:ind w:right="93"/>
              <w:spacing w:after="0"/>
              <w:rPr>
                <w:sz w:val="20"/>
                <w:szCs w:val="20"/>
                <w:color w:val="auto"/>
              </w:rPr>
            </w:pPr>
            <w:r>
              <w:rPr>
                <w:rFonts w:ascii="Arial" w:cs="Arial" w:eastAsia="Arial" w:hAnsi="Arial"/>
                <w:sz w:val="13"/>
                <w:szCs w:val="13"/>
                <w:color w:val="auto"/>
              </w:rPr>
              <w:t>2/7/2023</w:t>
            </w:r>
          </w:p>
        </w:tc>
        <w:tc>
          <w:tcPr>
            <w:tcW w:w="880" w:type="dxa"/>
            <w:vAlign w:val="bottom"/>
            <w:tcBorders>
              <w:bottom w:val="single" w:sz="8" w:color="0956FF"/>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0956FF"/>
            </w:tcBorders>
          </w:tcPr>
          <w:p>
            <w:pPr>
              <w:jc w:val="right"/>
              <w:spacing w:after="0"/>
              <w:rPr>
                <w:sz w:val="20"/>
                <w:szCs w:val="20"/>
                <w:color w:val="auto"/>
              </w:rPr>
            </w:pPr>
            <w:r>
              <w:rPr>
                <w:rFonts w:ascii="Arial" w:cs="Arial" w:eastAsia="Arial" w:hAnsi="Arial"/>
                <w:sz w:val="13"/>
                <w:szCs w:val="13"/>
                <w:color w:val="auto"/>
              </w:rPr>
              <w:t>5,652</w:t>
            </w:r>
          </w:p>
        </w:tc>
        <w:tc>
          <w:tcPr>
            <w:tcW w:w="20" w:type="dxa"/>
            <w:vAlign w:val="bottom"/>
            <w:tcBorders>
              <w:bottom w:val="single" w:sz="8" w:color="0956FF"/>
            </w:tcBorders>
          </w:tcPr>
          <w:p>
            <w:pPr>
              <w:spacing w:after="0"/>
              <w:rPr>
                <w:sz w:val="18"/>
                <w:szCs w:val="18"/>
                <w:color w:val="auto"/>
              </w:rPr>
            </w:pPr>
          </w:p>
        </w:tc>
        <w:tc>
          <w:tcPr>
            <w:tcW w:w="200" w:type="dxa"/>
            <w:vAlign w:val="bottom"/>
            <w:tcBorders>
              <w:bottom w:val="single" w:sz="8" w:color="0956FF"/>
            </w:tcBorders>
          </w:tcPr>
          <w:p>
            <w:pPr>
              <w:jc w:val="right"/>
              <w:ind w:right="16"/>
              <w:spacing w:after="0"/>
              <w:rPr>
                <w:sz w:val="20"/>
                <w:szCs w:val="20"/>
                <w:color w:val="auto"/>
              </w:rPr>
            </w:pPr>
            <w:r>
              <w:rPr>
                <w:rFonts w:ascii="Arial" w:cs="Arial" w:eastAsia="Arial" w:hAnsi="Arial"/>
                <w:sz w:val="9"/>
                <w:szCs w:val="9"/>
                <w:color w:val="auto"/>
              </w:rPr>
              <w:t>(4)</w:t>
            </w:r>
          </w:p>
        </w:tc>
        <w:tc>
          <w:tcPr>
            <w:tcW w:w="680" w:type="dxa"/>
            <w:vAlign w:val="bottom"/>
            <w:tcBorders>
              <w:bottom w:val="single" w:sz="8" w:color="0956FF"/>
            </w:tcBorders>
          </w:tcPr>
          <w:p>
            <w:pPr>
              <w:jc w:val="right"/>
              <w:ind w:right="54"/>
              <w:spacing w:after="0"/>
              <w:rPr>
                <w:sz w:val="20"/>
                <w:szCs w:val="20"/>
                <w:color w:val="auto"/>
              </w:rPr>
            </w:pPr>
            <w:r>
              <w:rPr>
                <w:rFonts w:ascii="Arial" w:cs="Arial" w:eastAsia="Arial" w:hAnsi="Arial"/>
                <w:sz w:val="13"/>
                <w:szCs w:val="13"/>
                <w:color w:val="auto"/>
              </w:rPr>
              <w:t>41.40</w:t>
            </w:r>
          </w:p>
        </w:tc>
        <w:tc>
          <w:tcPr>
            <w:tcW w:w="700" w:type="dxa"/>
            <w:vAlign w:val="bottom"/>
            <w:tcBorders>
              <w:bottom w:val="single" w:sz="8" w:color="0956FF"/>
            </w:tcBorders>
          </w:tcPr>
          <w:p>
            <w:pPr>
              <w:ind w:left="40"/>
              <w:spacing w:after="0"/>
              <w:rPr>
                <w:sz w:val="20"/>
                <w:szCs w:val="20"/>
                <w:color w:val="auto"/>
              </w:rPr>
            </w:pPr>
            <w:r>
              <w:rPr>
                <w:rFonts w:ascii="Arial" w:cs="Arial" w:eastAsia="Arial" w:hAnsi="Arial"/>
                <w:sz w:val="13"/>
                <w:szCs w:val="13"/>
                <w:color w:val="auto"/>
              </w:rPr>
              <w:t>2/7/2033</w:t>
            </w:r>
          </w:p>
        </w:tc>
        <w:tc>
          <w:tcPr>
            <w:tcW w:w="60" w:type="dxa"/>
            <w:vAlign w:val="bottom"/>
            <w:tcBorders>
              <w:bottom w:val="single" w:sz="8" w:color="0956FF"/>
            </w:tcBorders>
          </w:tcPr>
          <w:p>
            <w:pPr>
              <w:spacing w:after="0"/>
              <w:rPr>
                <w:sz w:val="18"/>
                <w:szCs w:val="18"/>
                <w:color w:val="auto"/>
              </w:rPr>
            </w:pPr>
          </w:p>
        </w:tc>
        <w:tc>
          <w:tcPr>
            <w:tcW w:w="620" w:type="dxa"/>
            <w:vAlign w:val="bottom"/>
            <w:tcBorders>
              <w:bottom w:val="single" w:sz="8" w:color="0956FF"/>
            </w:tcBorders>
          </w:tcPr>
          <w:p>
            <w:pPr>
              <w:jc w:val="right"/>
              <w:ind w:right="14"/>
              <w:spacing w:after="0"/>
              <w:rPr>
                <w:sz w:val="20"/>
                <w:szCs w:val="20"/>
                <w:color w:val="auto"/>
              </w:rPr>
            </w:pPr>
            <w:r>
              <w:rPr>
                <w:rFonts w:ascii="Arial" w:cs="Arial" w:eastAsia="Arial" w:hAnsi="Arial"/>
                <w:sz w:val="13"/>
                <w:szCs w:val="13"/>
                <w:color w:val="auto"/>
              </w:rPr>
              <w:t>24,083</w:t>
            </w:r>
          </w:p>
        </w:tc>
        <w:tc>
          <w:tcPr>
            <w:tcW w:w="260" w:type="dxa"/>
            <w:vAlign w:val="bottom"/>
            <w:tcBorders>
              <w:bottom w:val="single" w:sz="8" w:color="0956FF"/>
            </w:tcBorders>
          </w:tcPr>
          <w:p>
            <w:pPr>
              <w:jc w:val="right"/>
              <w:ind w:right="55"/>
              <w:spacing w:after="0"/>
              <w:rPr>
                <w:sz w:val="20"/>
                <w:szCs w:val="20"/>
                <w:color w:val="auto"/>
              </w:rPr>
            </w:pPr>
            <w:r>
              <w:rPr>
                <w:rFonts w:ascii="Arial" w:cs="Arial" w:eastAsia="Arial" w:hAnsi="Arial"/>
                <w:sz w:val="9"/>
                <w:szCs w:val="9"/>
                <w:color w:val="auto"/>
              </w:rPr>
              <w:t>(5)</w:t>
            </w:r>
          </w:p>
        </w:tc>
        <w:tc>
          <w:tcPr>
            <w:tcW w:w="880" w:type="dxa"/>
            <w:vAlign w:val="bottom"/>
            <w:tcBorders>
              <w:bottom w:val="single" w:sz="8" w:color="0956FF"/>
            </w:tcBorders>
          </w:tcPr>
          <w:p>
            <w:pPr>
              <w:jc w:val="right"/>
              <w:ind w:right="54"/>
              <w:spacing w:after="0"/>
              <w:rPr>
                <w:sz w:val="20"/>
                <w:szCs w:val="20"/>
                <w:color w:val="auto"/>
              </w:rPr>
            </w:pPr>
            <w:r>
              <w:rPr>
                <w:rFonts w:ascii="Arial" w:cs="Arial" w:eastAsia="Arial" w:hAnsi="Arial"/>
                <w:sz w:val="13"/>
                <w:szCs w:val="13"/>
                <w:color w:val="auto"/>
              </w:rPr>
              <w:t>1,958,430</w:t>
            </w:r>
          </w:p>
        </w:tc>
        <w:tc>
          <w:tcPr>
            <w:tcW w:w="660" w:type="dxa"/>
            <w:vAlign w:val="bottom"/>
            <w:tcBorders>
              <w:bottom w:val="single" w:sz="8" w:color="0956FF"/>
            </w:tcBorders>
          </w:tcPr>
          <w:p>
            <w:pPr>
              <w:spacing w:after="0"/>
              <w:rPr>
                <w:sz w:val="18"/>
                <w:szCs w:val="18"/>
                <w:color w:val="auto"/>
              </w:rPr>
            </w:pPr>
          </w:p>
        </w:tc>
        <w:tc>
          <w:tcPr>
            <w:tcW w:w="300" w:type="dxa"/>
            <w:vAlign w:val="bottom"/>
            <w:tcBorders>
              <w:bottom w:val="single" w:sz="8" w:color="0956FF"/>
            </w:tcBorders>
          </w:tcPr>
          <w:p>
            <w:pPr>
              <w:spacing w:after="0"/>
              <w:rPr>
                <w:sz w:val="18"/>
                <w:szCs w:val="18"/>
                <w:color w:val="auto"/>
              </w:rPr>
            </w:pPr>
          </w:p>
        </w:tc>
        <w:tc>
          <w:tcPr>
            <w:tcW w:w="840" w:type="dxa"/>
            <w:vAlign w:val="bottom"/>
            <w:tcBorders>
              <w:bottom w:val="single" w:sz="8" w:color="0956FF"/>
            </w:tcBorders>
          </w:tcPr>
          <w:p>
            <w:pPr>
              <w:spacing w:after="0"/>
              <w:rPr>
                <w:sz w:val="18"/>
                <w:szCs w:val="18"/>
                <w:color w:val="auto"/>
              </w:rPr>
            </w:pPr>
          </w:p>
        </w:tc>
        <w:tc>
          <w:tcPr>
            <w:tcW w:w="260" w:type="dxa"/>
            <w:vAlign w:val="bottom"/>
            <w:tcBorders>
              <w:bottom w:val="single" w:sz="8" w:color="0956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0" w:hanging="192"/>
        <w:spacing w:after="0"/>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The awards are valued based on the closing price of GM common stock on the NYSE on December 31, 2025, which was $81.32.</w:t>
      </w:r>
    </w:p>
    <w:p>
      <w:pPr>
        <w:spacing w:after="0" w:line="43"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RSU awards granted on February 4, 2025, and vest ratably each February 4 of 2026, 2027, and 2028.</w:t>
      </w:r>
    </w:p>
    <w:p>
      <w:pPr>
        <w:spacing w:after="0" w:line="43"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RSU awards granted on February 6, 2024, and vest ratably each February 6 of 2025, 2026, and 2027.</w:t>
      </w:r>
    </w:p>
    <w:p>
      <w:pPr>
        <w:spacing w:after="0" w:line="57" w:lineRule="exact"/>
        <w:rPr>
          <w:rFonts w:ascii="Arial" w:cs="Arial" w:eastAsia="Arial" w:hAnsi="Arial"/>
          <w:sz w:val="19"/>
          <w:szCs w:val="19"/>
          <w:color w:val="auto"/>
          <w:vertAlign w:val="superscript"/>
        </w:rPr>
      </w:pPr>
    </w:p>
    <w:p>
      <w:pPr>
        <w:ind w:left="200" w:hanging="192"/>
        <w:spacing w:after="0" w:line="204" w:lineRule="auto"/>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Stock options granted on February 7, 2023, and vest ratably each February 7 of 2024, 2025, and 2026.</w:t>
      </w:r>
    </w:p>
    <w:p>
      <w:pPr>
        <w:spacing w:after="0" w:line="66" w:lineRule="exact"/>
        <w:rPr>
          <w:rFonts w:ascii="Arial" w:cs="Arial" w:eastAsia="Arial" w:hAnsi="Arial"/>
          <w:sz w:val="19"/>
          <w:szCs w:val="19"/>
          <w:color w:val="auto"/>
          <w:vertAlign w:val="superscript"/>
        </w:rPr>
      </w:pPr>
    </w:p>
    <w:p>
      <w:pPr>
        <w:jc w:val="both"/>
        <w:ind w:left="200" w:right="440" w:hanging="192"/>
        <w:spacing w:after="0" w:line="257" w:lineRule="auto"/>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2023-2025 PSU awards granted on February 7, 2023, and July 3, 2023, cliff-vested on February 7, 2026, upon determination of results for the performance period January 1, 2023-December 31, 2025. The final performance of the 2023-2025 PSU award was 162% and is discussed on page 53.</w:t>
      </w:r>
    </w:p>
    <w:p>
      <w:pPr>
        <w:spacing w:after="0" w:line="42" w:lineRule="exact"/>
        <w:rPr>
          <w:rFonts w:ascii="Arial" w:cs="Arial" w:eastAsia="Arial" w:hAnsi="Arial"/>
          <w:sz w:val="19"/>
          <w:szCs w:val="19"/>
          <w:color w:val="auto"/>
          <w:vertAlign w:val="superscript"/>
        </w:rPr>
      </w:pPr>
    </w:p>
    <w:p>
      <w:pPr>
        <w:ind w:left="200" w:right="260" w:hanging="192"/>
        <w:spacing w:after="0" w:line="266" w:lineRule="auto"/>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Mr. Anderson was granted two RSU awards on July 29, 2025. One award shares the same vest dates as the annual grant as described in footnote 2 in the amount of 21,989 shares per vest. The second award covering 191,902 shares will vest in equal installments on July 29 of 2026 and 2027.</w:t>
      </w:r>
    </w:p>
    <w:p>
      <w:pPr>
        <w:spacing w:after="0" w:line="35" w:lineRule="exact"/>
        <w:rPr>
          <w:rFonts w:ascii="Arial" w:cs="Arial" w:eastAsia="Arial" w:hAnsi="Arial"/>
          <w:sz w:val="19"/>
          <w:szCs w:val="19"/>
          <w:color w:val="auto"/>
          <w:vertAlign w:val="superscript"/>
        </w:rPr>
      </w:pPr>
    </w:p>
    <w:p>
      <w:pPr>
        <w:ind w:left="200" w:right="540" w:hanging="192"/>
        <w:spacing w:after="0" w:line="239" w:lineRule="auto"/>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2025-2027 PSU awards granted on February 4, 2025, and July 29, 2025, cliff-vest on February 4, 2028, upon determination of results for the performance period January 1, 2025-December 31, 2027.</w:t>
      </w:r>
    </w:p>
    <w:p>
      <w:pPr>
        <w:spacing w:after="0" w:line="54" w:lineRule="exact"/>
        <w:rPr>
          <w:rFonts w:ascii="Arial" w:cs="Arial" w:eastAsia="Arial" w:hAnsi="Arial"/>
          <w:sz w:val="19"/>
          <w:szCs w:val="19"/>
          <w:color w:val="auto"/>
          <w:vertAlign w:val="superscript"/>
        </w:rPr>
      </w:pPr>
    </w:p>
    <w:p>
      <w:pPr>
        <w:ind w:left="200" w:right="540" w:hanging="192"/>
        <w:spacing w:after="0" w:line="239" w:lineRule="auto"/>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2024-2026 PSU awards granted on February 6, 2024, and July 29, 2025, cliff-vest on February 6, 2027, upon determination of results for the performance period January 1, 2024-December 31, 2026.</w:t>
      </w:r>
    </w:p>
    <w:p>
      <w:pPr>
        <w:spacing w:after="0" w:line="67" w:lineRule="exact"/>
        <w:rPr>
          <w:rFonts w:ascii="Arial" w:cs="Arial" w:eastAsia="Arial" w:hAnsi="Arial"/>
          <w:sz w:val="19"/>
          <w:szCs w:val="19"/>
          <w:color w:val="auto"/>
          <w:vertAlign w:val="superscript"/>
        </w:rPr>
      </w:pPr>
    </w:p>
    <w:p>
      <w:pPr>
        <w:ind w:left="200" w:right="520" w:hanging="192"/>
        <w:spacing w:after="0" w:line="252" w:lineRule="auto"/>
        <w:tabs>
          <w:tab w:leader="none" w:pos="20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Assumes target-level payout of PSU awards. The number of shares (and market value of such shares) for maximum-level payout with respect to unvested 2025-2027 PSUs granted on February 4, 2025, outstanding as of December 31, 2025, for Ms. Barra is 648,550 ($52,740,086); for Mr. Jacobson is 318,098 ($25,867,729); for Mr. Reuss is 446,650 ($36,321,578); and for Mr. Harvey is</w:t>
      </w:r>
    </w:p>
    <w:p>
      <w:pPr>
        <w:ind w:left="200"/>
        <w:spacing w:after="0"/>
        <w:rPr>
          <w:rFonts w:ascii="Arial" w:cs="Arial" w:eastAsia="Arial" w:hAnsi="Arial"/>
          <w:sz w:val="19"/>
          <w:szCs w:val="19"/>
          <w:color w:val="auto"/>
          <w:vertAlign w:val="superscript"/>
        </w:rPr>
      </w:pPr>
      <w:r>
        <w:rPr>
          <w:rFonts w:ascii="Arial" w:cs="Arial" w:eastAsia="Arial" w:hAnsi="Arial"/>
          <w:sz w:val="14"/>
          <w:szCs w:val="14"/>
          <w:color w:val="auto"/>
        </w:rPr>
        <w:t>218,886 ($17,799,810).</w:t>
      </w:r>
    </w:p>
    <w:p>
      <w:pPr>
        <w:spacing w:after="0" w:line="80" w:lineRule="exact"/>
        <w:rPr>
          <w:rFonts w:ascii="Arial" w:cs="Arial" w:eastAsia="Arial" w:hAnsi="Arial"/>
          <w:sz w:val="19"/>
          <w:szCs w:val="19"/>
          <w:color w:val="auto"/>
          <w:vertAlign w:val="superscript"/>
        </w:rPr>
      </w:pPr>
    </w:p>
    <w:p>
      <w:pPr>
        <w:ind w:left="200" w:right="520" w:hanging="192"/>
        <w:spacing w:after="0" w:line="303" w:lineRule="auto"/>
        <w:tabs>
          <w:tab w:leader="none" w:pos="200" w:val="left"/>
        </w:tabs>
        <w:numPr>
          <w:ilvl w:val="0"/>
          <w:numId w:val="91"/>
        </w:numPr>
        <w:rPr>
          <w:rFonts w:ascii="Arial" w:cs="Arial" w:eastAsia="Arial" w:hAnsi="Arial"/>
          <w:sz w:val="16"/>
          <w:szCs w:val="16"/>
          <w:color w:val="auto"/>
          <w:vertAlign w:val="superscript"/>
        </w:rPr>
      </w:pPr>
      <w:r>
        <w:rPr>
          <w:rFonts w:ascii="Arial" w:cs="Arial" w:eastAsia="Arial" w:hAnsi="Arial"/>
          <w:sz w:val="12"/>
          <w:szCs w:val="12"/>
          <w:color w:val="auto"/>
        </w:rPr>
        <w:t>Assumes target-level payout of PSU awards. The number of shares (and market value of such shares) for maximum-level payout with respect to unvested 2024-2026 PSUs granted on February 6, 2024, outstanding as of December 31, 2025, for Ms. Barra is 675,726 ($54,950,038); for Mr. Jacobson is 322,270 ($26,206,996); for Mr. Reuss is 483,836 ($39,345,544); and for Mr. Harvey is</w:t>
      </w:r>
    </w:p>
    <w:p>
      <w:pPr>
        <w:spacing w:after="0" w:line="1" w:lineRule="exact"/>
        <w:rPr>
          <w:rFonts w:ascii="Arial" w:cs="Arial" w:eastAsia="Arial" w:hAnsi="Arial"/>
          <w:sz w:val="16"/>
          <w:szCs w:val="16"/>
          <w:color w:val="auto"/>
          <w:vertAlign w:val="superscript"/>
        </w:rPr>
      </w:pPr>
    </w:p>
    <w:p>
      <w:pPr>
        <w:ind w:left="200"/>
        <w:spacing w:after="0"/>
        <w:rPr>
          <w:rFonts w:ascii="Arial" w:cs="Arial" w:eastAsia="Arial" w:hAnsi="Arial"/>
          <w:sz w:val="16"/>
          <w:szCs w:val="16"/>
          <w:color w:val="auto"/>
          <w:vertAlign w:val="superscript"/>
        </w:rPr>
      </w:pPr>
      <w:r>
        <w:rPr>
          <w:rFonts w:ascii="Arial" w:cs="Arial" w:eastAsia="Arial" w:hAnsi="Arial"/>
          <w:sz w:val="14"/>
          <w:szCs w:val="14"/>
          <w:color w:val="auto"/>
        </w:rPr>
        <w:t>245,600 ($19,972,192).</w:t>
      </w:r>
    </w:p>
    <w:p>
      <w:pPr>
        <w:spacing w:after="0" w:line="80"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91"/>
        </w:numPr>
        <w:rPr>
          <w:rFonts w:ascii="Arial" w:cs="Arial" w:eastAsia="Arial" w:hAnsi="Arial"/>
          <w:sz w:val="16"/>
          <w:szCs w:val="16"/>
          <w:color w:val="auto"/>
          <w:vertAlign w:val="superscript"/>
        </w:rPr>
      </w:pPr>
      <w:r>
        <w:rPr>
          <w:rFonts w:ascii="Arial" w:cs="Arial" w:eastAsia="Arial" w:hAnsi="Arial"/>
          <w:sz w:val="12"/>
          <w:szCs w:val="12"/>
          <w:color w:val="auto"/>
        </w:rPr>
        <w:t>Assumes target-level payout of PSU awards.  The number of shares (and market value of such shares) for maximum-level payout with</w:t>
      </w:r>
    </w:p>
    <w:p>
      <w:pPr>
        <w:spacing w:after="0" w:line="19" w:lineRule="exact"/>
        <w:rPr>
          <w:sz w:val="20"/>
          <w:szCs w:val="20"/>
          <w:color w:val="auto"/>
        </w:rPr>
      </w:pPr>
    </w:p>
    <w:p>
      <w:pPr>
        <w:ind w:left="200" w:right="140"/>
        <w:spacing w:after="0" w:line="304" w:lineRule="auto"/>
        <w:rPr>
          <w:sz w:val="20"/>
          <w:szCs w:val="20"/>
          <w:color w:val="auto"/>
        </w:rPr>
      </w:pPr>
      <w:r>
        <w:rPr>
          <w:rFonts w:ascii="Arial" w:cs="Arial" w:eastAsia="Arial" w:hAnsi="Arial"/>
          <w:sz w:val="14"/>
          <w:szCs w:val="14"/>
          <w:color w:val="auto"/>
        </w:rPr>
        <w:t>respect to unvested 2024-2026 and 2025-2027 PSUs granted on July 29, 2025, outstanding as of December 31, 2025, for Mr. Anderson is 422,184 ($34,332,003) and 395,798 ($32,186,293), respectively.</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65</w:t>
      </w:r>
    </w:p>
    <w:p>
      <w:pPr>
        <w:sectPr>
          <w:pgSz w:w="11900" w:h="16838" w:orient="portrait"/>
          <w:cols w:equalWidth="0" w:num="1">
            <w:col w:w="9220"/>
          </w:cols>
          <w:pgMar w:left="1400" w:top="657" w:right="127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Option Exercises and Stock Vested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00" w:type="dxa"/>
            <w:vAlign w:val="bottom"/>
            <w:shd w:val="clear" w:color="auto" w:fill="ECEBEB"/>
          </w:tcPr>
          <w:p>
            <w:pPr>
              <w:spacing w:after="0"/>
              <w:rPr>
                <w:sz w:val="22"/>
                <w:szCs w:val="22"/>
                <w:color w:val="auto"/>
              </w:rPr>
            </w:pPr>
          </w:p>
        </w:tc>
        <w:tc>
          <w:tcPr>
            <w:tcW w:w="2160" w:type="dxa"/>
            <w:vAlign w:val="bottom"/>
            <w:gridSpan w:val="3"/>
            <w:shd w:val="clear" w:color="auto" w:fill="ECEBEB"/>
          </w:tcPr>
          <w:p>
            <w:pPr>
              <w:ind w:left="46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8"/>
                <w:szCs w:val="18"/>
                <w:b w:val="1"/>
                <w:bCs w:val="1"/>
                <w:color w:val="auto"/>
                <w:vertAlign w:val="superscript"/>
              </w:rPr>
              <w:t>(1)</w:t>
            </w:r>
          </w:p>
        </w:tc>
        <w:tc>
          <w:tcPr>
            <w:tcW w:w="2020" w:type="dxa"/>
            <w:vAlign w:val="bottom"/>
            <w:gridSpan w:val="2"/>
            <w:shd w:val="clear" w:color="auto" w:fill="ECEBEB"/>
          </w:tcPr>
          <w:p>
            <w:pPr>
              <w:jc w:val="right"/>
              <w:ind w:right="403"/>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(2)</w:t>
            </w:r>
          </w:p>
        </w:tc>
      </w:tr>
      <w:tr>
        <w:trPr>
          <w:trHeight w:val="200"/>
        </w:trPr>
        <w:tc>
          <w:tcPr>
            <w:tcW w:w="4900" w:type="dxa"/>
            <w:vAlign w:val="bottom"/>
            <w:tcBorders>
              <w:top w:val="single" w:sz="8" w:color="ECEBEB"/>
            </w:tcBorders>
            <w:shd w:val="clear" w:color="auto" w:fill="ECEBEB"/>
          </w:tcPr>
          <w:p>
            <w:pPr>
              <w:spacing w:after="0"/>
              <w:rPr>
                <w:sz w:val="17"/>
                <w:szCs w:val="17"/>
                <w:color w:val="auto"/>
              </w:rPr>
            </w:pPr>
          </w:p>
        </w:tc>
        <w:tc>
          <w:tcPr>
            <w:tcW w:w="1040" w:type="dxa"/>
            <w:vAlign w:val="bottom"/>
            <w:tcBorders>
              <w:top w:val="single" w:sz="8" w:color="0956FF"/>
            </w:tcBorders>
            <w:shd w:val="clear" w:color="auto" w:fill="ECEBEB"/>
          </w:tcPr>
          <w:p>
            <w:pPr>
              <w:jc w:val="right"/>
              <w:ind w:right="24"/>
              <w:spacing w:after="0"/>
              <w:rPr>
                <w:sz w:val="20"/>
                <w:szCs w:val="20"/>
                <w:color w:val="auto"/>
              </w:rPr>
            </w:pPr>
            <w:r>
              <w:rPr>
                <w:rFonts w:ascii="Arial" w:cs="Arial" w:eastAsia="Arial" w:hAnsi="Arial"/>
                <w:sz w:val="14"/>
                <w:szCs w:val="14"/>
                <w:b w:val="1"/>
                <w:bCs w:val="1"/>
                <w:color w:val="auto"/>
              </w:rPr>
              <w:t>Number of</w:t>
            </w:r>
          </w:p>
        </w:tc>
        <w:tc>
          <w:tcPr>
            <w:tcW w:w="980" w:type="dxa"/>
            <w:vAlign w:val="bottom"/>
            <w:tcBorders>
              <w:top w:val="single" w:sz="8" w:color="0956FF"/>
            </w:tcBorders>
            <w:shd w:val="clear" w:color="auto" w:fill="ECEBEB"/>
          </w:tcPr>
          <w:p>
            <w:pPr>
              <w:spacing w:after="0"/>
              <w:rPr>
                <w:sz w:val="17"/>
                <w:szCs w:val="17"/>
                <w:color w:val="auto"/>
              </w:rPr>
            </w:pPr>
          </w:p>
        </w:tc>
        <w:tc>
          <w:tcPr>
            <w:tcW w:w="140" w:type="dxa"/>
            <w:vAlign w:val="bottom"/>
            <w:tcBorders>
              <w:top w:val="single" w:sz="8" w:color="ECEBEB"/>
            </w:tcBorders>
            <w:shd w:val="clear" w:color="auto" w:fill="ECEBEB"/>
          </w:tcPr>
          <w:p>
            <w:pPr>
              <w:spacing w:after="0"/>
              <w:rPr>
                <w:sz w:val="17"/>
                <w:szCs w:val="17"/>
                <w:color w:val="auto"/>
              </w:rPr>
            </w:pPr>
          </w:p>
        </w:tc>
        <w:tc>
          <w:tcPr>
            <w:tcW w:w="1060" w:type="dxa"/>
            <w:vAlign w:val="bottom"/>
            <w:tcBorders>
              <w:top w:val="single" w:sz="8" w:color="0956FF"/>
            </w:tcBorders>
            <w:shd w:val="clear" w:color="auto" w:fill="ECEBEB"/>
          </w:tcPr>
          <w:p>
            <w:pPr>
              <w:jc w:val="right"/>
              <w:ind w:right="44"/>
              <w:spacing w:after="0"/>
              <w:rPr>
                <w:sz w:val="20"/>
                <w:szCs w:val="20"/>
                <w:color w:val="auto"/>
              </w:rPr>
            </w:pPr>
            <w:r>
              <w:rPr>
                <w:rFonts w:ascii="Arial" w:cs="Arial" w:eastAsia="Arial" w:hAnsi="Arial"/>
                <w:sz w:val="14"/>
                <w:szCs w:val="14"/>
                <w:b w:val="1"/>
                <w:bCs w:val="1"/>
                <w:color w:val="auto"/>
              </w:rPr>
              <w:t>Number of</w:t>
            </w:r>
          </w:p>
        </w:tc>
        <w:tc>
          <w:tcPr>
            <w:tcW w:w="960" w:type="dxa"/>
            <w:vAlign w:val="bottom"/>
            <w:tcBorders>
              <w:top w:val="single" w:sz="8" w:color="0956FF"/>
            </w:tcBorders>
            <w:shd w:val="clear" w:color="auto" w:fill="ECEBEB"/>
          </w:tcPr>
          <w:p>
            <w:pPr>
              <w:spacing w:after="0"/>
              <w:rPr>
                <w:sz w:val="17"/>
                <w:szCs w:val="17"/>
                <w:color w:val="auto"/>
              </w:rPr>
            </w:pPr>
          </w:p>
        </w:tc>
      </w:tr>
      <w:tr>
        <w:trPr>
          <w:trHeight w:val="162"/>
        </w:trPr>
        <w:tc>
          <w:tcPr>
            <w:tcW w:w="4900" w:type="dxa"/>
            <w:vAlign w:val="bottom"/>
            <w:shd w:val="clear" w:color="auto" w:fill="ECEBEB"/>
          </w:tcPr>
          <w:p>
            <w:pPr>
              <w:spacing w:after="0"/>
              <w:rPr>
                <w:sz w:val="14"/>
                <w:szCs w:val="14"/>
                <w:color w:val="auto"/>
              </w:rPr>
            </w:pPr>
          </w:p>
        </w:tc>
        <w:tc>
          <w:tcPr>
            <w:tcW w:w="1040" w:type="dxa"/>
            <w:vAlign w:val="bottom"/>
            <w:shd w:val="clear" w:color="auto" w:fill="ECEBEB"/>
          </w:tcPr>
          <w:p>
            <w:pPr>
              <w:jc w:val="right"/>
              <w:ind w:right="24"/>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shd w:val="clear" w:color="auto" w:fill="ECEBEB"/>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1060" w:type="dxa"/>
            <w:vAlign w:val="bottom"/>
            <w:shd w:val="clear" w:color="auto" w:fill="ECEBEB"/>
          </w:tcPr>
          <w:p>
            <w:pPr>
              <w:jc w:val="right"/>
              <w:ind w:right="44"/>
              <w:spacing w:after="0"/>
              <w:rPr>
                <w:sz w:val="20"/>
                <w:szCs w:val="20"/>
                <w:color w:val="auto"/>
              </w:rPr>
            </w:pPr>
            <w:r>
              <w:rPr>
                <w:rFonts w:ascii="Arial" w:cs="Arial" w:eastAsia="Arial" w:hAnsi="Arial"/>
                <w:sz w:val="14"/>
                <w:szCs w:val="14"/>
                <w:b w:val="1"/>
                <w:bCs w:val="1"/>
                <w:color w:val="auto"/>
              </w:rPr>
              <w:t>Shares</w:t>
            </w:r>
          </w:p>
        </w:tc>
        <w:tc>
          <w:tcPr>
            <w:tcW w:w="96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Value</w:t>
            </w:r>
          </w:p>
        </w:tc>
      </w:tr>
      <w:tr>
        <w:trPr>
          <w:trHeight w:val="175"/>
        </w:trPr>
        <w:tc>
          <w:tcPr>
            <w:tcW w:w="4900" w:type="dxa"/>
            <w:vAlign w:val="bottom"/>
            <w:shd w:val="clear" w:color="auto" w:fill="ECEBEB"/>
          </w:tcPr>
          <w:p>
            <w:pPr>
              <w:spacing w:after="0"/>
              <w:rPr>
                <w:sz w:val="15"/>
                <w:szCs w:val="15"/>
                <w:color w:val="auto"/>
              </w:rPr>
            </w:pPr>
          </w:p>
        </w:tc>
        <w:tc>
          <w:tcPr>
            <w:tcW w:w="1040" w:type="dxa"/>
            <w:vAlign w:val="bottom"/>
            <w:shd w:val="clear" w:color="auto" w:fill="ECEBEB"/>
          </w:tcPr>
          <w:p>
            <w:pPr>
              <w:jc w:val="right"/>
              <w:ind w:right="24"/>
              <w:spacing w:after="0"/>
              <w:rPr>
                <w:sz w:val="20"/>
                <w:szCs w:val="20"/>
                <w:color w:val="auto"/>
              </w:rPr>
            </w:pPr>
            <w:r>
              <w:rPr>
                <w:rFonts w:ascii="Arial" w:cs="Arial" w:eastAsia="Arial" w:hAnsi="Arial"/>
                <w:sz w:val="14"/>
                <w:szCs w:val="14"/>
                <w:b w:val="1"/>
                <w:bCs w:val="1"/>
                <w:color w:val="auto"/>
              </w:rPr>
              <w:t>Acquired</w:t>
            </w:r>
          </w:p>
        </w:tc>
        <w:tc>
          <w:tcPr>
            <w:tcW w:w="1120" w:type="dxa"/>
            <w:vAlign w:val="bottom"/>
            <w:gridSpan w:val="2"/>
            <w:shd w:val="clear" w:color="auto" w:fill="ECEBEB"/>
          </w:tcPr>
          <w:p>
            <w:pPr>
              <w:ind w:left="140"/>
              <w:spacing w:after="0"/>
              <w:rPr>
                <w:sz w:val="20"/>
                <w:szCs w:val="20"/>
                <w:color w:val="auto"/>
              </w:rPr>
            </w:pPr>
            <w:r>
              <w:rPr>
                <w:rFonts w:ascii="Arial" w:cs="Arial" w:eastAsia="Arial" w:hAnsi="Arial"/>
                <w:sz w:val="14"/>
                <w:szCs w:val="14"/>
                <w:b w:val="1"/>
                <w:bCs w:val="1"/>
                <w:color w:val="auto"/>
              </w:rPr>
              <w:t>Realized on</w:t>
            </w:r>
          </w:p>
        </w:tc>
        <w:tc>
          <w:tcPr>
            <w:tcW w:w="1060" w:type="dxa"/>
            <w:vAlign w:val="bottom"/>
            <w:shd w:val="clear" w:color="auto" w:fill="ECEBEB"/>
          </w:tcPr>
          <w:p>
            <w:pPr>
              <w:jc w:val="right"/>
              <w:ind w:right="44"/>
              <w:spacing w:after="0"/>
              <w:rPr>
                <w:sz w:val="20"/>
                <w:szCs w:val="20"/>
                <w:color w:val="auto"/>
              </w:rPr>
            </w:pPr>
            <w:r>
              <w:rPr>
                <w:rFonts w:ascii="Arial" w:cs="Arial" w:eastAsia="Arial" w:hAnsi="Arial"/>
                <w:sz w:val="14"/>
                <w:szCs w:val="14"/>
                <w:b w:val="1"/>
                <w:bCs w:val="1"/>
                <w:color w:val="auto"/>
              </w:rPr>
              <w:t>Acquired</w:t>
            </w:r>
          </w:p>
        </w:tc>
        <w:tc>
          <w:tcPr>
            <w:tcW w:w="960" w:type="dxa"/>
            <w:vAlign w:val="bottom"/>
            <w:shd w:val="clear" w:color="auto" w:fill="ECEBEB"/>
          </w:tcPr>
          <w:p>
            <w:pPr>
              <w:ind w:left="120"/>
              <w:spacing w:after="0"/>
              <w:rPr>
                <w:sz w:val="20"/>
                <w:szCs w:val="20"/>
                <w:color w:val="auto"/>
              </w:rPr>
            </w:pPr>
            <w:r>
              <w:rPr>
                <w:rFonts w:ascii="Arial" w:cs="Arial" w:eastAsia="Arial" w:hAnsi="Arial"/>
                <w:sz w:val="14"/>
                <w:szCs w:val="14"/>
                <w:b w:val="1"/>
                <w:bCs w:val="1"/>
                <w:color w:val="auto"/>
              </w:rPr>
              <w:t>Realized on</w:t>
            </w:r>
          </w:p>
        </w:tc>
      </w:tr>
      <w:tr>
        <w:trPr>
          <w:trHeight w:val="176"/>
        </w:trPr>
        <w:tc>
          <w:tcPr>
            <w:tcW w:w="4900" w:type="dxa"/>
            <w:vAlign w:val="bottom"/>
            <w:shd w:val="clear" w:color="auto" w:fill="ECEBEB"/>
          </w:tcPr>
          <w:p>
            <w:pPr>
              <w:spacing w:after="0"/>
              <w:rPr>
                <w:sz w:val="15"/>
                <w:szCs w:val="15"/>
                <w:color w:val="auto"/>
              </w:rPr>
            </w:pPr>
          </w:p>
        </w:tc>
        <w:tc>
          <w:tcPr>
            <w:tcW w:w="1040" w:type="dxa"/>
            <w:vAlign w:val="bottom"/>
            <w:shd w:val="clear" w:color="auto" w:fill="ECEBEB"/>
          </w:tcPr>
          <w:p>
            <w:pPr>
              <w:jc w:val="right"/>
              <w:ind w:right="4"/>
              <w:spacing w:after="0"/>
              <w:rPr>
                <w:sz w:val="20"/>
                <w:szCs w:val="20"/>
                <w:color w:val="auto"/>
              </w:rPr>
            </w:pPr>
            <w:r>
              <w:rPr>
                <w:rFonts w:ascii="Arial" w:cs="Arial" w:eastAsia="Arial" w:hAnsi="Arial"/>
                <w:sz w:val="14"/>
                <w:szCs w:val="14"/>
                <w:b w:val="1"/>
                <w:bCs w:val="1"/>
                <w:color w:val="auto"/>
              </w:rPr>
              <w:t>on Exercise</w:t>
            </w:r>
          </w:p>
        </w:tc>
        <w:tc>
          <w:tcPr>
            <w:tcW w:w="1120" w:type="dxa"/>
            <w:vAlign w:val="bottom"/>
            <w:gridSpan w:val="2"/>
            <w:shd w:val="clear" w:color="auto" w:fill="ECEBEB"/>
          </w:tcPr>
          <w:p>
            <w:pPr>
              <w:jc w:val="right"/>
              <w:ind w:right="180"/>
              <w:spacing w:after="0"/>
              <w:rPr>
                <w:sz w:val="20"/>
                <w:szCs w:val="20"/>
                <w:color w:val="auto"/>
              </w:rPr>
            </w:pPr>
            <w:r>
              <w:rPr>
                <w:rFonts w:ascii="Arial" w:cs="Arial" w:eastAsia="Arial" w:hAnsi="Arial"/>
                <w:sz w:val="14"/>
                <w:szCs w:val="14"/>
                <w:b w:val="1"/>
                <w:bCs w:val="1"/>
                <w:color w:val="auto"/>
              </w:rPr>
              <w:t>Exercise</w:t>
            </w:r>
          </w:p>
        </w:tc>
        <w:tc>
          <w:tcPr>
            <w:tcW w:w="1060" w:type="dxa"/>
            <w:vAlign w:val="bottom"/>
            <w:shd w:val="clear" w:color="auto" w:fill="ECEBEB"/>
          </w:tcPr>
          <w:p>
            <w:pPr>
              <w:jc w:val="right"/>
              <w:ind w:right="44"/>
              <w:spacing w:after="0"/>
              <w:rPr>
                <w:sz w:val="20"/>
                <w:szCs w:val="20"/>
                <w:color w:val="auto"/>
              </w:rPr>
            </w:pPr>
            <w:r>
              <w:rPr>
                <w:rFonts w:ascii="Arial" w:cs="Arial" w:eastAsia="Arial" w:hAnsi="Arial"/>
                <w:sz w:val="14"/>
                <w:szCs w:val="14"/>
                <w:b w:val="1"/>
                <w:bCs w:val="1"/>
                <w:color w:val="auto"/>
              </w:rPr>
              <w:t>on Vesting</w:t>
            </w:r>
          </w:p>
        </w:tc>
        <w:tc>
          <w:tcPr>
            <w:tcW w:w="96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Vesting</w:t>
            </w:r>
          </w:p>
        </w:tc>
      </w:tr>
      <w:tr>
        <w:trPr>
          <w:trHeight w:val="197"/>
        </w:trPr>
        <w:tc>
          <w:tcPr>
            <w:tcW w:w="490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Name</w:t>
            </w:r>
          </w:p>
        </w:tc>
        <w:tc>
          <w:tcPr>
            <w:tcW w:w="1040" w:type="dxa"/>
            <w:vAlign w:val="bottom"/>
            <w:tcBorders>
              <w:bottom w:val="single" w:sz="8" w:color="0956FF"/>
            </w:tcBorders>
            <w:shd w:val="clear" w:color="auto" w:fill="ECEBEB"/>
          </w:tcPr>
          <w:p>
            <w:pPr>
              <w:jc w:val="right"/>
              <w:ind w:right="64"/>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0956FF"/>
            </w:tcBorders>
            <w:shd w:val="clear" w:color="auto" w:fill="ECEBEB"/>
          </w:tcPr>
          <w:p>
            <w:pPr>
              <w:spacing w:after="0"/>
              <w:rPr>
                <w:sz w:val="17"/>
                <w:szCs w:val="17"/>
                <w:color w:val="auto"/>
              </w:rPr>
            </w:pPr>
          </w:p>
        </w:tc>
        <w:tc>
          <w:tcPr>
            <w:tcW w:w="1060" w:type="dxa"/>
            <w:vAlign w:val="bottom"/>
            <w:tcBorders>
              <w:bottom w:val="single" w:sz="8" w:color="0956FF"/>
            </w:tcBorders>
            <w:shd w:val="clear" w:color="auto" w:fill="ECEBEB"/>
          </w:tcPr>
          <w:p>
            <w:pPr>
              <w:jc w:val="right"/>
              <w:ind w:right="84"/>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49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Mary T. Barra</w:t>
            </w:r>
          </w:p>
        </w:tc>
        <w:tc>
          <w:tcPr>
            <w:tcW w:w="1040" w:type="dxa"/>
            <w:vAlign w:val="bottom"/>
            <w:tcBorders>
              <w:bottom w:val="single" w:sz="8" w:color="D8D7D7"/>
            </w:tcBorders>
          </w:tcPr>
          <w:p>
            <w:pPr>
              <w:jc w:val="right"/>
              <w:ind w:right="24"/>
              <w:spacing w:after="0"/>
              <w:rPr>
                <w:sz w:val="20"/>
                <w:szCs w:val="20"/>
                <w:color w:val="auto"/>
              </w:rPr>
            </w:pPr>
            <w:r>
              <w:rPr>
                <w:rFonts w:ascii="Arial" w:cs="Arial" w:eastAsia="Arial" w:hAnsi="Arial"/>
                <w:sz w:val="16"/>
                <w:szCs w:val="16"/>
                <w:color w:val="auto"/>
              </w:rPr>
              <w:t>1,214,048</w:t>
            </w:r>
          </w:p>
        </w:tc>
        <w:tc>
          <w:tcPr>
            <w:tcW w:w="980" w:type="dxa"/>
            <w:vAlign w:val="bottom"/>
            <w:tcBorders>
              <w:bottom w:val="single" w:sz="8" w:color="D8D7D7"/>
            </w:tcBorders>
          </w:tcPr>
          <w:p>
            <w:pPr>
              <w:jc w:val="right"/>
              <w:ind w:right="43"/>
              <w:spacing w:after="0"/>
              <w:rPr>
                <w:sz w:val="20"/>
                <w:szCs w:val="20"/>
                <w:color w:val="auto"/>
              </w:rPr>
            </w:pPr>
            <w:r>
              <w:rPr>
                <w:rFonts w:ascii="Arial" w:cs="Arial" w:eastAsia="Arial" w:hAnsi="Arial"/>
                <w:sz w:val="16"/>
                <w:szCs w:val="16"/>
                <w:color w:val="auto"/>
              </w:rPr>
              <w:t>27,005,289</w:t>
            </w:r>
          </w:p>
        </w:tc>
        <w:tc>
          <w:tcPr>
            <w:tcW w:w="140" w:type="dxa"/>
            <w:vAlign w:val="bottom"/>
            <w:tcBorders>
              <w:bottom w:val="single" w:sz="8" w:color="D8D7D7"/>
            </w:tcBorders>
          </w:tcPr>
          <w:p>
            <w:pPr>
              <w:spacing w:after="0"/>
              <w:rPr>
                <w:sz w:val="21"/>
                <w:szCs w:val="21"/>
                <w:color w:val="auto"/>
              </w:rPr>
            </w:pPr>
          </w:p>
        </w:tc>
        <w:tc>
          <w:tcPr>
            <w:tcW w:w="1060" w:type="dxa"/>
            <w:vAlign w:val="bottom"/>
            <w:tcBorders>
              <w:bottom w:val="single" w:sz="8" w:color="D8D7D7"/>
            </w:tcBorders>
          </w:tcPr>
          <w:p>
            <w:pPr>
              <w:jc w:val="right"/>
              <w:ind w:right="44"/>
              <w:spacing w:after="0"/>
              <w:rPr>
                <w:sz w:val="20"/>
                <w:szCs w:val="20"/>
                <w:color w:val="auto"/>
              </w:rPr>
            </w:pPr>
            <w:r>
              <w:rPr>
                <w:rFonts w:ascii="Arial" w:cs="Arial" w:eastAsia="Arial" w:hAnsi="Arial"/>
                <w:sz w:val="16"/>
                <w:szCs w:val="16"/>
                <w:color w:val="auto"/>
              </w:rPr>
              <w:t>272,271</w:t>
            </w:r>
          </w:p>
        </w:tc>
        <w:tc>
          <w:tcPr>
            <w:tcW w:w="960" w:type="dxa"/>
            <w:vAlign w:val="bottom"/>
            <w:tcBorders>
              <w:bottom w:val="single" w:sz="8" w:color="D8D7D7"/>
            </w:tcBorders>
          </w:tcPr>
          <w:p>
            <w:pPr>
              <w:jc w:val="right"/>
              <w:ind w:right="3"/>
              <w:spacing w:after="0"/>
              <w:rPr>
                <w:sz w:val="20"/>
                <w:szCs w:val="20"/>
                <w:color w:val="auto"/>
              </w:rPr>
            </w:pPr>
            <w:r>
              <w:rPr>
                <w:rFonts w:ascii="Arial" w:cs="Arial" w:eastAsia="Arial" w:hAnsi="Arial"/>
                <w:sz w:val="16"/>
                <w:szCs w:val="16"/>
                <w:color w:val="auto"/>
              </w:rPr>
              <w:t>12,925,997</w:t>
            </w:r>
          </w:p>
        </w:tc>
      </w:tr>
      <w:tr>
        <w:trPr>
          <w:trHeight w:val="250"/>
        </w:trPr>
        <w:tc>
          <w:tcPr>
            <w:tcW w:w="49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Paul A. Jacobson</w:t>
            </w:r>
          </w:p>
        </w:tc>
        <w:tc>
          <w:tcPr>
            <w:tcW w:w="10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8D7D7"/>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8D7D7"/>
            </w:tcBorders>
          </w:tcPr>
          <w:p>
            <w:pPr>
              <w:jc w:val="right"/>
              <w:ind w:right="84"/>
              <w:spacing w:after="0"/>
              <w:rPr>
                <w:sz w:val="20"/>
                <w:szCs w:val="20"/>
                <w:color w:val="auto"/>
              </w:rPr>
            </w:pPr>
            <w:r>
              <w:rPr>
                <w:rFonts w:ascii="Arial" w:cs="Arial" w:eastAsia="Arial" w:hAnsi="Arial"/>
                <w:sz w:val="16"/>
                <w:szCs w:val="16"/>
                <w:color w:val="auto"/>
              </w:rPr>
              <w:t>104,545</w:t>
            </w:r>
          </w:p>
        </w:tc>
        <w:tc>
          <w:tcPr>
            <w:tcW w:w="960" w:type="dxa"/>
            <w:vAlign w:val="bottom"/>
            <w:tcBorders>
              <w:bottom w:val="single" w:sz="8" w:color="D8D7D7"/>
            </w:tcBorders>
          </w:tcPr>
          <w:p>
            <w:pPr>
              <w:ind w:left="120"/>
              <w:spacing w:after="0"/>
              <w:rPr>
                <w:sz w:val="20"/>
                <w:szCs w:val="20"/>
                <w:color w:val="auto"/>
              </w:rPr>
            </w:pPr>
            <w:r>
              <w:rPr>
                <w:rFonts w:ascii="Arial" w:cs="Arial" w:eastAsia="Arial" w:hAnsi="Arial"/>
                <w:sz w:val="16"/>
                <w:szCs w:val="16"/>
                <w:color w:val="auto"/>
              </w:rPr>
              <w:t>4,965,392</w:t>
            </w:r>
          </w:p>
        </w:tc>
      </w:tr>
      <w:tr>
        <w:trPr>
          <w:trHeight w:val="250"/>
        </w:trPr>
        <w:tc>
          <w:tcPr>
            <w:tcW w:w="49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Mark L. Reuss</w:t>
            </w:r>
          </w:p>
        </w:tc>
        <w:tc>
          <w:tcPr>
            <w:tcW w:w="1040" w:type="dxa"/>
            <w:vAlign w:val="bottom"/>
            <w:tcBorders>
              <w:bottom w:val="single" w:sz="8" w:color="D8D7D7"/>
            </w:tcBorders>
          </w:tcPr>
          <w:p>
            <w:pPr>
              <w:jc w:val="right"/>
              <w:ind w:right="64"/>
              <w:spacing w:after="0"/>
              <w:rPr>
                <w:sz w:val="20"/>
                <w:szCs w:val="20"/>
                <w:color w:val="auto"/>
              </w:rPr>
            </w:pPr>
            <w:r>
              <w:rPr>
                <w:rFonts w:ascii="Arial" w:cs="Arial" w:eastAsia="Arial" w:hAnsi="Arial"/>
                <w:sz w:val="16"/>
                <w:szCs w:val="16"/>
                <w:color w:val="auto"/>
              </w:rPr>
              <w:t>307,570</w:t>
            </w:r>
          </w:p>
        </w:tc>
        <w:tc>
          <w:tcPr>
            <w:tcW w:w="980" w:type="dxa"/>
            <w:vAlign w:val="bottom"/>
            <w:tcBorders>
              <w:bottom w:val="single" w:sz="8" w:color="D8D7D7"/>
            </w:tcBorders>
          </w:tcPr>
          <w:p>
            <w:pPr>
              <w:jc w:val="right"/>
              <w:ind w:right="23"/>
              <w:spacing w:after="0"/>
              <w:rPr>
                <w:sz w:val="20"/>
                <w:szCs w:val="20"/>
                <w:color w:val="auto"/>
              </w:rPr>
            </w:pPr>
            <w:r>
              <w:rPr>
                <w:rFonts w:ascii="Arial" w:cs="Arial" w:eastAsia="Arial" w:hAnsi="Arial"/>
                <w:sz w:val="16"/>
                <w:szCs w:val="16"/>
                <w:color w:val="auto"/>
              </w:rPr>
              <w:t>8,453,759</w:t>
            </w:r>
          </w:p>
        </w:tc>
        <w:tc>
          <w:tcPr>
            <w:tcW w:w="140" w:type="dxa"/>
            <w:vAlign w:val="bottom"/>
            <w:tcBorders>
              <w:bottom w:val="single" w:sz="8" w:color="D8D7D7"/>
            </w:tcBorders>
          </w:tcPr>
          <w:p>
            <w:pPr>
              <w:spacing w:after="0"/>
              <w:rPr>
                <w:sz w:val="21"/>
                <w:szCs w:val="21"/>
                <w:color w:val="auto"/>
              </w:rPr>
            </w:pPr>
          </w:p>
        </w:tc>
        <w:tc>
          <w:tcPr>
            <w:tcW w:w="1060" w:type="dxa"/>
            <w:vAlign w:val="bottom"/>
            <w:tcBorders>
              <w:bottom w:val="single" w:sz="8" w:color="D8D7D7"/>
            </w:tcBorders>
          </w:tcPr>
          <w:p>
            <w:pPr>
              <w:jc w:val="right"/>
              <w:ind w:right="64"/>
              <w:spacing w:after="0"/>
              <w:rPr>
                <w:sz w:val="20"/>
                <w:szCs w:val="20"/>
                <w:color w:val="auto"/>
              </w:rPr>
            </w:pPr>
            <w:r>
              <w:rPr>
                <w:rFonts w:ascii="Arial" w:cs="Arial" w:eastAsia="Arial" w:hAnsi="Arial"/>
                <w:sz w:val="16"/>
                <w:szCs w:val="16"/>
                <w:color w:val="auto"/>
              </w:rPr>
              <w:t>147,868</w:t>
            </w:r>
          </w:p>
        </w:tc>
        <w:tc>
          <w:tcPr>
            <w:tcW w:w="960" w:type="dxa"/>
            <w:vAlign w:val="bottom"/>
            <w:tcBorders>
              <w:bottom w:val="single" w:sz="8" w:color="D8D7D7"/>
            </w:tcBorders>
          </w:tcPr>
          <w:p>
            <w:pPr>
              <w:ind w:left="140"/>
              <w:spacing w:after="0"/>
              <w:rPr>
                <w:sz w:val="20"/>
                <w:szCs w:val="20"/>
                <w:color w:val="auto"/>
              </w:rPr>
            </w:pPr>
            <w:r>
              <w:rPr>
                <w:rFonts w:ascii="Arial" w:cs="Arial" w:eastAsia="Arial" w:hAnsi="Arial"/>
                <w:sz w:val="16"/>
                <w:szCs w:val="16"/>
                <w:color w:val="auto"/>
              </w:rPr>
              <w:t>7,023,986</w:t>
            </w:r>
          </w:p>
        </w:tc>
      </w:tr>
      <w:tr>
        <w:trPr>
          <w:trHeight w:val="250"/>
        </w:trPr>
        <w:tc>
          <w:tcPr>
            <w:tcW w:w="49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Sterling J. Anderson</w:t>
            </w:r>
          </w:p>
        </w:tc>
        <w:tc>
          <w:tcPr>
            <w:tcW w:w="10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8D7D7"/>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490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0956FF"/>
              </w:rPr>
              <w:t>Rory V. Harvey</w:t>
            </w:r>
          </w:p>
        </w:tc>
        <w:tc>
          <w:tcPr>
            <w:tcW w:w="1040" w:type="dxa"/>
            <w:vAlign w:val="bottom"/>
            <w:tcBorders>
              <w:bottom w:val="single" w:sz="8" w:color="0956FF"/>
            </w:tcBorders>
          </w:tcPr>
          <w:p>
            <w:pPr>
              <w:jc w:val="right"/>
              <w:spacing w:after="0"/>
              <w:rPr>
                <w:sz w:val="20"/>
                <w:szCs w:val="20"/>
                <w:color w:val="auto"/>
              </w:rPr>
            </w:pPr>
            <w:r>
              <w:rPr>
                <w:rFonts w:ascii="Arial" w:cs="Arial" w:eastAsia="Arial" w:hAnsi="Arial"/>
                <w:sz w:val="16"/>
                <w:szCs w:val="16"/>
                <w:color w:val="auto"/>
              </w:rPr>
              <w:t>16,711</w:t>
            </w:r>
          </w:p>
        </w:tc>
        <w:tc>
          <w:tcPr>
            <w:tcW w:w="980" w:type="dxa"/>
            <w:vAlign w:val="bottom"/>
            <w:tcBorders>
              <w:bottom w:val="single" w:sz="8" w:color="0956FF"/>
            </w:tcBorders>
          </w:tcPr>
          <w:p>
            <w:pPr>
              <w:jc w:val="right"/>
              <w:spacing w:after="0"/>
              <w:rPr>
                <w:sz w:val="20"/>
                <w:szCs w:val="20"/>
                <w:color w:val="auto"/>
              </w:rPr>
            </w:pPr>
            <w:r>
              <w:rPr>
                <w:rFonts w:ascii="Arial" w:cs="Arial" w:eastAsia="Arial" w:hAnsi="Arial"/>
                <w:sz w:val="16"/>
                <w:szCs w:val="16"/>
                <w:color w:val="auto"/>
              </w:rPr>
              <w:t>178,761</w:t>
            </w:r>
          </w:p>
        </w:tc>
        <w:tc>
          <w:tcPr>
            <w:tcW w:w="140" w:type="dxa"/>
            <w:vAlign w:val="bottom"/>
            <w:tcBorders>
              <w:bottom w:val="single" w:sz="8" w:color="0956FF"/>
            </w:tcBorders>
          </w:tcPr>
          <w:p>
            <w:pPr>
              <w:spacing w:after="0"/>
              <w:rPr>
                <w:sz w:val="21"/>
                <w:szCs w:val="21"/>
                <w:color w:val="auto"/>
              </w:rPr>
            </w:pPr>
          </w:p>
        </w:tc>
        <w:tc>
          <w:tcPr>
            <w:tcW w:w="1060" w:type="dxa"/>
            <w:vAlign w:val="bottom"/>
            <w:tcBorders>
              <w:bottom w:val="single" w:sz="8" w:color="0956FF"/>
            </w:tcBorders>
          </w:tcPr>
          <w:p>
            <w:pPr>
              <w:jc w:val="right"/>
              <w:ind w:right="64"/>
              <w:spacing w:after="0"/>
              <w:rPr>
                <w:sz w:val="20"/>
                <w:szCs w:val="20"/>
                <w:color w:val="auto"/>
              </w:rPr>
            </w:pPr>
            <w:r>
              <w:rPr>
                <w:rFonts w:ascii="Arial" w:cs="Arial" w:eastAsia="Arial" w:hAnsi="Arial"/>
                <w:sz w:val="16"/>
                <w:szCs w:val="16"/>
                <w:color w:val="auto"/>
              </w:rPr>
              <w:t>26,567</w:t>
            </w:r>
          </w:p>
        </w:tc>
        <w:tc>
          <w:tcPr>
            <w:tcW w:w="960" w:type="dxa"/>
            <w:vAlign w:val="bottom"/>
            <w:tcBorders>
              <w:bottom w:val="single" w:sz="8" w:color="0956FF"/>
            </w:tcBorders>
          </w:tcPr>
          <w:p>
            <w:pPr>
              <w:jc w:val="right"/>
              <w:spacing w:after="0"/>
              <w:rPr>
                <w:sz w:val="20"/>
                <w:szCs w:val="20"/>
                <w:color w:val="auto"/>
              </w:rPr>
            </w:pPr>
            <w:r>
              <w:rPr>
                <w:rFonts w:ascii="Arial" w:cs="Arial" w:eastAsia="Arial" w:hAnsi="Arial"/>
                <w:sz w:val="16"/>
                <w:szCs w:val="16"/>
                <w:color w:val="auto"/>
              </w:rPr>
              <w:t>1,267,397</w:t>
            </w:r>
          </w:p>
        </w:tc>
      </w:tr>
    </w:tbl>
    <w:p>
      <w:pPr>
        <w:spacing w:after="0" w:line="85" w:lineRule="exact"/>
        <w:rPr>
          <w:sz w:val="20"/>
          <w:szCs w:val="20"/>
          <w:color w:val="auto"/>
        </w:rPr>
      </w:pPr>
    </w:p>
    <w:p>
      <w:pPr>
        <w:ind w:left="200" w:right="720" w:hanging="192"/>
        <w:spacing w:after="0" w:line="239" w:lineRule="auto"/>
        <w:tabs>
          <w:tab w:leader="none" w:pos="200"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The aggregate dollar value realized upon exercise is computed by multiplying the number of shares at exercise by the difference between the market price of GM common stock and the exercise price of the options.</w:t>
      </w:r>
    </w:p>
    <w:p>
      <w:pPr>
        <w:spacing w:after="0" w:line="54" w:lineRule="exact"/>
        <w:rPr>
          <w:rFonts w:ascii="Arial" w:cs="Arial" w:eastAsia="Arial" w:hAnsi="Arial"/>
          <w:sz w:val="19"/>
          <w:szCs w:val="19"/>
          <w:color w:val="auto"/>
          <w:vertAlign w:val="superscript"/>
        </w:rPr>
      </w:pPr>
    </w:p>
    <w:p>
      <w:pPr>
        <w:ind w:left="200" w:right="740" w:hanging="192"/>
        <w:spacing w:after="0" w:line="239" w:lineRule="auto"/>
        <w:tabs>
          <w:tab w:leader="none" w:pos="200"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The aggregate dollar value realized upon vesting is computed by multiplying the number of shares vested by the closing price of GM common stock on the vesting date.</w:t>
      </w:r>
    </w:p>
    <w:p>
      <w:pPr>
        <w:spacing w:after="0" w:line="11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Pension Benefits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GM Salaried Retirement Plan</w:t>
      </w:r>
    </w:p>
    <w:p>
      <w:pPr>
        <w:spacing w:after="0" w:line="11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0956FF"/>
        </w:rPr>
        <w:t xml:space="preserve">Eligibility and Vesting: </w:t>
      </w:r>
      <w:r>
        <w:rPr>
          <w:rFonts w:ascii="Arial" w:cs="Arial" w:eastAsia="Arial" w:hAnsi="Arial"/>
          <w:sz w:val="16"/>
          <w:szCs w:val="16"/>
          <w:color w:val="000000"/>
        </w:rPr>
        <w:t>The SRP is a funded, tax-qualified retirement plan that covers eligible employees hired prior to</w:t>
      </w:r>
      <w:r>
        <w:rPr>
          <w:rFonts w:ascii="Arial" w:cs="Arial" w:eastAsia="Arial" w:hAnsi="Arial"/>
          <w:sz w:val="16"/>
          <w:szCs w:val="16"/>
          <w:b w:val="1"/>
          <w:bCs w:val="1"/>
          <w:color w:val="0956FF"/>
        </w:rPr>
        <w:t xml:space="preserve"> </w:t>
      </w:r>
      <w:r>
        <w:rPr>
          <w:rFonts w:ascii="Arial" w:cs="Arial" w:eastAsia="Arial" w:hAnsi="Arial"/>
          <w:sz w:val="16"/>
          <w:szCs w:val="16"/>
          <w:color w:val="000000"/>
        </w:rPr>
        <w:t>January 1, 2007. Employees who commenced service on or after January 1, 2007, are eligible to participate only in DC plans. Employees are vested in the SRP after five years of qualifying service. The plan permitted employee contributions, which vested immediately, until December 31, 2006. All DB accruals were frozen on September 30, 2012, with service continuing towards eligibility to retire.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Formula:</w:t>
      </w:r>
    </w:p>
    <w:p>
      <w:pPr>
        <w:spacing w:after="0" w:line="16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b w:val="1"/>
          <w:bCs w:val="1"/>
          <w:color w:val="0956FF"/>
        </w:rPr>
        <w:t xml:space="preserve">Service Prior to January 1, 2001: </w:t>
      </w:r>
      <w:r>
        <w:rPr>
          <w:rFonts w:ascii="Arial" w:cs="Arial" w:eastAsia="Arial" w:hAnsi="Arial"/>
          <w:sz w:val="16"/>
          <w:szCs w:val="16"/>
          <w:color w:val="000000"/>
        </w:rPr>
        <w:t>The plan provided benefits on both a contributory and noncontributory formula. The</w:t>
      </w:r>
      <w:r>
        <w:rPr>
          <w:rFonts w:ascii="Arial" w:cs="Arial" w:eastAsia="Arial" w:hAnsi="Arial"/>
          <w:sz w:val="16"/>
          <w:szCs w:val="16"/>
          <w:b w:val="1"/>
          <w:bCs w:val="1"/>
          <w:color w:val="0956FF"/>
        </w:rPr>
        <w:t xml:space="preserve"> </w:t>
      </w:r>
      <w:r>
        <w:rPr>
          <w:rFonts w:ascii="Arial" w:cs="Arial" w:eastAsia="Arial" w:hAnsi="Arial"/>
          <w:sz w:val="16"/>
          <w:szCs w:val="16"/>
          <w:color w:val="000000"/>
        </w:rPr>
        <w:t>contributory formula factors the contributions of the employee and earnings for each fiscal year. The formulas were frozen effective December 31, 2006, and effective January 1, 2007, employees continued to participate in the SRP under a new formula that provided a pension accrual equal to 1.25 percent of the employee’s eligible earnings up to the IRS-prescribed limits for tax-qualified plans. The 1.25 percent accruals were frozen September 30, 2012.</w:t>
      </w:r>
    </w:p>
    <w:p>
      <w:pPr>
        <w:spacing w:after="0" w:line="11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color w:val="0956FF"/>
        </w:rPr>
        <w:t xml:space="preserve">Service from January 1, 2001, to December 31, 2006: </w:t>
      </w:r>
      <w:r>
        <w:rPr>
          <w:rFonts w:ascii="Arial" w:cs="Arial" w:eastAsia="Arial" w:hAnsi="Arial"/>
          <w:sz w:val="16"/>
          <w:szCs w:val="16"/>
          <w:color w:val="000000"/>
        </w:rPr>
        <w:t>The plan provided benefits under a cash balance formula with pay</w:t>
      </w:r>
      <w:r>
        <w:rPr>
          <w:rFonts w:ascii="Arial" w:cs="Arial" w:eastAsia="Arial" w:hAnsi="Arial"/>
          <w:sz w:val="16"/>
          <w:szCs w:val="16"/>
          <w:b w:val="1"/>
          <w:bCs w:val="1"/>
          <w:color w:val="0956FF"/>
        </w:rPr>
        <w:t xml:space="preserve"> </w:t>
      </w:r>
      <w:r>
        <w:rPr>
          <w:rFonts w:ascii="Arial" w:cs="Arial" w:eastAsia="Arial" w:hAnsi="Arial"/>
          <w:sz w:val="16"/>
          <w:szCs w:val="16"/>
          <w:color w:val="000000"/>
        </w:rPr>
        <w:t>credits based on age through December 31, 2006, when the formula was frozen, with balances continuing to earn interest credits thereafter.</w:t>
      </w:r>
    </w:p>
    <w:p>
      <w:pPr>
        <w:spacing w:after="0" w:line="9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0956FF"/>
        </w:rPr>
        <w:t xml:space="preserve">Time and Form of Payment: </w:t>
      </w:r>
      <w:r>
        <w:rPr>
          <w:rFonts w:ascii="Arial" w:cs="Arial" w:eastAsia="Arial" w:hAnsi="Arial"/>
          <w:sz w:val="16"/>
          <w:szCs w:val="16"/>
          <w:color w:val="000000"/>
        </w:rPr>
        <w:t>For employees hired prior to January 1, 2001, the accumulated benefit an employee earns</w:t>
      </w:r>
      <w:r>
        <w:rPr>
          <w:rFonts w:ascii="Arial" w:cs="Arial" w:eastAsia="Arial" w:hAnsi="Arial"/>
          <w:sz w:val="16"/>
          <w:szCs w:val="16"/>
          <w:b w:val="1"/>
          <w:bCs w:val="1"/>
          <w:color w:val="0956FF"/>
        </w:rPr>
        <w:t xml:space="preserve"> </w:t>
      </w:r>
      <w:r>
        <w:rPr>
          <w:rFonts w:ascii="Arial" w:cs="Arial" w:eastAsia="Arial" w:hAnsi="Arial"/>
          <w:sz w:val="16"/>
          <w:szCs w:val="16"/>
          <w:color w:val="000000"/>
        </w:rPr>
        <w:t>over his or her career with the Company is payable starting after retirement. Normal retirement age is defined as age 65. Employees who commenced service prior to 1988 may elect early retirement after 30 years of credited service or 85 points, based on combined age and service, or age 60 and 10 or more years of service, with certain age-reduction factors applied. As of December 31, 2025, Ms. Barra and Mr. Reuss were eligible for early retirement. The plan also provides Social Security supplements for those hired prior to 1988. For employees hired on or after January 1, 1988, and prior to December 31, 2000, Social Security supplements are not payable and age-reduction factors are greater for retirements prior to age 62. The plan provides a single-life annuity, a spousal joint and survivor annuity, a contingent annuitant optional form of payment, or a 100 percent lump sum option. For employees hired from January 1, 2001, to December 31, 2006, the plan provides a single-life annuity, a contingent annuitant optional form of payment, or a 100 percent lump sum option.</w:t>
      </w:r>
    </w:p>
    <w:p>
      <w:pPr>
        <w:spacing w:after="0" w:line="116"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b w:val="1"/>
          <w:bCs w:val="1"/>
          <w:color w:val="0956FF"/>
        </w:rPr>
        <w:t xml:space="preserve">Tax Code Limitations on Benefits: </w:t>
      </w:r>
      <w:r>
        <w:rPr>
          <w:rFonts w:ascii="Arial" w:cs="Arial" w:eastAsia="Arial" w:hAnsi="Arial"/>
          <w:sz w:val="16"/>
          <w:szCs w:val="16"/>
          <w:color w:val="000000"/>
        </w:rPr>
        <w:t>Section 415(b)(1)(A) of the IRC limits the benefits payable under the SRP. For 2025, the</w:t>
      </w:r>
      <w:r>
        <w:rPr>
          <w:rFonts w:ascii="Arial" w:cs="Arial" w:eastAsia="Arial" w:hAnsi="Arial"/>
          <w:sz w:val="16"/>
          <w:szCs w:val="16"/>
          <w:b w:val="1"/>
          <w:bCs w:val="1"/>
          <w:color w:val="0956FF"/>
        </w:rPr>
        <w:t xml:space="preserve"> </w:t>
      </w:r>
      <w:r>
        <w:rPr>
          <w:rFonts w:ascii="Arial" w:cs="Arial" w:eastAsia="Arial" w:hAnsi="Arial"/>
          <w:sz w:val="16"/>
          <w:szCs w:val="16"/>
          <w:color w:val="000000"/>
        </w:rPr>
        <w:t>maximum single life annuity an NEO could have received under these limits was $280,000 per year. This ceiling is</w:t>
      </w:r>
    </w:p>
    <w:p>
      <w:pPr>
        <w:spacing w:after="0" w:line="1"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actuarially adjusted in accordance with IRS rules to reflect employee contributions, actual forms of distribution, and ac tual retirement dates.</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9080"/>
          </w:cols>
          <w:pgMar w:left="1400" w:top="657" w:right="141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GM Executive Retirement Plan</w:t>
      </w:r>
    </w:p>
    <w:p>
      <w:pPr>
        <w:spacing w:after="0" w:line="114" w:lineRule="exact"/>
        <w:rPr>
          <w:sz w:val="20"/>
          <w:szCs w:val="20"/>
          <w:color w:val="auto"/>
        </w:rPr>
      </w:pPr>
    </w:p>
    <w:p>
      <w:pPr>
        <w:ind w:right="600"/>
        <w:spacing w:after="0" w:line="321" w:lineRule="auto"/>
        <w:rPr>
          <w:sz w:val="20"/>
          <w:szCs w:val="20"/>
          <w:color w:val="auto"/>
        </w:rPr>
      </w:pPr>
      <w:r>
        <w:rPr>
          <w:rFonts w:ascii="Arial" w:cs="Arial" w:eastAsia="Arial" w:hAnsi="Arial"/>
          <w:sz w:val="16"/>
          <w:szCs w:val="16"/>
          <w:b w:val="1"/>
          <w:bCs w:val="1"/>
          <w:color w:val="0956FF"/>
        </w:rPr>
        <w:t xml:space="preserve">Eligibility and Vesting: </w:t>
      </w:r>
      <w:r>
        <w:rPr>
          <w:rFonts w:ascii="Arial" w:cs="Arial" w:eastAsia="Arial" w:hAnsi="Arial"/>
          <w:sz w:val="16"/>
          <w:szCs w:val="16"/>
          <w:color w:val="000000"/>
        </w:rPr>
        <w:t>The DB ERP is an unfunded, non-tax-qualified retirement plan that covers eligible executives to</w:t>
      </w:r>
      <w:r>
        <w:rPr>
          <w:rFonts w:ascii="Arial" w:cs="Arial" w:eastAsia="Arial" w:hAnsi="Arial"/>
          <w:sz w:val="16"/>
          <w:szCs w:val="16"/>
          <w:b w:val="1"/>
          <w:bCs w:val="1"/>
          <w:color w:val="0956FF"/>
        </w:rPr>
        <w:t xml:space="preserve"> </w:t>
      </w:r>
      <w:r>
        <w:rPr>
          <w:rFonts w:ascii="Arial" w:cs="Arial" w:eastAsia="Arial" w:hAnsi="Arial"/>
          <w:sz w:val="16"/>
          <w:szCs w:val="16"/>
          <w:color w:val="000000"/>
        </w:rPr>
        <w:t>provide retirement benefits above amounts available under our other pension programs.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Formula:</w:t>
      </w:r>
    </w:p>
    <w:p>
      <w:pPr>
        <w:spacing w:after="0" w:line="181"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b w:val="1"/>
          <w:bCs w:val="1"/>
          <w:color w:val="0956FF"/>
        </w:rPr>
        <w:t xml:space="preserve">Service Prior to January 1, 2007: </w:t>
      </w:r>
      <w:r>
        <w:rPr>
          <w:rFonts w:ascii="Arial" w:cs="Arial" w:eastAsia="Arial" w:hAnsi="Arial"/>
          <w:sz w:val="16"/>
          <w:szCs w:val="16"/>
          <w:color w:val="000000"/>
        </w:rPr>
        <w:t>The supplemental pension equals the greater of (a) 2 percent of the average monthly</w:t>
      </w:r>
      <w:r>
        <w:rPr>
          <w:rFonts w:ascii="Arial" w:cs="Arial" w:eastAsia="Arial" w:hAnsi="Arial"/>
          <w:sz w:val="16"/>
          <w:szCs w:val="16"/>
          <w:b w:val="1"/>
          <w:bCs w:val="1"/>
          <w:color w:val="0956FF"/>
        </w:rPr>
        <w:t xml:space="preserve"> </w:t>
      </w:r>
      <w:r>
        <w:rPr>
          <w:rFonts w:ascii="Arial" w:cs="Arial" w:eastAsia="Arial" w:hAnsi="Arial"/>
          <w:sz w:val="16"/>
          <w:szCs w:val="16"/>
          <w:color w:val="000000"/>
        </w:rPr>
        <w:t>salary multiplied by all years of contributory service less the sum of all benefits payable under the SRP plus the maximum Social Security benefit as of January 2007 multiplied by all years of contributory service or (b) 1.5 percent of the average monthly salary plus STIP compensation multiplied by all years of contributory service, up to a maximum of 35 years, less the sum of all benefits payable under the SRP plus 100 percent of the maximum Social Security benefit as of January 2007. In both cases, the salary and STIP payments are determined using the highest 60 months out of the last 120 months as of December 31, 2006. These DB accruals were frozen on December 31, 2006, with service continuing towards eligibility to retire.</w:t>
      </w:r>
    </w:p>
    <w:p>
      <w:pPr>
        <w:spacing w:after="0" w:line="121"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b w:val="1"/>
          <w:bCs w:val="1"/>
          <w:color w:val="0956FF"/>
        </w:rPr>
        <w:t xml:space="preserve">Service from January 1, 2007, to September 30, 2012: </w:t>
      </w:r>
      <w:r>
        <w:rPr>
          <w:rFonts w:ascii="Arial" w:cs="Arial" w:eastAsia="Arial" w:hAnsi="Arial"/>
          <w:sz w:val="16"/>
          <w:szCs w:val="16"/>
          <w:color w:val="000000"/>
        </w:rPr>
        <w:t>For employees hired prior to January 1, 2001, the supplemental</w:t>
      </w:r>
      <w:r>
        <w:rPr>
          <w:rFonts w:ascii="Arial" w:cs="Arial" w:eastAsia="Arial" w:hAnsi="Arial"/>
          <w:sz w:val="16"/>
          <w:szCs w:val="16"/>
          <w:b w:val="1"/>
          <w:bCs w:val="1"/>
          <w:color w:val="0956FF"/>
        </w:rPr>
        <w:t xml:space="preserve"> </w:t>
      </w:r>
      <w:r>
        <w:rPr>
          <w:rFonts w:ascii="Arial" w:cs="Arial" w:eastAsia="Arial" w:hAnsi="Arial"/>
          <w:sz w:val="16"/>
          <w:szCs w:val="16"/>
          <w:color w:val="000000"/>
        </w:rPr>
        <w:t>pension equals 1.25 percent of annual salary plus short-term incentive payments and is applicable to amounts in excess of the IRS-prescribed limit applicable to tax-qualified plans. These DB accruals were frozen on September 30, 2012, with service continuing towards eligibility to retire.</w:t>
      </w:r>
    </w:p>
    <w:p>
      <w:pPr>
        <w:spacing w:after="0" w:line="94"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b w:val="1"/>
          <w:bCs w:val="1"/>
          <w:color w:val="0956FF"/>
        </w:rPr>
        <w:t xml:space="preserve">Time and Form of Payment: </w:t>
      </w:r>
      <w:r>
        <w:rPr>
          <w:rFonts w:ascii="Arial" w:cs="Arial" w:eastAsia="Arial" w:hAnsi="Arial"/>
          <w:sz w:val="16"/>
          <w:szCs w:val="16"/>
          <w:color w:val="000000"/>
        </w:rPr>
        <w:t>Normal retirement age under the plan is age 65; however, employees who commenced service</w:t>
      </w:r>
      <w:r>
        <w:rPr>
          <w:rFonts w:ascii="Arial" w:cs="Arial" w:eastAsia="Arial" w:hAnsi="Arial"/>
          <w:sz w:val="16"/>
          <w:szCs w:val="16"/>
          <w:b w:val="1"/>
          <w:bCs w:val="1"/>
          <w:color w:val="0956FF"/>
        </w:rPr>
        <w:t xml:space="preserve"> </w:t>
      </w:r>
      <w:r>
        <w:rPr>
          <w:rFonts w:ascii="Arial" w:cs="Arial" w:eastAsia="Arial" w:hAnsi="Arial"/>
          <w:sz w:val="16"/>
          <w:szCs w:val="16"/>
          <w:color w:val="000000"/>
        </w:rPr>
        <w:t>prior to January 1, 2007, may retire at age 60 with 10 or more years of service without any reduction in benefits. Employees may also retire at age 55 with 10 or more years of service with benefits reduced using the same factors as are utilized for early retirement under the SRP. As of December 31, 2025, Ms. Barra and Mr. Reuss were eligible for early retirement. The DB ERP is payable as a five-year certain annuity, with payments starting upon the retirement of the executive and continuing for 60 months.</w:t>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0956FF"/>
        </w:rPr>
        <w:t>UK VML Pension Plan</w:t>
      </w:r>
    </w:p>
    <w:p>
      <w:pPr>
        <w:spacing w:after="0" w:line="114"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b w:val="1"/>
          <w:bCs w:val="1"/>
          <w:color w:val="0956FF"/>
        </w:rPr>
        <w:t xml:space="preserve">Eligibility and Vesting: </w:t>
      </w:r>
      <w:r>
        <w:rPr>
          <w:rFonts w:ascii="Arial" w:cs="Arial" w:eastAsia="Arial" w:hAnsi="Arial"/>
          <w:sz w:val="16"/>
          <w:szCs w:val="16"/>
          <w:color w:val="000000"/>
        </w:rPr>
        <w:t>The Vauxhall Motors Pension Plan (“UK VML Plan”) is a funded defined benefit plan which was open</w:t>
      </w:r>
      <w:r>
        <w:rPr>
          <w:rFonts w:ascii="Arial" w:cs="Arial" w:eastAsia="Arial" w:hAnsi="Arial"/>
          <w:sz w:val="16"/>
          <w:szCs w:val="16"/>
          <w:b w:val="1"/>
          <w:bCs w:val="1"/>
          <w:color w:val="0956FF"/>
        </w:rPr>
        <w:t xml:space="preserve"> </w:t>
      </w:r>
      <w:r>
        <w:rPr>
          <w:rFonts w:ascii="Arial" w:cs="Arial" w:eastAsia="Arial" w:hAnsi="Arial"/>
          <w:sz w:val="16"/>
          <w:szCs w:val="16"/>
          <w:color w:val="000000"/>
        </w:rPr>
        <w:t>to all GM United Kingdom employees prior to October 2012, when it closed to new entrants.</w:t>
      </w:r>
    </w:p>
    <w:p>
      <w:pPr>
        <w:spacing w:after="0" w:line="8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b w:val="1"/>
          <w:bCs w:val="1"/>
          <w:color w:val="0956FF"/>
        </w:rPr>
        <w:t>Time and Form of Payment:</w:t>
      </w:r>
      <w:r>
        <w:rPr>
          <w:rFonts w:ascii="Arial" w:cs="Arial" w:eastAsia="Arial" w:hAnsi="Arial"/>
          <w:sz w:val="16"/>
          <w:szCs w:val="16"/>
          <w:color w:val="000000"/>
        </w:rPr>
        <w:t>Normal retirement age under the plan is age 65. Deferred members can take their pension from</w:t>
      </w:r>
      <w:r>
        <w:rPr>
          <w:rFonts w:ascii="Arial" w:cs="Arial" w:eastAsia="Arial" w:hAnsi="Arial"/>
          <w:sz w:val="16"/>
          <w:szCs w:val="16"/>
          <w:b w:val="1"/>
          <w:bCs w:val="1"/>
          <w:color w:val="0956FF"/>
        </w:rPr>
        <w:t xml:space="preserve"> </w:t>
      </w:r>
      <w:r>
        <w:rPr>
          <w:rFonts w:ascii="Arial" w:cs="Arial" w:eastAsia="Arial" w:hAnsi="Arial"/>
          <w:sz w:val="16"/>
          <w:szCs w:val="16"/>
          <w:color w:val="000000"/>
        </w:rPr>
        <w:t>age 55 subject to a reduction, using the plan’s early retirement factors.</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67</w:t>
      </w:r>
    </w:p>
    <w:p>
      <w:pPr>
        <w:sectPr>
          <w:pgSz w:w="11900" w:h="16838" w:orient="portrait"/>
          <w:cols w:equalWidth="0" w:num="1">
            <w:col w:w="9220"/>
          </w:cols>
          <w:pgMar w:left="1400" w:top="657" w:right="127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reflects pension benefits as of December 31, 2025, provided by the respective plans.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shd w:val="clear" w:color="auto" w:fill="ECEBEB"/>
          </w:tcPr>
          <w:p>
            <w:pPr>
              <w:spacing w:after="0"/>
              <w:rPr>
                <w:sz w:val="20"/>
                <w:szCs w:val="20"/>
                <w:color w:val="auto"/>
              </w:rPr>
            </w:pPr>
          </w:p>
        </w:tc>
        <w:tc>
          <w:tcPr>
            <w:tcW w:w="1280" w:type="dxa"/>
            <w:vAlign w:val="bottom"/>
            <w:shd w:val="clear" w:color="auto" w:fill="ECEBEB"/>
          </w:tcPr>
          <w:p>
            <w:pPr>
              <w:spacing w:after="0"/>
              <w:rPr>
                <w:sz w:val="20"/>
                <w:szCs w:val="20"/>
                <w:color w:val="auto"/>
              </w:rPr>
            </w:pPr>
          </w:p>
        </w:tc>
        <w:tc>
          <w:tcPr>
            <w:tcW w:w="1680" w:type="dxa"/>
            <w:vAlign w:val="bottom"/>
            <w:shd w:val="clear" w:color="auto" w:fill="ECEBEB"/>
          </w:tcPr>
          <w:p>
            <w:pPr>
              <w:spacing w:after="0"/>
              <w:rPr>
                <w:sz w:val="20"/>
                <w:szCs w:val="20"/>
                <w:color w:val="auto"/>
              </w:rPr>
            </w:pPr>
          </w:p>
        </w:tc>
        <w:tc>
          <w:tcPr>
            <w:tcW w:w="1140" w:type="dxa"/>
            <w:vAlign w:val="bottom"/>
            <w:shd w:val="clear" w:color="auto" w:fill="ECEBEB"/>
          </w:tcPr>
          <w:p>
            <w:pPr>
              <w:jc w:val="right"/>
              <w:ind w:right="83"/>
              <w:spacing w:after="0"/>
              <w:rPr>
                <w:sz w:val="20"/>
                <w:szCs w:val="20"/>
                <w:color w:val="auto"/>
              </w:rPr>
            </w:pPr>
            <w:r>
              <w:rPr>
                <w:rFonts w:ascii="Arial" w:cs="Arial" w:eastAsia="Arial" w:hAnsi="Arial"/>
                <w:sz w:val="14"/>
                <w:szCs w:val="14"/>
                <w:b w:val="1"/>
                <w:bCs w:val="1"/>
                <w:color w:val="auto"/>
              </w:rPr>
              <w:t>Present</w:t>
            </w:r>
          </w:p>
        </w:tc>
        <w:tc>
          <w:tcPr>
            <w:tcW w:w="940" w:type="dxa"/>
            <w:vAlign w:val="bottom"/>
            <w:shd w:val="clear" w:color="auto" w:fill="ECEBEB"/>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ECEBEB"/>
          </w:tcPr>
          <w:p>
            <w:pPr>
              <w:spacing w:after="0"/>
              <w:rPr>
                <w:sz w:val="14"/>
                <w:szCs w:val="14"/>
                <w:color w:val="auto"/>
              </w:rPr>
            </w:pPr>
          </w:p>
        </w:tc>
        <w:tc>
          <w:tcPr>
            <w:tcW w:w="1280" w:type="dxa"/>
            <w:vAlign w:val="bottom"/>
            <w:shd w:val="clear" w:color="auto" w:fill="ECEBEB"/>
          </w:tcPr>
          <w:p>
            <w:pPr>
              <w:spacing w:after="0"/>
              <w:rPr>
                <w:sz w:val="14"/>
                <w:szCs w:val="14"/>
                <w:color w:val="auto"/>
              </w:rPr>
            </w:pPr>
          </w:p>
        </w:tc>
        <w:tc>
          <w:tcPr>
            <w:tcW w:w="1680" w:type="dxa"/>
            <w:vAlign w:val="bottom"/>
            <w:shd w:val="clear" w:color="auto" w:fill="ECEBEB"/>
          </w:tcPr>
          <w:p>
            <w:pPr>
              <w:jc w:val="right"/>
              <w:ind w:right="62"/>
              <w:spacing w:after="0"/>
              <w:rPr>
                <w:sz w:val="20"/>
                <w:szCs w:val="20"/>
                <w:color w:val="auto"/>
              </w:rPr>
            </w:pPr>
            <w:r>
              <w:rPr>
                <w:rFonts w:ascii="Arial" w:cs="Arial" w:eastAsia="Arial" w:hAnsi="Arial"/>
                <w:sz w:val="14"/>
                <w:szCs w:val="14"/>
                <w:b w:val="1"/>
                <w:bCs w:val="1"/>
                <w:color w:val="auto"/>
              </w:rPr>
              <w:t>Number of Years</w:t>
            </w:r>
          </w:p>
        </w:tc>
        <w:tc>
          <w:tcPr>
            <w:tcW w:w="1140" w:type="dxa"/>
            <w:vAlign w:val="bottom"/>
            <w:shd w:val="clear" w:color="auto" w:fill="ECEBEB"/>
          </w:tcPr>
          <w:p>
            <w:pPr>
              <w:jc w:val="right"/>
              <w:ind w:right="83"/>
              <w:spacing w:after="0"/>
              <w:rPr>
                <w:sz w:val="20"/>
                <w:szCs w:val="20"/>
                <w:color w:val="auto"/>
              </w:rPr>
            </w:pPr>
            <w:r>
              <w:rPr>
                <w:rFonts w:ascii="Arial" w:cs="Arial" w:eastAsia="Arial" w:hAnsi="Arial"/>
                <w:sz w:val="14"/>
                <w:szCs w:val="14"/>
                <w:b w:val="1"/>
                <w:bCs w:val="1"/>
                <w:color w:val="auto"/>
              </w:rPr>
              <w:t>Value of</w:t>
            </w:r>
          </w:p>
        </w:tc>
        <w:tc>
          <w:tcPr>
            <w:tcW w:w="9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0"/>
        </w:trPr>
        <w:tc>
          <w:tcPr>
            <w:tcW w:w="4040" w:type="dxa"/>
            <w:vAlign w:val="bottom"/>
            <w:shd w:val="clear" w:color="auto" w:fill="ECEBEB"/>
          </w:tcPr>
          <w:p>
            <w:pPr>
              <w:spacing w:after="0"/>
              <w:rPr>
                <w:sz w:val="13"/>
                <w:szCs w:val="13"/>
                <w:color w:val="auto"/>
              </w:rPr>
            </w:pPr>
          </w:p>
        </w:tc>
        <w:tc>
          <w:tcPr>
            <w:tcW w:w="1280" w:type="dxa"/>
            <w:vAlign w:val="bottom"/>
            <w:shd w:val="clear" w:color="auto" w:fill="ECEBEB"/>
          </w:tcPr>
          <w:p>
            <w:pPr>
              <w:spacing w:after="0"/>
              <w:rPr>
                <w:sz w:val="13"/>
                <w:szCs w:val="13"/>
                <w:color w:val="auto"/>
              </w:rPr>
            </w:pPr>
          </w:p>
        </w:tc>
        <w:tc>
          <w:tcPr>
            <w:tcW w:w="1680" w:type="dxa"/>
            <w:vAlign w:val="bottom"/>
            <w:shd w:val="clear" w:color="auto" w:fill="ECEBEB"/>
          </w:tcPr>
          <w:p>
            <w:pPr>
              <w:jc w:val="right"/>
              <w:ind w:right="42"/>
              <w:spacing w:after="0" w:line="159" w:lineRule="exact"/>
              <w:rPr>
                <w:sz w:val="20"/>
                <w:szCs w:val="20"/>
                <w:color w:val="auto"/>
              </w:rPr>
            </w:pPr>
            <w:r>
              <w:rPr>
                <w:rFonts w:ascii="Arial" w:cs="Arial" w:eastAsia="Arial" w:hAnsi="Arial"/>
                <w:sz w:val="14"/>
                <w:szCs w:val="14"/>
                <w:b w:val="1"/>
                <w:bCs w:val="1"/>
                <w:color w:val="auto"/>
              </w:rPr>
              <w:t>of Eligible Credited</w:t>
            </w:r>
          </w:p>
        </w:tc>
        <w:tc>
          <w:tcPr>
            <w:tcW w:w="1140" w:type="dxa"/>
            <w:vAlign w:val="bottom"/>
            <w:shd w:val="clear" w:color="auto" w:fill="ECEBEB"/>
          </w:tcPr>
          <w:p>
            <w:pPr>
              <w:jc w:val="right"/>
              <w:ind w:right="63"/>
              <w:spacing w:after="0" w:line="159" w:lineRule="exact"/>
              <w:rPr>
                <w:sz w:val="20"/>
                <w:szCs w:val="20"/>
                <w:color w:val="auto"/>
              </w:rPr>
            </w:pPr>
            <w:r>
              <w:rPr>
                <w:rFonts w:ascii="Arial" w:cs="Arial" w:eastAsia="Arial" w:hAnsi="Arial"/>
                <w:sz w:val="14"/>
                <w:szCs w:val="14"/>
                <w:b w:val="1"/>
                <w:bCs w:val="1"/>
                <w:color w:val="auto"/>
              </w:rPr>
              <w:t>Accumulated</w:t>
            </w:r>
          </w:p>
        </w:tc>
        <w:tc>
          <w:tcPr>
            <w:tcW w:w="940" w:type="dxa"/>
            <w:vAlign w:val="bottom"/>
            <w:shd w:val="clear" w:color="auto" w:fill="ECEBEB"/>
          </w:tcPr>
          <w:p>
            <w:pPr>
              <w:jc w:val="right"/>
              <w:spacing w:after="0" w:line="159" w:lineRule="exact"/>
              <w:rPr>
                <w:sz w:val="20"/>
                <w:szCs w:val="20"/>
                <w:color w:val="auto"/>
              </w:rPr>
            </w:pPr>
            <w:r>
              <w:rPr>
                <w:rFonts w:ascii="Arial" w:cs="Arial" w:eastAsia="Arial" w:hAnsi="Arial"/>
                <w:sz w:val="14"/>
                <w:szCs w:val="14"/>
                <w:b w:val="1"/>
                <w:bCs w:val="1"/>
                <w:color w:val="auto"/>
              </w:rPr>
              <w:t>During Last</w:t>
            </w:r>
          </w:p>
        </w:tc>
        <w:tc>
          <w:tcPr>
            <w:tcW w:w="0" w:type="dxa"/>
            <w:vAlign w:val="bottom"/>
          </w:tcPr>
          <w:p>
            <w:pPr>
              <w:spacing w:after="0"/>
              <w:rPr>
                <w:sz w:val="1"/>
                <w:szCs w:val="1"/>
                <w:color w:val="auto"/>
              </w:rPr>
            </w:pPr>
          </w:p>
        </w:tc>
      </w:tr>
      <w:tr>
        <w:trPr>
          <w:trHeight w:val="175"/>
        </w:trPr>
        <w:tc>
          <w:tcPr>
            <w:tcW w:w="4040" w:type="dxa"/>
            <w:vAlign w:val="bottom"/>
            <w:shd w:val="clear" w:color="auto" w:fill="ECEBEB"/>
          </w:tcPr>
          <w:p>
            <w:pPr>
              <w:spacing w:after="0"/>
              <w:rPr>
                <w:sz w:val="15"/>
                <w:szCs w:val="15"/>
                <w:color w:val="auto"/>
              </w:rPr>
            </w:pPr>
          </w:p>
        </w:tc>
        <w:tc>
          <w:tcPr>
            <w:tcW w:w="1280" w:type="dxa"/>
            <w:vAlign w:val="bottom"/>
            <w:shd w:val="clear" w:color="auto" w:fill="ECEBEB"/>
          </w:tcPr>
          <w:p>
            <w:pPr>
              <w:spacing w:after="0"/>
              <w:rPr>
                <w:sz w:val="15"/>
                <w:szCs w:val="15"/>
                <w:color w:val="auto"/>
              </w:rPr>
            </w:pPr>
          </w:p>
        </w:tc>
        <w:tc>
          <w:tcPr>
            <w:tcW w:w="1680" w:type="dxa"/>
            <w:vAlign w:val="bottom"/>
            <w:shd w:val="clear" w:color="auto" w:fill="ECEBEB"/>
          </w:tcPr>
          <w:p>
            <w:pPr>
              <w:jc w:val="right"/>
              <w:ind w:right="62"/>
              <w:spacing w:after="0"/>
              <w:rPr>
                <w:sz w:val="20"/>
                <w:szCs w:val="20"/>
                <w:color w:val="auto"/>
              </w:rPr>
            </w:pPr>
            <w:r>
              <w:rPr>
                <w:rFonts w:ascii="Arial" w:cs="Arial" w:eastAsia="Arial" w:hAnsi="Arial"/>
                <w:sz w:val="14"/>
                <w:szCs w:val="14"/>
                <w:b w:val="1"/>
                <w:bCs w:val="1"/>
                <w:color w:val="auto"/>
              </w:rPr>
              <w:t>Service as of</w:t>
            </w:r>
          </w:p>
        </w:tc>
        <w:tc>
          <w:tcPr>
            <w:tcW w:w="1140" w:type="dxa"/>
            <w:vAlign w:val="bottom"/>
            <w:shd w:val="clear" w:color="auto" w:fill="ECEBEB"/>
          </w:tcPr>
          <w:p>
            <w:pPr>
              <w:jc w:val="center"/>
              <w:ind w:left="63"/>
              <w:spacing w:after="0" w:line="176" w:lineRule="exact"/>
              <w:rPr>
                <w:sz w:val="20"/>
                <w:szCs w:val="20"/>
                <w:color w:val="auto"/>
              </w:rPr>
            </w:pPr>
            <w:r>
              <w:rPr>
                <w:rFonts w:ascii="Arial" w:cs="Arial" w:eastAsia="Arial" w:hAnsi="Arial"/>
                <w:sz w:val="14"/>
                <w:szCs w:val="14"/>
                <w:b w:val="1"/>
                <w:bCs w:val="1"/>
                <w:color w:val="auto"/>
                <w:w w:val="97"/>
              </w:rPr>
              <w:t>Benefits</w:t>
            </w:r>
            <w:r>
              <w:rPr>
                <w:rFonts w:ascii="Arial" w:cs="Arial" w:eastAsia="Arial" w:hAnsi="Arial"/>
                <w:sz w:val="18"/>
                <w:szCs w:val="18"/>
                <w:b w:val="1"/>
                <w:bCs w:val="1"/>
                <w:color w:val="auto"/>
                <w:w w:val="97"/>
                <w:vertAlign w:val="superscript"/>
              </w:rPr>
              <w:t>(2)</w:t>
            </w:r>
          </w:p>
        </w:tc>
        <w:tc>
          <w:tcPr>
            <w:tcW w:w="9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01"/>
        </w:trPr>
        <w:tc>
          <w:tcPr>
            <w:tcW w:w="404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0956FF"/>
            </w:tcBorders>
            <w:shd w:val="clear" w:color="auto" w:fill="ECEBEB"/>
          </w:tcPr>
          <w:p>
            <w:pPr>
              <w:jc w:val="right"/>
              <w:ind w:right="80"/>
              <w:spacing w:after="0"/>
              <w:rPr>
                <w:sz w:val="20"/>
                <w:szCs w:val="20"/>
                <w:color w:val="auto"/>
              </w:rPr>
            </w:pPr>
            <w:r>
              <w:rPr>
                <w:rFonts w:ascii="Arial" w:cs="Arial" w:eastAsia="Arial" w:hAnsi="Arial"/>
                <w:sz w:val="14"/>
                <w:szCs w:val="14"/>
                <w:b w:val="1"/>
                <w:bCs w:val="1"/>
                <w:color w:val="auto"/>
              </w:rPr>
              <w:t>Plan Name</w:t>
            </w:r>
          </w:p>
        </w:tc>
        <w:tc>
          <w:tcPr>
            <w:tcW w:w="1680" w:type="dxa"/>
            <w:vAlign w:val="bottom"/>
            <w:tcBorders>
              <w:bottom w:val="single" w:sz="8" w:color="0956FF"/>
            </w:tcBorders>
            <w:shd w:val="clear" w:color="auto" w:fill="ECEBEB"/>
          </w:tcPr>
          <w:p>
            <w:pPr>
              <w:jc w:val="right"/>
              <w:ind w:right="62"/>
              <w:spacing w:after="0" w:line="201" w:lineRule="exact"/>
              <w:rPr>
                <w:sz w:val="20"/>
                <w:szCs w:val="20"/>
                <w:color w:val="auto"/>
              </w:rPr>
            </w:pPr>
            <w:r>
              <w:rPr>
                <w:rFonts w:ascii="Arial" w:cs="Arial" w:eastAsia="Arial" w:hAnsi="Arial"/>
                <w:sz w:val="14"/>
                <w:szCs w:val="14"/>
                <w:b w:val="1"/>
                <w:bCs w:val="1"/>
                <w:color w:val="auto"/>
              </w:rPr>
              <w:t>December 31, 2025</w:t>
            </w:r>
            <w:r>
              <w:rPr>
                <w:rFonts w:ascii="Arial" w:cs="Arial" w:eastAsia="Arial" w:hAnsi="Arial"/>
                <w:sz w:val="18"/>
                <w:szCs w:val="18"/>
                <w:b w:val="1"/>
                <w:bCs w:val="1"/>
                <w:color w:val="auto"/>
                <w:vertAlign w:val="superscript"/>
              </w:rPr>
              <w:t>(1)</w:t>
            </w:r>
          </w:p>
        </w:tc>
        <w:tc>
          <w:tcPr>
            <w:tcW w:w="1140" w:type="dxa"/>
            <w:vAlign w:val="bottom"/>
            <w:tcBorders>
              <w:bottom w:val="single" w:sz="8" w:color="0956FF"/>
            </w:tcBorders>
            <w:shd w:val="clear" w:color="auto" w:fill="ECEBEB"/>
          </w:tcPr>
          <w:p>
            <w:pPr>
              <w:jc w:val="right"/>
              <w:ind w:right="83"/>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4040" w:type="dxa"/>
            <w:vAlign w:val="bottom"/>
          </w:tcPr>
          <w:p>
            <w:pPr>
              <w:ind w:left="60"/>
              <w:spacing w:after="0"/>
              <w:rPr>
                <w:sz w:val="20"/>
                <w:szCs w:val="20"/>
                <w:color w:val="auto"/>
              </w:rPr>
            </w:pPr>
            <w:r>
              <w:rPr>
                <w:rFonts w:ascii="Arial" w:cs="Arial" w:eastAsia="Arial" w:hAnsi="Arial"/>
                <w:sz w:val="16"/>
                <w:szCs w:val="16"/>
                <w:b w:val="1"/>
                <w:bCs w:val="1"/>
                <w:color w:val="0956FF"/>
              </w:rPr>
              <w:t>Mary T. Barra</w:t>
            </w:r>
          </w:p>
        </w:tc>
        <w:tc>
          <w:tcPr>
            <w:tcW w:w="128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SRP</w:t>
            </w:r>
          </w:p>
        </w:tc>
        <w:tc>
          <w:tcPr>
            <w:tcW w:w="1680" w:type="dxa"/>
            <w:vAlign w:val="bottom"/>
            <w:tcBorders>
              <w:bottom w:val="single" w:sz="8" w:color="D8D7D7"/>
            </w:tcBorders>
          </w:tcPr>
          <w:p>
            <w:pPr>
              <w:jc w:val="right"/>
              <w:ind w:right="122"/>
              <w:spacing w:after="0"/>
              <w:rPr>
                <w:sz w:val="20"/>
                <w:szCs w:val="20"/>
                <w:color w:val="auto"/>
              </w:rPr>
            </w:pPr>
            <w:r>
              <w:rPr>
                <w:rFonts w:ascii="Arial" w:cs="Arial" w:eastAsia="Arial" w:hAnsi="Arial"/>
                <w:sz w:val="16"/>
                <w:szCs w:val="16"/>
                <w:color w:val="auto"/>
              </w:rPr>
              <w:t>43.3</w:t>
            </w:r>
          </w:p>
        </w:tc>
        <w:tc>
          <w:tcPr>
            <w:tcW w:w="1140" w:type="dxa"/>
            <w:vAlign w:val="bottom"/>
            <w:tcBorders>
              <w:bottom w:val="single" w:sz="8" w:color="D8D7D7"/>
            </w:tcBorders>
          </w:tcPr>
          <w:p>
            <w:pPr>
              <w:jc w:val="center"/>
              <w:ind w:left="63"/>
              <w:spacing w:after="0"/>
              <w:rPr>
                <w:sz w:val="20"/>
                <w:szCs w:val="20"/>
                <w:color w:val="auto"/>
              </w:rPr>
            </w:pPr>
            <w:r>
              <w:rPr>
                <w:rFonts w:ascii="Arial" w:cs="Arial" w:eastAsia="Arial" w:hAnsi="Arial"/>
                <w:sz w:val="16"/>
                <w:szCs w:val="16"/>
                <w:color w:val="auto"/>
              </w:rPr>
              <w:t>1,093,571</w:t>
            </w:r>
          </w:p>
        </w:tc>
        <w:tc>
          <w:tcPr>
            <w:tcW w:w="940" w:type="dxa"/>
            <w:vAlign w:val="bottom"/>
            <w:tcBorders>
              <w:bottom w:val="single" w:sz="8" w:color="D8D7D7"/>
            </w:tcBorders>
          </w:tcPr>
          <w:p>
            <w:pPr>
              <w:ind w:left="78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D8D7D7"/>
            </w:tcBorders>
          </w:tcPr>
          <w:p>
            <w:pPr>
              <w:spacing w:after="0"/>
              <w:rPr>
                <w:sz w:val="21"/>
                <w:szCs w:val="21"/>
                <w:color w:val="auto"/>
              </w:rPr>
            </w:pPr>
          </w:p>
        </w:tc>
        <w:tc>
          <w:tcPr>
            <w:tcW w:w="128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DB ERP</w:t>
            </w:r>
          </w:p>
        </w:tc>
        <w:tc>
          <w:tcPr>
            <w:tcW w:w="1680" w:type="dxa"/>
            <w:vAlign w:val="bottom"/>
            <w:tcBorders>
              <w:bottom w:val="single" w:sz="8" w:color="D8D7D7"/>
            </w:tcBorders>
          </w:tcPr>
          <w:p>
            <w:pPr>
              <w:jc w:val="right"/>
              <w:ind w:right="122"/>
              <w:spacing w:after="0"/>
              <w:rPr>
                <w:sz w:val="20"/>
                <w:szCs w:val="20"/>
                <w:color w:val="auto"/>
              </w:rPr>
            </w:pPr>
            <w:r>
              <w:rPr>
                <w:rFonts w:ascii="Arial" w:cs="Arial" w:eastAsia="Arial" w:hAnsi="Arial"/>
                <w:sz w:val="16"/>
                <w:szCs w:val="16"/>
                <w:color w:val="auto"/>
              </w:rPr>
              <w:t>43.3</w:t>
            </w:r>
          </w:p>
        </w:tc>
        <w:tc>
          <w:tcPr>
            <w:tcW w:w="1140" w:type="dxa"/>
            <w:vAlign w:val="bottom"/>
            <w:tcBorders>
              <w:bottom w:val="single" w:sz="8" w:color="D8D7D7"/>
            </w:tcBorders>
          </w:tcPr>
          <w:p>
            <w:pPr>
              <w:jc w:val="center"/>
              <w:ind w:left="83"/>
              <w:spacing w:after="0"/>
              <w:rPr>
                <w:sz w:val="20"/>
                <w:szCs w:val="20"/>
                <w:color w:val="auto"/>
              </w:rPr>
            </w:pPr>
            <w:r>
              <w:rPr>
                <w:rFonts w:ascii="Arial" w:cs="Arial" w:eastAsia="Arial" w:hAnsi="Arial"/>
                <w:sz w:val="16"/>
                <w:szCs w:val="16"/>
                <w:color w:val="auto"/>
              </w:rPr>
              <w:t>812,405</w:t>
            </w:r>
          </w:p>
        </w:tc>
        <w:tc>
          <w:tcPr>
            <w:tcW w:w="940" w:type="dxa"/>
            <w:vAlign w:val="bottom"/>
            <w:tcBorders>
              <w:bottom w:val="single" w:sz="8" w:color="D8D7D7"/>
            </w:tcBorders>
          </w:tcPr>
          <w:p>
            <w:pPr>
              <w:ind w:left="78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103"/>
        </w:trPr>
        <w:tc>
          <w:tcPr>
            <w:tcW w:w="4040" w:type="dxa"/>
            <w:vAlign w:val="bottom"/>
          </w:tcPr>
          <w:p>
            <w:pPr>
              <w:ind w:left="1380"/>
              <w:spacing w:after="0" w:line="103" w:lineRule="exact"/>
              <w:rPr>
                <w:sz w:val="20"/>
                <w:szCs w:val="20"/>
                <w:color w:val="auto"/>
              </w:rPr>
            </w:pPr>
            <w:r>
              <w:rPr>
                <w:rFonts w:ascii="Arial" w:cs="Arial" w:eastAsia="Arial" w:hAnsi="Arial"/>
                <w:sz w:val="11"/>
                <w:szCs w:val="11"/>
                <w:b w:val="1"/>
                <w:bCs w:val="1"/>
                <w:color w:val="0956FF"/>
              </w:rPr>
              <w:t>(3)</w:t>
            </w:r>
          </w:p>
        </w:tc>
        <w:tc>
          <w:tcPr>
            <w:tcW w:w="128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vMerge w:val="restart"/>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ind w:left="78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148"/>
        </w:trPr>
        <w:tc>
          <w:tcPr>
            <w:tcW w:w="4040" w:type="dxa"/>
            <w:vAlign w:val="bottom"/>
            <w:tcBorders>
              <w:bottom w:val="single" w:sz="8" w:color="D8D7D7"/>
            </w:tcBorders>
          </w:tcPr>
          <w:p>
            <w:pPr>
              <w:ind w:left="60"/>
              <w:spacing w:after="0" w:line="148" w:lineRule="exact"/>
              <w:rPr>
                <w:sz w:val="20"/>
                <w:szCs w:val="20"/>
                <w:color w:val="auto"/>
              </w:rPr>
            </w:pPr>
            <w:r>
              <w:rPr>
                <w:rFonts w:ascii="Arial" w:cs="Arial" w:eastAsia="Arial" w:hAnsi="Arial"/>
                <w:sz w:val="16"/>
                <w:szCs w:val="16"/>
                <w:b w:val="1"/>
                <w:bCs w:val="1"/>
                <w:color w:val="0956FF"/>
              </w:rPr>
              <w:t>Paul A. Jacobson</w:t>
            </w:r>
          </w:p>
        </w:tc>
        <w:tc>
          <w:tcPr>
            <w:tcW w:w="1280" w:type="dxa"/>
            <w:vAlign w:val="bottom"/>
            <w:tcBorders>
              <w:bottom w:val="single" w:sz="8" w:color="D8D7D7"/>
            </w:tcBorders>
            <w:vMerge w:val="continue"/>
          </w:tcPr>
          <w:p>
            <w:pPr>
              <w:spacing w:after="0"/>
              <w:rPr>
                <w:sz w:val="12"/>
                <w:szCs w:val="12"/>
                <w:color w:val="auto"/>
              </w:rPr>
            </w:pPr>
          </w:p>
        </w:tc>
        <w:tc>
          <w:tcPr>
            <w:tcW w:w="1680" w:type="dxa"/>
            <w:vAlign w:val="bottom"/>
            <w:tcBorders>
              <w:bottom w:val="single" w:sz="8" w:color="D8D7D7"/>
            </w:tcBorders>
            <w:vMerge w:val="continue"/>
          </w:tcPr>
          <w:p>
            <w:pPr>
              <w:spacing w:after="0"/>
              <w:rPr>
                <w:sz w:val="12"/>
                <w:szCs w:val="12"/>
                <w:color w:val="auto"/>
              </w:rPr>
            </w:pPr>
          </w:p>
        </w:tc>
        <w:tc>
          <w:tcPr>
            <w:tcW w:w="1140" w:type="dxa"/>
            <w:vAlign w:val="bottom"/>
            <w:tcBorders>
              <w:bottom w:val="single" w:sz="8" w:color="D8D7D7"/>
            </w:tcBorders>
            <w:vMerge w:val="continue"/>
          </w:tcPr>
          <w:p>
            <w:pPr>
              <w:spacing w:after="0"/>
              <w:rPr>
                <w:sz w:val="12"/>
                <w:szCs w:val="12"/>
                <w:color w:val="auto"/>
              </w:rPr>
            </w:pPr>
          </w:p>
        </w:tc>
        <w:tc>
          <w:tcPr>
            <w:tcW w:w="940" w:type="dxa"/>
            <w:vAlign w:val="bottom"/>
            <w:tcBorders>
              <w:bottom w:val="single" w:sz="8" w:color="D8D7D7"/>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040" w:type="dxa"/>
            <w:vAlign w:val="bottom"/>
          </w:tcPr>
          <w:p>
            <w:pPr>
              <w:ind w:left="60"/>
              <w:spacing w:after="0"/>
              <w:rPr>
                <w:sz w:val="20"/>
                <w:szCs w:val="20"/>
                <w:color w:val="auto"/>
              </w:rPr>
            </w:pPr>
            <w:r>
              <w:rPr>
                <w:rFonts w:ascii="Arial" w:cs="Arial" w:eastAsia="Arial" w:hAnsi="Arial"/>
                <w:sz w:val="16"/>
                <w:szCs w:val="16"/>
                <w:b w:val="1"/>
                <w:bCs w:val="1"/>
                <w:color w:val="0956FF"/>
              </w:rPr>
              <w:t>Mark L. Reuss</w:t>
            </w:r>
          </w:p>
        </w:tc>
        <w:tc>
          <w:tcPr>
            <w:tcW w:w="128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SRP</w:t>
            </w:r>
          </w:p>
        </w:tc>
        <w:tc>
          <w:tcPr>
            <w:tcW w:w="1680" w:type="dxa"/>
            <w:vAlign w:val="bottom"/>
            <w:tcBorders>
              <w:bottom w:val="single" w:sz="8" w:color="D8D7D7"/>
            </w:tcBorders>
          </w:tcPr>
          <w:p>
            <w:pPr>
              <w:jc w:val="right"/>
              <w:ind w:right="122"/>
              <w:spacing w:after="0"/>
              <w:rPr>
                <w:sz w:val="20"/>
                <w:szCs w:val="20"/>
                <w:color w:val="auto"/>
              </w:rPr>
            </w:pPr>
            <w:r>
              <w:rPr>
                <w:rFonts w:ascii="Arial" w:cs="Arial" w:eastAsia="Arial" w:hAnsi="Arial"/>
                <w:sz w:val="16"/>
                <w:szCs w:val="16"/>
                <w:color w:val="auto"/>
              </w:rPr>
              <w:t>38.8</w:t>
            </w:r>
          </w:p>
        </w:tc>
        <w:tc>
          <w:tcPr>
            <w:tcW w:w="1140" w:type="dxa"/>
            <w:vAlign w:val="bottom"/>
            <w:tcBorders>
              <w:bottom w:val="single" w:sz="8" w:color="D8D7D7"/>
            </w:tcBorders>
          </w:tcPr>
          <w:p>
            <w:pPr>
              <w:jc w:val="right"/>
              <w:ind w:right="83"/>
              <w:spacing w:after="0"/>
              <w:rPr>
                <w:sz w:val="20"/>
                <w:szCs w:val="20"/>
                <w:color w:val="auto"/>
              </w:rPr>
            </w:pPr>
            <w:r>
              <w:rPr>
                <w:rFonts w:ascii="Arial" w:cs="Arial" w:eastAsia="Arial" w:hAnsi="Arial"/>
                <w:sz w:val="16"/>
                <w:szCs w:val="16"/>
                <w:color w:val="auto"/>
              </w:rPr>
              <w:t>973,912</w:t>
            </w:r>
          </w:p>
        </w:tc>
        <w:tc>
          <w:tcPr>
            <w:tcW w:w="940" w:type="dxa"/>
            <w:vAlign w:val="bottom"/>
            <w:tcBorders>
              <w:bottom w:val="single" w:sz="8" w:color="D8D7D7"/>
            </w:tcBorders>
          </w:tcPr>
          <w:p>
            <w:pPr>
              <w:ind w:left="78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D8D7D7"/>
            </w:tcBorders>
          </w:tcPr>
          <w:p>
            <w:pPr>
              <w:spacing w:after="0"/>
              <w:rPr>
                <w:sz w:val="21"/>
                <w:szCs w:val="21"/>
                <w:color w:val="auto"/>
              </w:rPr>
            </w:pPr>
          </w:p>
        </w:tc>
        <w:tc>
          <w:tcPr>
            <w:tcW w:w="128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DB ERP</w:t>
            </w:r>
          </w:p>
        </w:tc>
        <w:tc>
          <w:tcPr>
            <w:tcW w:w="1680" w:type="dxa"/>
            <w:vAlign w:val="bottom"/>
            <w:tcBorders>
              <w:bottom w:val="single" w:sz="8" w:color="D8D7D7"/>
            </w:tcBorders>
          </w:tcPr>
          <w:p>
            <w:pPr>
              <w:jc w:val="right"/>
              <w:ind w:right="122"/>
              <w:spacing w:after="0"/>
              <w:rPr>
                <w:sz w:val="20"/>
                <w:szCs w:val="20"/>
                <w:color w:val="auto"/>
              </w:rPr>
            </w:pPr>
            <w:r>
              <w:rPr>
                <w:rFonts w:ascii="Arial" w:cs="Arial" w:eastAsia="Arial" w:hAnsi="Arial"/>
                <w:sz w:val="16"/>
                <w:szCs w:val="16"/>
                <w:color w:val="auto"/>
              </w:rPr>
              <w:t>38.8</w:t>
            </w:r>
          </w:p>
        </w:tc>
        <w:tc>
          <w:tcPr>
            <w:tcW w:w="1140" w:type="dxa"/>
            <w:vAlign w:val="bottom"/>
            <w:tcBorders>
              <w:bottom w:val="single" w:sz="8" w:color="D8D7D7"/>
            </w:tcBorders>
          </w:tcPr>
          <w:p>
            <w:pPr>
              <w:jc w:val="center"/>
              <w:ind w:left="43"/>
              <w:spacing w:after="0"/>
              <w:rPr>
                <w:sz w:val="20"/>
                <w:szCs w:val="20"/>
                <w:color w:val="auto"/>
              </w:rPr>
            </w:pPr>
            <w:r>
              <w:rPr>
                <w:rFonts w:ascii="Arial" w:cs="Arial" w:eastAsia="Arial" w:hAnsi="Arial"/>
                <w:sz w:val="16"/>
                <w:szCs w:val="16"/>
                <w:color w:val="auto"/>
              </w:rPr>
              <w:t>558,824</w:t>
            </w:r>
          </w:p>
        </w:tc>
        <w:tc>
          <w:tcPr>
            <w:tcW w:w="940" w:type="dxa"/>
            <w:vAlign w:val="bottom"/>
            <w:tcBorders>
              <w:bottom w:val="single" w:sz="8" w:color="D8D7D7"/>
            </w:tcBorders>
          </w:tcPr>
          <w:p>
            <w:pPr>
              <w:ind w:left="78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51"/>
        </w:trPr>
        <w:tc>
          <w:tcPr>
            <w:tcW w:w="40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Sterling J. Anderson</w:t>
            </w:r>
            <w:r>
              <w:rPr>
                <w:rFonts w:ascii="Arial" w:cs="Arial" w:eastAsia="Arial" w:hAnsi="Arial"/>
                <w:sz w:val="21"/>
                <w:szCs w:val="21"/>
                <w:b w:val="1"/>
                <w:bCs w:val="1"/>
                <w:color w:val="0956FF"/>
                <w:vertAlign w:val="superscript"/>
              </w:rPr>
              <w:t>(3)</w:t>
            </w:r>
          </w:p>
        </w:tc>
        <w:tc>
          <w:tcPr>
            <w:tcW w:w="128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D8D7D7"/>
            </w:tcBorders>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D8D7D7"/>
            </w:tcBorders>
          </w:tcPr>
          <w:p>
            <w:pPr>
              <w:jc w:val="right"/>
              <w:ind w:right="2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8D7D7"/>
            </w:tcBorders>
          </w:tcPr>
          <w:p>
            <w:pPr>
              <w:ind w:left="78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0956FF"/>
              </w:rPr>
              <w:t>Rory V. Harvey</w:t>
            </w:r>
            <w:r>
              <w:rPr>
                <w:rFonts w:ascii="Arial" w:cs="Arial" w:eastAsia="Arial" w:hAnsi="Arial"/>
                <w:sz w:val="21"/>
                <w:szCs w:val="21"/>
                <w:b w:val="1"/>
                <w:bCs w:val="1"/>
                <w:color w:val="0956FF"/>
                <w:vertAlign w:val="superscript"/>
              </w:rPr>
              <w:t>(4)</w:t>
            </w:r>
          </w:p>
        </w:tc>
        <w:tc>
          <w:tcPr>
            <w:tcW w:w="1280" w:type="dxa"/>
            <w:vAlign w:val="bottom"/>
            <w:tcBorders>
              <w:bottom w:val="single" w:sz="8" w:color="0956FF"/>
            </w:tcBorders>
          </w:tcPr>
          <w:p>
            <w:pPr>
              <w:jc w:val="right"/>
              <w:ind w:right="60"/>
              <w:spacing w:after="0"/>
              <w:rPr>
                <w:sz w:val="20"/>
                <w:szCs w:val="20"/>
                <w:color w:val="auto"/>
              </w:rPr>
            </w:pPr>
            <w:r>
              <w:rPr>
                <w:rFonts w:ascii="Arial" w:cs="Arial" w:eastAsia="Arial" w:hAnsi="Arial"/>
                <w:sz w:val="16"/>
                <w:szCs w:val="16"/>
                <w:color w:val="auto"/>
              </w:rPr>
              <w:t>VML Plan (UK)</w:t>
            </w:r>
          </w:p>
        </w:tc>
        <w:tc>
          <w:tcPr>
            <w:tcW w:w="1680" w:type="dxa"/>
            <w:vAlign w:val="bottom"/>
            <w:tcBorders>
              <w:bottom w:val="single" w:sz="8" w:color="0956FF"/>
            </w:tcBorders>
          </w:tcPr>
          <w:p>
            <w:pPr>
              <w:jc w:val="right"/>
              <w:ind w:right="102"/>
              <w:spacing w:after="0"/>
              <w:rPr>
                <w:sz w:val="20"/>
                <w:szCs w:val="20"/>
                <w:color w:val="auto"/>
              </w:rPr>
            </w:pPr>
            <w:r>
              <w:rPr>
                <w:rFonts w:ascii="Arial" w:cs="Arial" w:eastAsia="Arial" w:hAnsi="Arial"/>
                <w:sz w:val="16"/>
                <w:szCs w:val="16"/>
                <w:color w:val="auto"/>
              </w:rPr>
              <w:t>27.9</w:t>
            </w:r>
          </w:p>
        </w:tc>
        <w:tc>
          <w:tcPr>
            <w:tcW w:w="1140" w:type="dxa"/>
            <w:vAlign w:val="bottom"/>
            <w:tcBorders>
              <w:bottom w:val="single" w:sz="8" w:color="0956FF"/>
            </w:tcBorders>
          </w:tcPr>
          <w:p>
            <w:pPr>
              <w:jc w:val="right"/>
              <w:ind w:right="103"/>
              <w:spacing w:after="0"/>
              <w:rPr>
                <w:sz w:val="20"/>
                <w:szCs w:val="20"/>
                <w:color w:val="auto"/>
              </w:rPr>
            </w:pPr>
            <w:r>
              <w:rPr>
                <w:rFonts w:ascii="Arial" w:cs="Arial" w:eastAsia="Arial" w:hAnsi="Arial"/>
                <w:sz w:val="16"/>
                <w:szCs w:val="16"/>
                <w:color w:val="auto"/>
              </w:rPr>
              <w:t>1,464,753</w:t>
            </w:r>
          </w:p>
        </w:tc>
        <w:tc>
          <w:tcPr>
            <w:tcW w:w="940" w:type="dxa"/>
            <w:vAlign w:val="bottom"/>
            <w:tcBorders>
              <w:bottom w:val="single" w:sz="8" w:color="0956FF"/>
            </w:tcBorders>
          </w:tcPr>
          <w:p>
            <w:pPr>
              <w:ind w:left="78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0" w:right="1540" w:hanging="192"/>
        <w:spacing w:after="0" w:line="239" w:lineRule="auto"/>
        <w:tabs>
          <w:tab w:leader="none" w:pos="200"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Eligible service recognizes credited service under the frozen qualified SRP in addition to future service to determine retirement eligibility.</w:t>
      </w:r>
    </w:p>
    <w:p>
      <w:pPr>
        <w:spacing w:after="0" w:line="54" w:lineRule="exact"/>
        <w:rPr>
          <w:rFonts w:ascii="Arial" w:cs="Arial" w:eastAsia="Arial" w:hAnsi="Arial"/>
          <w:sz w:val="19"/>
          <w:szCs w:val="19"/>
          <w:color w:val="auto"/>
          <w:vertAlign w:val="superscript"/>
        </w:rPr>
      </w:pPr>
    </w:p>
    <w:p>
      <w:pPr>
        <w:ind w:left="200" w:right="180" w:hanging="192"/>
        <w:spacing w:after="0" w:line="274" w:lineRule="auto"/>
        <w:tabs>
          <w:tab w:leader="none" w:pos="200"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The present value of the SRP benefit amount shown takes into consideration the ability to elect a joint and survivor annuity form of payment as well as the ability to elect to receive the annuity as a lump sum. For SRP and DB ERP benefits, the present value represents the value of the benefit payable at age 60 (or immediately if over age 60). Present values shown here are based on the mortality and discount rate assumptions used in the December 31, 2025, FASB ASC Topic 715, “Compensation-Retirement Benefits,” except where needed to meet proxy statement requirements. The discount rate used for calculations as of December 31, 2025, for the SRP is 5.46% and for the DB ERP is 4.83%.</w:t>
      </w:r>
    </w:p>
    <w:p>
      <w:pPr>
        <w:spacing w:after="0" w:line="4"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Messrs. Jacobson and Anderson are only eligible to participate in the DC ERP plan offered by the Company based on their date of service.</w:t>
      </w:r>
    </w:p>
    <w:p>
      <w:pPr>
        <w:spacing w:after="0" w:line="56"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Mr. Harvey participates in the UK VML Plan and DC ERP, but is not eligible to participate in the SRP or DB ERP.</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1">
            <w:col w:w="9080"/>
          </w:cols>
          <w:pgMar w:left="1400" w:top="657" w:right="1419"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Nonqualified Deferred Compensation Plan</w:t>
      </w:r>
    </w:p>
    <w:p>
      <w:pPr>
        <w:spacing w:after="0" w:line="13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Defined Contribution Executive Retirement Plan (“DC ERP”) allows for the equalization of benefits for highly compensated salaried employees under the Retirement Savings Plan when such employees’ contribution and benefit levels exceed the maximum limitations on contributions and benefits imposed by Section 2004 of Employment Retirement Income Security Act of 1974, commonly known as ERISA, as amended, and Sections 401(a)(17) and 415(c)(1)(A) of the IRC, as amended. The DC ERP is maintained as an unfunded plan, and we bear all expenses for administration of the plan and payment of amounts to participants.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Aggregate account balances disclosed below include both vested and unvested contributions made by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Contributions made prior to 2007 vested immediately. Contributions made between January 1, 2007,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vest when the participant attains age 55 with 10 years of service, and the benefit is payable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five-year certain annuity with payments starting upon the retirement of the executive and continuing for 60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Contributions made on or after October 1, 2012, vest when the participant attains three years of service, regardless of 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benefit is payable as a 100 percent lump sum upon the retirement of the executive.</w:t>
      </w:r>
    </w:p>
    <w:p>
      <w:pPr>
        <w:spacing w:after="0" w:line="167"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table below reflects December 31, 2025, balances for the DC ERP and any contributions, earnings, or withdrawals during the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shd w:val="clear" w:color="auto" w:fill="ECEBEB"/>
          </w:tcPr>
          <w:p>
            <w:pPr>
              <w:spacing w:after="0"/>
              <w:rPr>
                <w:sz w:val="20"/>
                <w:szCs w:val="20"/>
                <w:color w:val="auto"/>
              </w:rPr>
            </w:pPr>
          </w:p>
        </w:tc>
        <w:tc>
          <w:tcPr>
            <w:tcW w:w="1300" w:type="dxa"/>
            <w:vAlign w:val="bottom"/>
            <w:shd w:val="clear" w:color="auto" w:fill="ECEBEB"/>
          </w:tcPr>
          <w:p>
            <w:pPr>
              <w:spacing w:after="0"/>
              <w:rPr>
                <w:sz w:val="20"/>
                <w:szCs w:val="20"/>
                <w:color w:val="auto"/>
              </w:rPr>
            </w:pPr>
          </w:p>
        </w:tc>
        <w:tc>
          <w:tcPr>
            <w:tcW w:w="1160" w:type="dxa"/>
            <w:vAlign w:val="bottom"/>
            <w:shd w:val="clear" w:color="auto" w:fill="ECEBEB"/>
          </w:tcPr>
          <w:p>
            <w:pPr>
              <w:jc w:val="right"/>
              <w:ind w:right="84"/>
              <w:spacing w:after="0"/>
              <w:rPr>
                <w:sz w:val="20"/>
                <w:szCs w:val="20"/>
                <w:color w:val="auto"/>
              </w:rPr>
            </w:pPr>
            <w:r>
              <w:rPr>
                <w:rFonts w:ascii="Arial" w:cs="Arial" w:eastAsia="Arial" w:hAnsi="Arial"/>
                <w:sz w:val="14"/>
                <w:szCs w:val="14"/>
                <w:b w:val="1"/>
                <w:bCs w:val="1"/>
                <w:color w:val="auto"/>
              </w:rPr>
              <w:t>Executive</w:t>
            </w:r>
          </w:p>
        </w:tc>
        <w:tc>
          <w:tcPr>
            <w:tcW w:w="1180" w:type="dxa"/>
            <w:vAlign w:val="bottom"/>
            <w:shd w:val="clear" w:color="auto" w:fill="ECEBEB"/>
          </w:tcPr>
          <w:p>
            <w:pPr>
              <w:jc w:val="right"/>
              <w:ind w:right="84"/>
              <w:spacing w:after="0"/>
              <w:rPr>
                <w:sz w:val="20"/>
                <w:szCs w:val="20"/>
                <w:color w:val="auto"/>
              </w:rPr>
            </w:pPr>
            <w:r>
              <w:rPr>
                <w:rFonts w:ascii="Arial" w:cs="Arial" w:eastAsia="Arial" w:hAnsi="Arial"/>
                <w:sz w:val="14"/>
                <w:szCs w:val="14"/>
                <w:b w:val="1"/>
                <w:bCs w:val="1"/>
                <w:color w:val="auto"/>
              </w:rPr>
              <w:t>Registrant</w:t>
            </w:r>
          </w:p>
        </w:tc>
        <w:tc>
          <w:tcPr>
            <w:tcW w:w="1140" w:type="dxa"/>
            <w:vAlign w:val="bottom"/>
            <w:shd w:val="clear" w:color="auto" w:fill="ECEBEB"/>
          </w:tcPr>
          <w:p>
            <w:pPr>
              <w:jc w:val="right"/>
              <w:ind w:right="64"/>
              <w:spacing w:after="0"/>
              <w:rPr>
                <w:sz w:val="20"/>
                <w:szCs w:val="20"/>
                <w:color w:val="auto"/>
              </w:rPr>
            </w:pPr>
            <w:r>
              <w:rPr>
                <w:rFonts w:ascii="Arial" w:cs="Arial" w:eastAsia="Arial" w:hAnsi="Arial"/>
                <w:sz w:val="14"/>
                <w:szCs w:val="14"/>
                <w:b w:val="1"/>
                <w:bCs w:val="1"/>
                <w:color w:val="auto"/>
              </w:rPr>
              <w:t>Aggregate</w:t>
            </w:r>
          </w:p>
        </w:tc>
        <w:tc>
          <w:tcPr>
            <w:tcW w:w="1140" w:type="dxa"/>
            <w:vAlign w:val="bottom"/>
            <w:shd w:val="clear" w:color="auto" w:fill="ECEBEB"/>
          </w:tcPr>
          <w:p>
            <w:pPr>
              <w:ind w:left="280"/>
              <w:spacing w:after="0"/>
              <w:rPr>
                <w:sz w:val="20"/>
                <w:szCs w:val="20"/>
                <w:color w:val="auto"/>
              </w:rPr>
            </w:pPr>
            <w:r>
              <w:rPr>
                <w:rFonts w:ascii="Arial" w:cs="Arial" w:eastAsia="Arial" w:hAnsi="Arial"/>
                <w:sz w:val="14"/>
                <w:szCs w:val="14"/>
                <w:b w:val="1"/>
                <w:bCs w:val="1"/>
                <w:color w:val="auto"/>
              </w:rPr>
              <w:t>Aggregate</w:t>
            </w:r>
          </w:p>
        </w:tc>
        <w:tc>
          <w:tcPr>
            <w:tcW w:w="940" w:type="dxa"/>
            <w:vAlign w:val="bottom"/>
            <w:shd w:val="clear" w:color="auto" w:fill="ECEBEB"/>
          </w:tcPr>
          <w:p>
            <w:pPr>
              <w:jc w:val="center"/>
              <w:ind w:left="44"/>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2220" w:type="dxa"/>
            <w:vAlign w:val="bottom"/>
            <w:shd w:val="clear" w:color="auto" w:fill="ECEBEB"/>
          </w:tcPr>
          <w:p>
            <w:pPr>
              <w:spacing w:after="0"/>
              <w:rPr>
                <w:sz w:val="15"/>
                <w:szCs w:val="15"/>
                <w:color w:val="auto"/>
              </w:rPr>
            </w:pPr>
          </w:p>
        </w:tc>
        <w:tc>
          <w:tcPr>
            <w:tcW w:w="1300" w:type="dxa"/>
            <w:vAlign w:val="bottom"/>
            <w:shd w:val="clear" w:color="auto" w:fill="ECEBEB"/>
          </w:tcPr>
          <w:p>
            <w:pPr>
              <w:spacing w:after="0"/>
              <w:rPr>
                <w:sz w:val="15"/>
                <w:szCs w:val="15"/>
                <w:color w:val="auto"/>
              </w:rPr>
            </w:pPr>
          </w:p>
        </w:tc>
        <w:tc>
          <w:tcPr>
            <w:tcW w:w="1160" w:type="dxa"/>
            <w:vAlign w:val="bottom"/>
            <w:shd w:val="clear" w:color="auto" w:fill="ECEBEB"/>
          </w:tcPr>
          <w:p>
            <w:pPr>
              <w:ind w:left="100"/>
              <w:spacing w:after="0"/>
              <w:rPr>
                <w:sz w:val="20"/>
                <w:szCs w:val="20"/>
                <w:color w:val="auto"/>
              </w:rPr>
            </w:pPr>
            <w:r>
              <w:rPr>
                <w:rFonts w:ascii="Arial" w:cs="Arial" w:eastAsia="Arial" w:hAnsi="Arial"/>
                <w:sz w:val="14"/>
                <w:szCs w:val="14"/>
                <w:b w:val="1"/>
                <w:bCs w:val="1"/>
                <w:color w:val="auto"/>
              </w:rPr>
              <w:t>Contributions</w:t>
            </w:r>
          </w:p>
        </w:tc>
        <w:tc>
          <w:tcPr>
            <w:tcW w:w="1180" w:type="dxa"/>
            <w:vAlign w:val="bottom"/>
            <w:shd w:val="clear" w:color="auto" w:fill="ECEBEB"/>
          </w:tcPr>
          <w:p>
            <w:pPr>
              <w:jc w:val="right"/>
              <w:ind w:right="44"/>
              <w:spacing w:after="0"/>
              <w:rPr>
                <w:sz w:val="20"/>
                <w:szCs w:val="20"/>
                <w:color w:val="auto"/>
              </w:rPr>
            </w:pPr>
            <w:r>
              <w:rPr>
                <w:rFonts w:ascii="Arial" w:cs="Arial" w:eastAsia="Arial" w:hAnsi="Arial"/>
                <w:sz w:val="14"/>
                <w:szCs w:val="14"/>
                <w:b w:val="1"/>
                <w:bCs w:val="1"/>
                <w:color w:val="auto"/>
              </w:rPr>
              <w:t>Contributions</w:t>
            </w:r>
          </w:p>
        </w:tc>
        <w:tc>
          <w:tcPr>
            <w:tcW w:w="1140" w:type="dxa"/>
            <w:vAlign w:val="bottom"/>
            <w:shd w:val="clear" w:color="auto" w:fill="ECEBEB"/>
          </w:tcPr>
          <w:p>
            <w:pPr>
              <w:jc w:val="right"/>
              <w:ind w:right="44"/>
              <w:spacing w:after="0"/>
              <w:rPr>
                <w:sz w:val="20"/>
                <w:szCs w:val="20"/>
                <w:color w:val="auto"/>
              </w:rPr>
            </w:pPr>
            <w:r>
              <w:rPr>
                <w:rFonts w:ascii="Arial" w:cs="Arial" w:eastAsia="Arial" w:hAnsi="Arial"/>
                <w:sz w:val="14"/>
                <w:szCs w:val="14"/>
                <w:b w:val="1"/>
                <w:bCs w:val="1"/>
                <w:color w:val="auto"/>
              </w:rPr>
              <w:t>Earnings</w:t>
            </w:r>
          </w:p>
        </w:tc>
        <w:tc>
          <w:tcPr>
            <w:tcW w:w="1140" w:type="dxa"/>
            <w:vAlign w:val="bottom"/>
            <w:shd w:val="clear" w:color="auto" w:fill="ECEBEB"/>
          </w:tcPr>
          <w:p>
            <w:pPr>
              <w:jc w:val="right"/>
              <w:ind w:right="64"/>
              <w:spacing w:after="0"/>
              <w:rPr>
                <w:sz w:val="20"/>
                <w:szCs w:val="20"/>
                <w:color w:val="auto"/>
              </w:rPr>
            </w:pPr>
            <w:r>
              <w:rPr>
                <w:rFonts w:ascii="Arial" w:cs="Arial" w:eastAsia="Arial" w:hAnsi="Arial"/>
                <w:sz w:val="14"/>
                <w:szCs w:val="14"/>
                <w:b w:val="1"/>
                <w:bCs w:val="1"/>
                <w:color w:val="auto"/>
              </w:rPr>
              <w:t>Withdrawals</w:t>
            </w:r>
          </w:p>
        </w:tc>
        <w:tc>
          <w:tcPr>
            <w:tcW w:w="940" w:type="dxa"/>
            <w:vAlign w:val="bottom"/>
            <w:shd w:val="clear" w:color="auto" w:fill="ECEBEB"/>
          </w:tcPr>
          <w:p>
            <w:pPr>
              <w:jc w:val="center"/>
              <w:ind w:left="64"/>
              <w:spacing w:after="0"/>
              <w:rPr>
                <w:sz w:val="20"/>
                <w:szCs w:val="20"/>
                <w:color w:val="auto"/>
              </w:rPr>
            </w:pPr>
            <w:r>
              <w:rPr>
                <w:rFonts w:ascii="Arial" w:cs="Arial" w:eastAsia="Arial" w:hAnsi="Arial"/>
                <w:sz w:val="14"/>
                <w:szCs w:val="14"/>
                <w:b w:val="1"/>
                <w:bCs w:val="1"/>
                <w:color w:val="auto"/>
              </w:rPr>
              <w:t>Balance at</w:t>
            </w:r>
          </w:p>
        </w:tc>
      </w:tr>
      <w:tr>
        <w:trPr>
          <w:trHeight w:val="160"/>
        </w:trPr>
        <w:tc>
          <w:tcPr>
            <w:tcW w:w="2220" w:type="dxa"/>
            <w:vAlign w:val="bottom"/>
            <w:shd w:val="clear" w:color="auto" w:fill="ECEBEB"/>
          </w:tcPr>
          <w:p>
            <w:pPr>
              <w:spacing w:after="0"/>
              <w:rPr>
                <w:sz w:val="13"/>
                <w:szCs w:val="13"/>
                <w:color w:val="auto"/>
              </w:rPr>
            </w:pPr>
          </w:p>
        </w:tc>
        <w:tc>
          <w:tcPr>
            <w:tcW w:w="1300" w:type="dxa"/>
            <w:vAlign w:val="bottom"/>
            <w:shd w:val="clear" w:color="auto" w:fill="ECEBEB"/>
          </w:tcPr>
          <w:p>
            <w:pPr>
              <w:spacing w:after="0"/>
              <w:rPr>
                <w:sz w:val="13"/>
                <w:szCs w:val="13"/>
                <w:color w:val="auto"/>
              </w:rPr>
            </w:pPr>
          </w:p>
        </w:tc>
        <w:tc>
          <w:tcPr>
            <w:tcW w:w="1160" w:type="dxa"/>
            <w:vAlign w:val="bottom"/>
            <w:shd w:val="clear" w:color="auto" w:fill="ECEBEB"/>
          </w:tcPr>
          <w:p>
            <w:pPr>
              <w:jc w:val="right"/>
              <w:ind w:right="44"/>
              <w:spacing w:after="0" w:line="159" w:lineRule="exact"/>
              <w:rPr>
                <w:sz w:val="20"/>
                <w:szCs w:val="20"/>
                <w:color w:val="auto"/>
              </w:rPr>
            </w:pPr>
            <w:r>
              <w:rPr>
                <w:rFonts w:ascii="Arial" w:cs="Arial" w:eastAsia="Arial" w:hAnsi="Arial"/>
                <w:sz w:val="14"/>
                <w:szCs w:val="14"/>
                <w:b w:val="1"/>
                <w:bCs w:val="1"/>
                <w:color w:val="auto"/>
              </w:rPr>
              <w:t>in the Last</w:t>
            </w:r>
          </w:p>
        </w:tc>
        <w:tc>
          <w:tcPr>
            <w:tcW w:w="1180" w:type="dxa"/>
            <w:vAlign w:val="bottom"/>
            <w:shd w:val="clear" w:color="auto" w:fill="ECEBEB"/>
          </w:tcPr>
          <w:p>
            <w:pPr>
              <w:jc w:val="right"/>
              <w:ind w:right="64"/>
              <w:spacing w:after="0" w:line="159" w:lineRule="exact"/>
              <w:rPr>
                <w:sz w:val="20"/>
                <w:szCs w:val="20"/>
                <w:color w:val="auto"/>
              </w:rPr>
            </w:pPr>
            <w:r>
              <w:rPr>
                <w:rFonts w:ascii="Arial" w:cs="Arial" w:eastAsia="Arial" w:hAnsi="Arial"/>
                <w:sz w:val="14"/>
                <w:szCs w:val="14"/>
                <w:b w:val="1"/>
                <w:bCs w:val="1"/>
                <w:color w:val="auto"/>
              </w:rPr>
              <w:t>in the Last</w:t>
            </w:r>
          </w:p>
        </w:tc>
        <w:tc>
          <w:tcPr>
            <w:tcW w:w="1140" w:type="dxa"/>
            <w:vAlign w:val="bottom"/>
            <w:shd w:val="clear" w:color="auto" w:fill="ECEBEB"/>
          </w:tcPr>
          <w:p>
            <w:pPr>
              <w:jc w:val="right"/>
              <w:ind w:right="44"/>
              <w:spacing w:after="0" w:line="159" w:lineRule="exact"/>
              <w:rPr>
                <w:sz w:val="20"/>
                <w:szCs w:val="20"/>
                <w:color w:val="auto"/>
              </w:rPr>
            </w:pPr>
            <w:r>
              <w:rPr>
                <w:rFonts w:ascii="Arial" w:cs="Arial" w:eastAsia="Arial" w:hAnsi="Arial"/>
                <w:sz w:val="14"/>
                <w:szCs w:val="14"/>
                <w:b w:val="1"/>
                <w:bCs w:val="1"/>
                <w:color w:val="auto"/>
              </w:rPr>
              <w:t>in the Last</w:t>
            </w:r>
          </w:p>
        </w:tc>
        <w:tc>
          <w:tcPr>
            <w:tcW w:w="1140" w:type="dxa"/>
            <w:vAlign w:val="bottom"/>
            <w:shd w:val="clear" w:color="auto" w:fill="ECEBEB"/>
          </w:tcPr>
          <w:p>
            <w:pPr>
              <w:jc w:val="right"/>
              <w:ind w:right="64"/>
              <w:spacing w:after="0" w:line="159" w:lineRule="exact"/>
              <w:rPr>
                <w:sz w:val="20"/>
                <w:szCs w:val="20"/>
                <w:color w:val="auto"/>
              </w:rPr>
            </w:pPr>
            <w:r>
              <w:rPr>
                <w:rFonts w:ascii="Arial" w:cs="Arial" w:eastAsia="Arial" w:hAnsi="Arial"/>
                <w:sz w:val="14"/>
                <w:szCs w:val="14"/>
                <w:b w:val="1"/>
                <w:bCs w:val="1"/>
                <w:color w:val="auto"/>
              </w:rPr>
              <w:t>and</w:t>
            </w:r>
          </w:p>
        </w:tc>
        <w:tc>
          <w:tcPr>
            <w:tcW w:w="940" w:type="dxa"/>
            <w:vAlign w:val="bottom"/>
            <w:shd w:val="clear" w:color="auto" w:fill="ECEBEB"/>
          </w:tcPr>
          <w:p>
            <w:pPr>
              <w:ind w:left="100"/>
              <w:spacing w:after="0" w:line="159" w:lineRule="exact"/>
              <w:rPr>
                <w:sz w:val="20"/>
                <w:szCs w:val="20"/>
                <w:color w:val="auto"/>
              </w:rPr>
            </w:pPr>
            <w:r>
              <w:rPr>
                <w:rFonts w:ascii="Arial" w:cs="Arial" w:eastAsia="Arial" w:hAnsi="Arial"/>
                <w:sz w:val="14"/>
                <w:szCs w:val="14"/>
                <w:b w:val="1"/>
                <w:bCs w:val="1"/>
                <w:color w:val="auto"/>
              </w:rPr>
              <w:t>2025 Fiscal</w:t>
            </w:r>
          </w:p>
        </w:tc>
      </w:tr>
      <w:tr>
        <w:trPr>
          <w:trHeight w:val="191"/>
        </w:trPr>
        <w:tc>
          <w:tcPr>
            <w:tcW w:w="2220" w:type="dxa"/>
            <w:vAlign w:val="bottom"/>
            <w:shd w:val="clear" w:color="auto" w:fill="ECEBEB"/>
          </w:tcPr>
          <w:p>
            <w:pPr>
              <w:spacing w:after="0"/>
              <w:rPr>
                <w:sz w:val="16"/>
                <w:szCs w:val="16"/>
                <w:color w:val="auto"/>
              </w:rPr>
            </w:pPr>
          </w:p>
        </w:tc>
        <w:tc>
          <w:tcPr>
            <w:tcW w:w="1300" w:type="dxa"/>
            <w:vAlign w:val="bottom"/>
            <w:shd w:val="clear" w:color="auto" w:fill="ECEBEB"/>
          </w:tcPr>
          <w:p>
            <w:pPr>
              <w:spacing w:after="0"/>
              <w:rPr>
                <w:sz w:val="16"/>
                <w:szCs w:val="16"/>
                <w:color w:val="auto"/>
              </w:rPr>
            </w:pPr>
          </w:p>
        </w:tc>
        <w:tc>
          <w:tcPr>
            <w:tcW w:w="1160" w:type="dxa"/>
            <w:vAlign w:val="bottom"/>
            <w:shd w:val="clear" w:color="auto" w:fill="ECEBEB"/>
          </w:tcPr>
          <w:p>
            <w:pPr>
              <w:jc w:val="right"/>
              <w:ind w:right="64"/>
              <w:spacing w:after="0"/>
              <w:rPr>
                <w:sz w:val="20"/>
                <w:szCs w:val="20"/>
                <w:color w:val="auto"/>
              </w:rPr>
            </w:pPr>
            <w:r>
              <w:rPr>
                <w:rFonts w:ascii="Arial" w:cs="Arial" w:eastAsia="Arial" w:hAnsi="Arial"/>
                <w:sz w:val="14"/>
                <w:szCs w:val="14"/>
                <w:b w:val="1"/>
                <w:bCs w:val="1"/>
                <w:color w:val="auto"/>
              </w:rPr>
              <w:t>Fiscal Year</w:t>
            </w:r>
          </w:p>
        </w:tc>
        <w:tc>
          <w:tcPr>
            <w:tcW w:w="1180" w:type="dxa"/>
            <w:vAlign w:val="bottom"/>
            <w:shd w:val="clear" w:color="auto" w:fill="ECEBEB"/>
          </w:tcPr>
          <w:p>
            <w:pPr>
              <w:jc w:val="right"/>
              <w:ind w:right="64"/>
              <w:spacing w:after="0" w:line="191" w:lineRule="exact"/>
              <w:rPr>
                <w:sz w:val="20"/>
                <w:szCs w:val="20"/>
                <w:color w:val="auto"/>
              </w:rPr>
            </w:pPr>
            <w:r>
              <w:rPr>
                <w:rFonts w:ascii="Arial" w:cs="Arial" w:eastAsia="Arial" w:hAnsi="Arial"/>
                <w:sz w:val="14"/>
                <w:szCs w:val="14"/>
                <w:b w:val="1"/>
                <w:bCs w:val="1"/>
                <w:color w:val="auto"/>
              </w:rPr>
              <w:t>Fiscal Year</w:t>
            </w:r>
            <w:r>
              <w:rPr>
                <w:rFonts w:ascii="Arial" w:cs="Arial" w:eastAsia="Arial" w:hAnsi="Arial"/>
                <w:sz w:val="18"/>
                <w:szCs w:val="18"/>
                <w:b w:val="1"/>
                <w:bCs w:val="1"/>
                <w:color w:val="auto"/>
                <w:vertAlign w:val="superscript"/>
              </w:rPr>
              <w:t>(1)</w:t>
            </w:r>
          </w:p>
        </w:tc>
        <w:tc>
          <w:tcPr>
            <w:tcW w:w="1140" w:type="dxa"/>
            <w:vAlign w:val="bottom"/>
            <w:shd w:val="clear" w:color="auto" w:fill="ECEBEB"/>
          </w:tcPr>
          <w:p>
            <w:pPr>
              <w:jc w:val="right"/>
              <w:ind w:right="84"/>
              <w:spacing w:after="0" w:line="191" w:lineRule="exact"/>
              <w:rPr>
                <w:sz w:val="20"/>
                <w:szCs w:val="20"/>
                <w:color w:val="auto"/>
              </w:rPr>
            </w:pPr>
            <w:r>
              <w:rPr>
                <w:rFonts w:ascii="Arial" w:cs="Arial" w:eastAsia="Arial" w:hAnsi="Arial"/>
                <w:sz w:val="14"/>
                <w:szCs w:val="14"/>
                <w:b w:val="1"/>
                <w:bCs w:val="1"/>
                <w:color w:val="auto"/>
              </w:rPr>
              <w:t>Fiscal Year</w:t>
            </w:r>
            <w:r>
              <w:rPr>
                <w:rFonts w:ascii="Arial" w:cs="Arial" w:eastAsia="Arial" w:hAnsi="Arial"/>
                <w:sz w:val="18"/>
                <w:szCs w:val="18"/>
                <w:b w:val="1"/>
                <w:bCs w:val="1"/>
                <w:color w:val="auto"/>
                <w:vertAlign w:val="superscript"/>
              </w:rPr>
              <w:t>(2)</w:t>
            </w:r>
          </w:p>
        </w:tc>
        <w:tc>
          <w:tcPr>
            <w:tcW w:w="1140" w:type="dxa"/>
            <w:vAlign w:val="bottom"/>
            <w:shd w:val="clear" w:color="auto" w:fill="ECEBEB"/>
          </w:tcPr>
          <w:p>
            <w:pPr>
              <w:jc w:val="right"/>
              <w:ind w:right="64"/>
              <w:spacing w:after="0"/>
              <w:rPr>
                <w:sz w:val="20"/>
                <w:szCs w:val="20"/>
                <w:color w:val="auto"/>
              </w:rPr>
            </w:pPr>
            <w:r>
              <w:rPr>
                <w:rFonts w:ascii="Arial" w:cs="Arial" w:eastAsia="Arial" w:hAnsi="Arial"/>
                <w:sz w:val="14"/>
                <w:szCs w:val="14"/>
                <w:b w:val="1"/>
                <w:bCs w:val="1"/>
                <w:color w:val="auto"/>
              </w:rPr>
              <w:t>Distributions</w:t>
            </w:r>
          </w:p>
        </w:tc>
        <w:tc>
          <w:tcPr>
            <w:tcW w:w="940" w:type="dxa"/>
            <w:vAlign w:val="bottom"/>
            <w:shd w:val="clear" w:color="auto" w:fill="ECEBEB"/>
          </w:tcPr>
          <w:p>
            <w:pPr>
              <w:jc w:val="center"/>
              <w:ind w:left="4"/>
              <w:spacing w:after="0" w:line="191" w:lineRule="exact"/>
              <w:rPr>
                <w:sz w:val="20"/>
                <w:szCs w:val="20"/>
                <w:color w:val="auto"/>
              </w:rPr>
            </w:pPr>
            <w:r>
              <w:rPr>
                <w:rFonts w:ascii="Arial" w:cs="Arial" w:eastAsia="Arial" w:hAnsi="Arial"/>
                <w:sz w:val="14"/>
                <w:szCs w:val="14"/>
                <w:b w:val="1"/>
                <w:bCs w:val="1"/>
                <w:color w:val="auto"/>
                <w:w w:val="98"/>
              </w:rPr>
              <w:t>Year End</w:t>
            </w:r>
            <w:r>
              <w:rPr>
                <w:rFonts w:ascii="Arial" w:cs="Arial" w:eastAsia="Arial" w:hAnsi="Arial"/>
                <w:sz w:val="18"/>
                <w:szCs w:val="18"/>
                <w:b w:val="1"/>
                <w:bCs w:val="1"/>
                <w:color w:val="auto"/>
                <w:w w:val="98"/>
                <w:vertAlign w:val="superscript"/>
              </w:rPr>
              <w:t>(3)</w:t>
            </w:r>
          </w:p>
        </w:tc>
      </w:tr>
      <w:tr>
        <w:trPr>
          <w:trHeight w:val="171"/>
        </w:trPr>
        <w:tc>
          <w:tcPr>
            <w:tcW w:w="222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Name</w:t>
            </w:r>
          </w:p>
        </w:tc>
        <w:tc>
          <w:tcPr>
            <w:tcW w:w="1300" w:type="dxa"/>
            <w:vAlign w:val="bottom"/>
            <w:tcBorders>
              <w:bottom w:val="single" w:sz="8" w:color="0956FF"/>
            </w:tcBorders>
            <w:shd w:val="clear" w:color="auto" w:fill="ECEBEB"/>
          </w:tcPr>
          <w:p>
            <w:pPr>
              <w:ind w:left="840"/>
              <w:spacing w:after="0"/>
              <w:rPr>
                <w:sz w:val="20"/>
                <w:szCs w:val="20"/>
                <w:color w:val="auto"/>
              </w:rPr>
            </w:pPr>
            <w:r>
              <w:rPr>
                <w:rFonts w:ascii="Arial" w:cs="Arial" w:eastAsia="Arial" w:hAnsi="Arial"/>
                <w:sz w:val="14"/>
                <w:szCs w:val="14"/>
                <w:b w:val="1"/>
                <w:bCs w:val="1"/>
                <w:color w:val="auto"/>
              </w:rPr>
              <w:t>Plan</w:t>
            </w:r>
          </w:p>
        </w:tc>
        <w:tc>
          <w:tcPr>
            <w:tcW w:w="1160" w:type="dxa"/>
            <w:vAlign w:val="bottom"/>
            <w:tcBorders>
              <w:bottom w:val="single" w:sz="8" w:color="0956FF"/>
            </w:tcBorders>
            <w:shd w:val="clear" w:color="auto" w:fill="ECEBEB"/>
          </w:tcPr>
          <w:p>
            <w:pPr>
              <w:jc w:val="right"/>
              <w:ind w:right="84"/>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956FF"/>
            </w:tcBorders>
            <w:shd w:val="clear" w:color="auto" w:fill="ECEBEB"/>
          </w:tcPr>
          <w:p>
            <w:pPr>
              <w:jc w:val="right"/>
              <w:ind w:right="84"/>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956FF"/>
            </w:tcBorders>
            <w:shd w:val="clear" w:color="auto" w:fill="ECEBEB"/>
          </w:tcPr>
          <w:p>
            <w:pPr>
              <w:jc w:val="right"/>
              <w:ind w:right="84"/>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956FF"/>
            </w:tcBorders>
            <w:shd w:val="clear" w:color="auto" w:fill="ECEBEB"/>
          </w:tcPr>
          <w:p>
            <w:pPr>
              <w:jc w:val="right"/>
              <w:ind w:right="84"/>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r>
      <w:tr>
        <w:trPr>
          <w:trHeight w:val="250"/>
        </w:trPr>
        <w:tc>
          <w:tcPr>
            <w:tcW w:w="22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Mary T. Barra</w:t>
            </w:r>
          </w:p>
        </w:tc>
        <w:tc>
          <w:tcPr>
            <w:tcW w:w="1300" w:type="dxa"/>
            <w:vAlign w:val="bottom"/>
            <w:tcBorders>
              <w:bottom w:val="single" w:sz="8" w:color="D8D7D7"/>
            </w:tcBorders>
          </w:tcPr>
          <w:p>
            <w:pPr>
              <w:ind w:left="580"/>
              <w:spacing w:after="0"/>
              <w:rPr>
                <w:sz w:val="20"/>
                <w:szCs w:val="20"/>
                <w:color w:val="auto"/>
              </w:rPr>
            </w:pPr>
            <w:r>
              <w:rPr>
                <w:rFonts w:ascii="Arial" w:cs="Arial" w:eastAsia="Arial" w:hAnsi="Arial"/>
                <w:sz w:val="16"/>
                <w:szCs w:val="16"/>
                <w:color w:val="auto"/>
              </w:rPr>
              <w:t>DC ERP</w:t>
            </w:r>
          </w:p>
        </w:tc>
        <w:tc>
          <w:tcPr>
            <w:tcW w:w="1160" w:type="dxa"/>
            <w:vAlign w:val="bottom"/>
            <w:tcBorders>
              <w:bottom w:val="single" w:sz="8" w:color="D8D7D7"/>
            </w:tcBorders>
          </w:tcPr>
          <w:p>
            <w:pPr>
              <w:ind w:left="9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8D7D7"/>
            </w:tcBorders>
          </w:tcPr>
          <w:p>
            <w:pPr>
              <w:jc w:val="right"/>
              <w:ind w:right="124"/>
              <w:spacing w:after="0"/>
              <w:rPr>
                <w:sz w:val="20"/>
                <w:szCs w:val="20"/>
                <w:color w:val="auto"/>
              </w:rPr>
            </w:pPr>
            <w:r>
              <w:rPr>
                <w:rFonts w:ascii="Arial" w:cs="Arial" w:eastAsia="Arial" w:hAnsi="Arial"/>
                <w:sz w:val="16"/>
                <w:szCs w:val="16"/>
                <w:color w:val="auto"/>
              </w:rPr>
              <w:t>631,080</w:t>
            </w:r>
          </w:p>
        </w:tc>
        <w:tc>
          <w:tcPr>
            <w:tcW w:w="1140" w:type="dxa"/>
            <w:vAlign w:val="bottom"/>
            <w:tcBorders>
              <w:bottom w:val="single" w:sz="8" w:color="D8D7D7"/>
            </w:tcBorders>
          </w:tcPr>
          <w:p>
            <w:pPr>
              <w:jc w:val="right"/>
              <w:ind w:right="104"/>
              <w:spacing w:after="0"/>
              <w:rPr>
                <w:sz w:val="20"/>
                <w:szCs w:val="20"/>
                <w:color w:val="auto"/>
              </w:rPr>
            </w:pPr>
            <w:r>
              <w:rPr>
                <w:rFonts w:ascii="Arial" w:cs="Arial" w:eastAsia="Arial" w:hAnsi="Arial"/>
                <w:sz w:val="16"/>
                <w:szCs w:val="16"/>
                <w:color w:val="auto"/>
              </w:rPr>
              <w:t>1,047,306</w:t>
            </w:r>
          </w:p>
        </w:tc>
        <w:tc>
          <w:tcPr>
            <w:tcW w:w="1140" w:type="dxa"/>
            <w:vAlign w:val="bottom"/>
            <w:tcBorders>
              <w:bottom w:val="single" w:sz="8" w:color="D8D7D7"/>
            </w:tcBorders>
          </w:tcPr>
          <w:p>
            <w:pPr>
              <w:ind w:left="8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8D7D7"/>
            </w:tcBorders>
          </w:tcPr>
          <w:p>
            <w:pPr>
              <w:jc w:val="center"/>
              <w:ind w:left="64"/>
              <w:spacing w:after="0"/>
              <w:rPr>
                <w:sz w:val="20"/>
                <w:szCs w:val="20"/>
                <w:color w:val="auto"/>
              </w:rPr>
            </w:pPr>
            <w:r>
              <w:rPr>
                <w:rFonts w:ascii="Arial" w:cs="Arial" w:eastAsia="Arial" w:hAnsi="Arial"/>
                <w:sz w:val="16"/>
                <w:szCs w:val="16"/>
                <w:color w:val="auto"/>
              </w:rPr>
              <w:t>8,816,713</w:t>
            </w:r>
          </w:p>
        </w:tc>
      </w:tr>
      <w:tr>
        <w:trPr>
          <w:trHeight w:val="250"/>
        </w:trPr>
        <w:tc>
          <w:tcPr>
            <w:tcW w:w="22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Paul A. Jacobson</w:t>
            </w:r>
          </w:p>
        </w:tc>
        <w:tc>
          <w:tcPr>
            <w:tcW w:w="1300" w:type="dxa"/>
            <w:vAlign w:val="bottom"/>
            <w:tcBorders>
              <w:bottom w:val="single" w:sz="8" w:color="D8D7D7"/>
            </w:tcBorders>
          </w:tcPr>
          <w:p>
            <w:pPr>
              <w:ind w:left="580"/>
              <w:spacing w:after="0"/>
              <w:rPr>
                <w:sz w:val="20"/>
                <w:szCs w:val="20"/>
                <w:color w:val="auto"/>
              </w:rPr>
            </w:pPr>
            <w:r>
              <w:rPr>
                <w:rFonts w:ascii="Arial" w:cs="Arial" w:eastAsia="Arial" w:hAnsi="Arial"/>
                <w:sz w:val="16"/>
                <w:szCs w:val="16"/>
                <w:color w:val="auto"/>
              </w:rPr>
              <w:t>DC ERP</w:t>
            </w:r>
          </w:p>
        </w:tc>
        <w:tc>
          <w:tcPr>
            <w:tcW w:w="1160" w:type="dxa"/>
            <w:vAlign w:val="bottom"/>
            <w:tcBorders>
              <w:bottom w:val="single" w:sz="8" w:color="D8D7D7"/>
            </w:tcBorders>
          </w:tcPr>
          <w:p>
            <w:pPr>
              <w:ind w:left="9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8D7D7"/>
            </w:tcBorders>
          </w:tcPr>
          <w:p>
            <w:pPr>
              <w:jc w:val="right"/>
              <w:ind w:right="104"/>
              <w:spacing w:after="0"/>
              <w:rPr>
                <w:sz w:val="20"/>
                <w:szCs w:val="20"/>
                <w:color w:val="auto"/>
              </w:rPr>
            </w:pPr>
            <w:r>
              <w:rPr>
                <w:rFonts w:ascii="Arial" w:cs="Arial" w:eastAsia="Arial" w:hAnsi="Arial"/>
                <w:sz w:val="16"/>
                <w:szCs w:val="16"/>
                <w:color w:val="auto"/>
              </w:rPr>
              <w:t>189,256</w:t>
            </w:r>
          </w:p>
        </w:tc>
        <w:tc>
          <w:tcPr>
            <w:tcW w:w="1140" w:type="dxa"/>
            <w:vAlign w:val="bottom"/>
            <w:tcBorders>
              <w:bottom w:val="single" w:sz="8" w:color="D8D7D7"/>
            </w:tcBorders>
          </w:tcPr>
          <w:p>
            <w:pPr>
              <w:jc w:val="right"/>
              <w:ind w:right="64"/>
              <w:spacing w:after="0"/>
              <w:rPr>
                <w:sz w:val="20"/>
                <w:szCs w:val="20"/>
                <w:color w:val="auto"/>
              </w:rPr>
            </w:pPr>
            <w:r>
              <w:rPr>
                <w:rFonts w:ascii="Arial" w:cs="Arial" w:eastAsia="Arial" w:hAnsi="Arial"/>
                <w:sz w:val="16"/>
                <w:szCs w:val="16"/>
                <w:color w:val="auto"/>
              </w:rPr>
              <w:t>127,021</w:t>
            </w:r>
          </w:p>
        </w:tc>
        <w:tc>
          <w:tcPr>
            <w:tcW w:w="1140" w:type="dxa"/>
            <w:vAlign w:val="bottom"/>
            <w:tcBorders>
              <w:bottom w:val="single" w:sz="8" w:color="D8D7D7"/>
            </w:tcBorders>
          </w:tcPr>
          <w:p>
            <w:pPr>
              <w:ind w:left="8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8D7D7"/>
            </w:tcBorders>
          </w:tcPr>
          <w:p>
            <w:pPr>
              <w:jc w:val="center"/>
              <w:ind w:left="64"/>
              <w:spacing w:after="0"/>
              <w:rPr>
                <w:sz w:val="20"/>
                <w:szCs w:val="20"/>
                <w:color w:val="auto"/>
              </w:rPr>
            </w:pPr>
            <w:r>
              <w:rPr>
                <w:rFonts w:ascii="Arial" w:cs="Arial" w:eastAsia="Arial" w:hAnsi="Arial"/>
                <w:sz w:val="16"/>
                <w:szCs w:val="16"/>
                <w:color w:val="auto"/>
              </w:rPr>
              <w:t>900,579</w:t>
            </w:r>
          </w:p>
        </w:tc>
      </w:tr>
      <w:tr>
        <w:trPr>
          <w:trHeight w:val="250"/>
        </w:trPr>
        <w:tc>
          <w:tcPr>
            <w:tcW w:w="22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Mark L. Reuss</w:t>
            </w:r>
          </w:p>
        </w:tc>
        <w:tc>
          <w:tcPr>
            <w:tcW w:w="1300" w:type="dxa"/>
            <w:vAlign w:val="bottom"/>
            <w:tcBorders>
              <w:bottom w:val="single" w:sz="8" w:color="D8D7D7"/>
            </w:tcBorders>
          </w:tcPr>
          <w:p>
            <w:pPr>
              <w:ind w:left="580"/>
              <w:spacing w:after="0"/>
              <w:rPr>
                <w:sz w:val="20"/>
                <w:szCs w:val="20"/>
                <w:color w:val="auto"/>
              </w:rPr>
            </w:pPr>
            <w:r>
              <w:rPr>
                <w:rFonts w:ascii="Arial" w:cs="Arial" w:eastAsia="Arial" w:hAnsi="Arial"/>
                <w:sz w:val="16"/>
                <w:szCs w:val="16"/>
                <w:color w:val="auto"/>
              </w:rPr>
              <w:t>DC ERP</w:t>
            </w:r>
          </w:p>
        </w:tc>
        <w:tc>
          <w:tcPr>
            <w:tcW w:w="1160" w:type="dxa"/>
            <w:vAlign w:val="bottom"/>
            <w:tcBorders>
              <w:bottom w:val="single" w:sz="8" w:color="D8D7D7"/>
            </w:tcBorders>
          </w:tcPr>
          <w:p>
            <w:pPr>
              <w:ind w:left="9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8D7D7"/>
            </w:tcBorders>
          </w:tcPr>
          <w:p>
            <w:pPr>
              <w:jc w:val="right"/>
              <w:ind w:right="124"/>
              <w:spacing w:after="0"/>
              <w:rPr>
                <w:sz w:val="20"/>
                <w:szCs w:val="20"/>
                <w:color w:val="auto"/>
              </w:rPr>
            </w:pPr>
            <w:r>
              <w:rPr>
                <w:rFonts w:ascii="Arial" w:cs="Arial" w:eastAsia="Arial" w:hAnsi="Arial"/>
                <w:sz w:val="16"/>
                <w:szCs w:val="16"/>
                <w:color w:val="auto"/>
              </w:rPr>
              <w:t>307,734</w:t>
            </w:r>
          </w:p>
        </w:tc>
        <w:tc>
          <w:tcPr>
            <w:tcW w:w="1140" w:type="dxa"/>
            <w:vAlign w:val="bottom"/>
            <w:tcBorders>
              <w:bottom w:val="single" w:sz="8" w:color="D8D7D7"/>
            </w:tcBorders>
          </w:tcPr>
          <w:p>
            <w:pPr>
              <w:jc w:val="right"/>
              <w:ind w:right="64"/>
              <w:spacing w:after="0"/>
              <w:rPr>
                <w:sz w:val="20"/>
                <w:szCs w:val="20"/>
                <w:color w:val="auto"/>
              </w:rPr>
            </w:pPr>
            <w:r>
              <w:rPr>
                <w:rFonts w:ascii="Arial" w:cs="Arial" w:eastAsia="Arial" w:hAnsi="Arial"/>
                <w:sz w:val="16"/>
                <w:szCs w:val="16"/>
                <w:color w:val="auto"/>
              </w:rPr>
              <w:t>577,915</w:t>
            </w:r>
          </w:p>
        </w:tc>
        <w:tc>
          <w:tcPr>
            <w:tcW w:w="1140" w:type="dxa"/>
            <w:vAlign w:val="bottom"/>
            <w:tcBorders>
              <w:bottom w:val="single" w:sz="8" w:color="D8D7D7"/>
            </w:tcBorders>
          </w:tcPr>
          <w:p>
            <w:pPr>
              <w:ind w:left="8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8D7D7"/>
            </w:tcBorders>
          </w:tcPr>
          <w:p>
            <w:pPr>
              <w:ind w:left="100"/>
              <w:spacing w:after="0"/>
              <w:rPr>
                <w:sz w:val="20"/>
                <w:szCs w:val="20"/>
                <w:color w:val="auto"/>
              </w:rPr>
            </w:pPr>
            <w:r>
              <w:rPr>
                <w:rFonts w:ascii="Arial" w:cs="Arial" w:eastAsia="Arial" w:hAnsi="Arial"/>
                <w:sz w:val="16"/>
                <w:szCs w:val="16"/>
                <w:color w:val="auto"/>
              </w:rPr>
              <w:t>4,262,602</w:t>
            </w:r>
          </w:p>
        </w:tc>
      </w:tr>
      <w:tr>
        <w:trPr>
          <w:trHeight w:val="250"/>
        </w:trPr>
        <w:tc>
          <w:tcPr>
            <w:tcW w:w="22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Sterling J. Anderson</w:t>
            </w:r>
          </w:p>
        </w:tc>
        <w:tc>
          <w:tcPr>
            <w:tcW w:w="1300" w:type="dxa"/>
            <w:vAlign w:val="bottom"/>
            <w:tcBorders>
              <w:bottom w:val="single" w:sz="8" w:color="D8D7D7"/>
            </w:tcBorders>
          </w:tcPr>
          <w:p>
            <w:pPr>
              <w:ind w:left="580"/>
              <w:spacing w:after="0"/>
              <w:rPr>
                <w:sz w:val="20"/>
                <w:szCs w:val="20"/>
                <w:color w:val="auto"/>
              </w:rPr>
            </w:pPr>
            <w:r>
              <w:rPr>
                <w:rFonts w:ascii="Arial" w:cs="Arial" w:eastAsia="Arial" w:hAnsi="Arial"/>
                <w:sz w:val="16"/>
                <w:szCs w:val="16"/>
                <w:color w:val="auto"/>
              </w:rPr>
              <w:t>DC ERP</w:t>
            </w:r>
          </w:p>
        </w:tc>
        <w:tc>
          <w:tcPr>
            <w:tcW w:w="1160" w:type="dxa"/>
            <w:vAlign w:val="bottom"/>
            <w:tcBorders>
              <w:bottom w:val="single" w:sz="8" w:color="D8D7D7"/>
            </w:tcBorders>
          </w:tcPr>
          <w:p>
            <w:pPr>
              <w:ind w:left="9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8D7D7"/>
            </w:tcBorders>
          </w:tcPr>
          <w:p>
            <w:pPr>
              <w:jc w:val="right"/>
              <w:ind w:right="84"/>
              <w:spacing w:after="0"/>
              <w:rPr>
                <w:sz w:val="20"/>
                <w:szCs w:val="20"/>
                <w:color w:val="auto"/>
              </w:rPr>
            </w:pPr>
            <w:r>
              <w:rPr>
                <w:rFonts w:ascii="Arial" w:cs="Arial" w:eastAsia="Arial" w:hAnsi="Arial"/>
                <w:sz w:val="16"/>
                <w:szCs w:val="16"/>
                <w:color w:val="auto"/>
              </w:rPr>
              <w:t>29,167</w:t>
            </w:r>
          </w:p>
        </w:tc>
        <w:tc>
          <w:tcPr>
            <w:tcW w:w="1140" w:type="dxa"/>
            <w:vAlign w:val="bottom"/>
            <w:tcBorders>
              <w:bottom w:val="single" w:sz="8" w:color="D8D7D7"/>
            </w:tcBorders>
          </w:tcPr>
          <w:p>
            <w:pPr>
              <w:jc w:val="right"/>
              <w:ind w:right="84"/>
              <w:spacing w:after="0"/>
              <w:rPr>
                <w:sz w:val="20"/>
                <w:szCs w:val="20"/>
                <w:color w:val="auto"/>
              </w:rPr>
            </w:pPr>
            <w:r>
              <w:rPr>
                <w:rFonts w:ascii="Arial" w:cs="Arial" w:eastAsia="Arial" w:hAnsi="Arial"/>
                <w:sz w:val="16"/>
                <w:szCs w:val="16"/>
                <w:color w:val="auto"/>
              </w:rPr>
              <w:t>401</w:t>
            </w:r>
          </w:p>
        </w:tc>
        <w:tc>
          <w:tcPr>
            <w:tcW w:w="1140" w:type="dxa"/>
            <w:vAlign w:val="bottom"/>
            <w:tcBorders>
              <w:bottom w:val="single" w:sz="8" w:color="D8D7D7"/>
            </w:tcBorders>
          </w:tcPr>
          <w:p>
            <w:pPr>
              <w:ind w:left="8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D8D7D7"/>
            </w:tcBorders>
          </w:tcPr>
          <w:p>
            <w:pPr>
              <w:jc w:val="right"/>
              <w:ind w:right="24"/>
              <w:spacing w:after="0"/>
              <w:rPr>
                <w:sz w:val="20"/>
                <w:szCs w:val="20"/>
                <w:color w:val="auto"/>
              </w:rPr>
            </w:pPr>
            <w:r>
              <w:rPr>
                <w:rFonts w:ascii="Arial" w:cs="Arial" w:eastAsia="Arial" w:hAnsi="Arial"/>
                <w:sz w:val="16"/>
                <w:szCs w:val="16"/>
                <w:color w:val="auto"/>
              </w:rPr>
              <w:t>29,568</w:t>
            </w:r>
          </w:p>
        </w:tc>
      </w:tr>
      <w:tr>
        <w:trPr>
          <w:trHeight w:val="250"/>
        </w:trPr>
        <w:tc>
          <w:tcPr>
            <w:tcW w:w="222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0956FF"/>
              </w:rPr>
              <w:t>Rory V. Harvey</w:t>
            </w:r>
          </w:p>
        </w:tc>
        <w:tc>
          <w:tcPr>
            <w:tcW w:w="1300" w:type="dxa"/>
            <w:vAlign w:val="bottom"/>
            <w:tcBorders>
              <w:bottom w:val="single" w:sz="8" w:color="0956FF"/>
            </w:tcBorders>
          </w:tcPr>
          <w:p>
            <w:pPr>
              <w:ind w:left="580"/>
              <w:spacing w:after="0"/>
              <w:rPr>
                <w:sz w:val="20"/>
                <w:szCs w:val="20"/>
                <w:color w:val="auto"/>
              </w:rPr>
            </w:pPr>
            <w:r>
              <w:rPr>
                <w:rFonts w:ascii="Arial" w:cs="Arial" w:eastAsia="Arial" w:hAnsi="Arial"/>
                <w:sz w:val="16"/>
                <w:szCs w:val="16"/>
                <w:color w:val="auto"/>
              </w:rPr>
              <w:t>DC ERP</w:t>
            </w:r>
          </w:p>
        </w:tc>
        <w:tc>
          <w:tcPr>
            <w:tcW w:w="1160" w:type="dxa"/>
            <w:vAlign w:val="bottom"/>
            <w:tcBorders>
              <w:bottom w:val="single" w:sz="8" w:color="0956FF"/>
            </w:tcBorders>
          </w:tcPr>
          <w:p>
            <w:pPr>
              <w:ind w:left="9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956FF"/>
            </w:tcBorders>
          </w:tcPr>
          <w:p>
            <w:pPr>
              <w:jc w:val="right"/>
              <w:ind w:right="84"/>
              <w:spacing w:after="0"/>
              <w:rPr>
                <w:sz w:val="20"/>
                <w:szCs w:val="20"/>
                <w:color w:val="auto"/>
              </w:rPr>
            </w:pPr>
            <w:r>
              <w:rPr>
                <w:rFonts w:ascii="Arial" w:cs="Arial" w:eastAsia="Arial" w:hAnsi="Arial"/>
                <w:sz w:val="16"/>
                <w:szCs w:val="16"/>
                <w:color w:val="auto"/>
              </w:rPr>
              <w:t>131,224</w:t>
            </w:r>
          </w:p>
        </w:tc>
        <w:tc>
          <w:tcPr>
            <w:tcW w:w="1140" w:type="dxa"/>
            <w:vAlign w:val="bottom"/>
            <w:tcBorders>
              <w:bottom w:val="single" w:sz="8" w:color="0956FF"/>
            </w:tcBorders>
          </w:tcPr>
          <w:p>
            <w:pPr>
              <w:jc w:val="right"/>
              <w:ind w:right="124"/>
              <w:spacing w:after="0"/>
              <w:rPr>
                <w:sz w:val="20"/>
                <w:szCs w:val="20"/>
                <w:color w:val="auto"/>
              </w:rPr>
            </w:pPr>
            <w:r>
              <w:rPr>
                <w:rFonts w:ascii="Arial" w:cs="Arial" w:eastAsia="Arial" w:hAnsi="Arial"/>
                <w:sz w:val="16"/>
                <w:szCs w:val="16"/>
                <w:color w:val="auto"/>
              </w:rPr>
              <w:t>75,820</w:t>
            </w:r>
          </w:p>
        </w:tc>
        <w:tc>
          <w:tcPr>
            <w:tcW w:w="1140" w:type="dxa"/>
            <w:vAlign w:val="bottom"/>
            <w:tcBorders>
              <w:bottom w:val="single" w:sz="8" w:color="0956FF"/>
            </w:tcBorders>
          </w:tcPr>
          <w:p>
            <w:pPr>
              <w:ind w:left="8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956FF"/>
            </w:tcBorders>
          </w:tcPr>
          <w:p>
            <w:pPr>
              <w:jc w:val="center"/>
              <w:ind w:left="64"/>
              <w:spacing w:after="0"/>
              <w:rPr>
                <w:sz w:val="20"/>
                <w:szCs w:val="20"/>
                <w:color w:val="auto"/>
              </w:rPr>
            </w:pPr>
            <w:r>
              <w:rPr>
                <w:rFonts w:ascii="Arial" w:cs="Arial" w:eastAsia="Arial" w:hAnsi="Arial"/>
                <w:sz w:val="16"/>
                <w:szCs w:val="16"/>
                <w:color w:val="auto"/>
              </w:rPr>
              <w:t>597,544</w:t>
            </w:r>
          </w:p>
        </w:tc>
      </w:tr>
    </w:tbl>
    <w:p>
      <w:pPr>
        <w:spacing w:after="0" w:line="71" w:lineRule="exact"/>
        <w:rPr>
          <w:sz w:val="20"/>
          <w:szCs w:val="20"/>
          <w:color w:val="auto"/>
        </w:rPr>
      </w:pPr>
    </w:p>
    <w:p>
      <w:pPr>
        <w:ind w:left="200" w:hanging="192"/>
        <w:spacing w:after="0"/>
        <w:tabs>
          <w:tab w:leader="none" w:pos="200"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The amounts shown are included in All Other Compensation in the Summary Compensation Table.</w:t>
      </w:r>
    </w:p>
    <w:p>
      <w:pPr>
        <w:spacing w:after="0" w:line="52" w:lineRule="exact"/>
        <w:rPr>
          <w:rFonts w:ascii="Arial" w:cs="Arial" w:eastAsia="Arial" w:hAnsi="Arial"/>
          <w:sz w:val="19"/>
          <w:szCs w:val="19"/>
          <w:color w:val="auto"/>
          <w:vertAlign w:val="superscript"/>
        </w:rPr>
      </w:pPr>
    </w:p>
    <w:p>
      <w:pPr>
        <w:ind w:left="200" w:right="520" w:hanging="192"/>
        <w:spacing w:after="0" w:line="239" w:lineRule="auto"/>
        <w:tabs>
          <w:tab w:leader="none" w:pos="200"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The amounts shown are not reported in Change in Pension Value and Nonqualified Deferred Compensation Earnings in the Summary Compensation Table because we do not pay above-market earnings on deferred compensation in retirement plans.</w:t>
      </w:r>
    </w:p>
    <w:p>
      <w:pPr>
        <w:spacing w:after="0" w:line="54" w:lineRule="exact"/>
        <w:rPr>
          <w:rFonts w:ascii="Arial" w:cs="Arial" w:eastAsia="Arial" w:hAnsi="Arial"/>
          <w:sz w:val="19"/>
          <w:szCs w:val="19"/>
          <w:color w:val="auto"/>
          <w:vertAlign w:val="superscript"/>
        </w:rPr>
      </w:pPr>
    </w:p>
    <w:p>
      <w:pPr>
        <w:ind w:left="200" w:right="1420" w:hanging="192"/>
        <w:spacing w:after="0" w:line="239" w:lineRule="auto"/>
        <w:tabs>
          <w:tab w:leader="none" w:pos="200"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The following amounts have been included in the Summary Compensation Table in prior years: $4,886,304 (Ms. Barra), $511,354 (Mr. Jacobson), $2,317,301 (Mr. Reuss), and $113,328 (Mr. Harvey).</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69</w:t>
      </w:r>
    </w:p>
    <w:p>
      <w:pPr>
        <w:sectPr>
          <w:pgSz w:w="11900" w:h="16838" w:orient="portrait"/>
          <w:cols w:equalWidth="0" w:num="1">
            <w:col w:w="9220"/>
          </w:cols>
          <w:pgMar w:left="1400" w:top="657" w:right="127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Potential Payments Upon Termination</w:t>
      </w:r>
    </w:p>
    <w:p>
      <w:pPr>
        <w:spacing w:after="0" w:line="132" w:lineRule="exact"/>
        <w:rPr>
          <w:sz w:val="20"/>
          <w:szCs w:val="20"/>
          <w:color w:val="auto"/>
        </w:rPr>
      </w:pPr>
    </w:p>
    <w:p>
      <w:pPr>
        <w:ind w:right="219"/>
        <w:spacing w:after="0" w:line="289" w:lineRule="auto"/>
        <w:rPr>
          <w:sz w:val="20"/>
          <w:szCs w:val="20"/>
          <w:color w:val="auto"/>
        </w:rPr>
      </w:pPr>
      <w:r>
        <w:rPr>
          <w:rFonts w:ascii="Arial" w:cs="Arial" w:eastAsia="Arial" w:hAnsi="Arial"/>
          <w:sz w:val="16"/>
          <w:szCs w:val="16"/>
          <w:color w:val="auto"/>
        </w:rPr>
        <w:t>The Company does not maintain individual employment agreements with any NEO that provide guaranteed payments in the event of a termination of employment or change in control. In the event that an NEO’s position with the Company is eliminated, including the elimination of the NEO’s position as a result of a change in control, the NEO would be eligible for a severance payment under the Executive Severance Program.</w:t>
      </w:r>
    </w:p>
    <w:p>
      <w:pPr>
        <w:spacing w:after="0" w:line="113" w:lineRule="exact"/>
        <w:rPr>
          <w:sz w:val="20"/>
          <w:szCs w:val="20"/>
          <w:color w:val="auto"/>
        </w:rPr>
      </w:pPr>
    </w:p>
    <w:p>
      <w:pPr>
        <w:ind w:right="59"/>
        <w:spacing w:after="0" w:line="281" w:lineRule="auto"/>
        <w:rPr>
          <w:sz w:val="20"/>
          <w:szCs w:val="20"/>
          <w:color w:val="auto"/>
        </w:rPr>
      </w:pPr>
      <w:r>
        <w:rPr>
          <w:rFonts w:ascii="Arial" w:cs="Arial" w:eastAsia="Arial" w:hAnsi="Arial"/>
          <w:sz w:val="16"/>
          <w:szCs w:val="16"/>
          <w:color w:val="auto"/>
        </w:rPr>
        <w:t>The table below shows the potential payments to each NEO assuming a termination of employment on December 31, 2025, due to the following events: voluntary separation or termination for cause, qualifying termination under the Executive Severance Program, full career status retirement, disability, death, or change in control with termination of employment. Each of the separation events is described in more detail below. These provisions are generally applicable to participants in each of the respective plans and are not reserved only for NEOs. The payments below are in addition to the present value of the accumulated benefits from each NEO’s qualified and nonqualified pension plans shown in the “Pension Benefits” table on page</w:t>
      </w:r>
    </w:p>
    <w:p>
      <w:pPr>
        <w:spacing w:after="0" w:line="4" w:lineRule="exact"/>
        <w:rPr>
          <w:sz w:val="20"/>
          <w:szCs w:val="20"/>
          <w:color w:val="auto"/>
        </w:rPr>
      </w:pPr>
    </w:p>
    <w:p>
      <w:pPr>
        <w:ind w:right="339" w:firstLine="8"/>
        <w:spacing w:after="0" w:line="466" w:lineRule="auto"/>
        <w:tabs>
          <w:tab w:leader="none" w:pos="234"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and the aggregate balance due to each NEO that is shown in the Nonqualified Deferred Compensation Plan table above. For purposes of the following table, the Company describes these terminations and potential payments:</w:t>
      </w:r>
    </w:p>
    <w:p>
      <w:pPr>
        <w:spacing w:after="0" w:line="1" w:lineRule="exact"/>
        <w:rPr>
          <w:sz w:val="20"/>
          <w:szCs w:val="20"/>
          <w:color w:val="auto"/>
        </w:rPr>
      </w:pPr>
    </w:p>
    <w:p>
      <w:pPr>
        <w:ind w:right="119"/>
        <w:spacing w:after="0" w:line="289" w:lineRule="auto"/>
        <w:rPr>
          <w:sz w:val="20"/>
          <w:szCs w:val="20"/>
          <w:color w:val="auto"/>
        </w:rPr>
      </w:pPr>
      <w:r>
        <w:rPr>
          <w:rFonts w:ascii="Arial" w:cs="Arial" w:eastAsia="Arial" w:hAnsi="Arial"/>
          <w:sz w:val="16"/>
          <w:szCs w:val="16"/>
          <w:b w:val="1"/>
          <w:bCs w:val="1"/>
          <w:color w:val="0956FF"/>
        </w:rPr>
        <w:t xml:space="preserve">Voluntary Separation or Termination for Cause </w:t>
      </w:r>
      <w:r>
        <w:rPr>
          <w:rFonts w:ascii="Arial" w:cs="Arial" w:eastAsia="Arial" w:hAnsi="Arial"/>
          <w:sz w:val="16"/>
          <w:szCs w:val="16"/>
          <w:color w:val="000000"/>
        </w:rPr>
        <w:t>— A voluntary separation occurs when an executive voluntarily terminates</w:t>
      </w:r>
      <w:r>
        <w:rPr>
          <w:rFonts w:ascii="Arial" w:cs="Arial" w:eastAsia="Arial" w:hAnsi="Arial"/>
          <w:sz w:val="16"/>
          <w:szCs w:val="16"/>
          <w:b w:val="1"/>
          <w:bCs w:val="1"/>
          <w:color w:val="0956FF"/>
        </w:rPr>
        <w:t xml:space="preserve"> </w:t>
      </w:r>
      <w:r>
        <w:rPr>
          <w:rFonts w:ascii="Arial" w:cs="Arial" w:eastAsia="Arial" w:hAnsi="Arial"/>
          <w:sz w:val="16"/>
          <w:szCs w:val="16"/>
          <w:color w:val="000000"/>
        </w:rPr>
        <w:t>employment with the Company. A full career status retirement receives different treatment, as discussed below. A termination for cause occurs when an executive is dismissed from employment by the Company for cause, which is considered to include, but is not limited to, the executive’s gross negligence, willful misconduct, or violation of state or federal securities laws. Under each of these scenarios, the executive generally forfeits all outstanding equity awards and is not eligible for any award or payment under the STIP.</w:t>
      </w:r>
    </w:p>
    <w:p>
      <w:pPr>
        <w:spacing w:after="0" w:line="115" w:lineRule="exact"/>
        <w:rPr>
          <w:sz w:val="20"/>
          <w:szCs w:val="20"/>
          <w:color w:val="auto"/>
        </w:rPr>
      </w:pPr>
    </w:p>
    <w:p>
      <w:pPr>
        <w:ind w:right="179"/>
        <w:spacing w:after="0" w:line="285" w:lineRule="auto"/>
        <w:rPr>
          <w:sz w:val="20"/>
          <w:szCs w:val="20"/>
          <w:color w:val="auto"/>
        </w:rPr>
      </w:pPr>
      <w:r>
        <w:rPr>
          <w:rFonts w:ascii="Arial" w:cs="Arial" w:eastAsia="Arial" w:hAnsi="Arial"/>
          <w:sz w:val="16"/>
          <w:szCs w:val="16"/>
          <w:b w:val="1"/>
          <w:bCs w:val="1"/>
          <w:color w:val="0956FF"/>
        </w:rPr>
        <w:t xml:space="preserve">Executive Severance Program </w:t>
      </w:r>
      <w:r>
        <w:rPr>
          <w:rFonts w:ascii="Arial" w:cs="Arial" w:eastAsia="Arial" w:hAnsi="Arial"/>
          <w:sz w:val="16"/>
          <w:szCs w:val="16"/>
          <w:color w:val="000000"/>
        </w:rPr>
        <w:t>— A separation occurs when an executive’s position is eliminated, or the Company and an</w:t>
      </w:r>
      <w:r>
        <w:rPr>
          <w:rFonts w:ascii="Arial" w:cs="Arial" w:eastAsia="Arial" w:hAnsi="Arial"/>
          <w:sz w:val="16"/>
          <w:szCs w:val="16"/>
          <w:b w:val="1"/>
          <w:bCs w:val="1"/>
          <w:color w:val="0956FF"/>
        </w:rPr>
        <w:t xml:space="preserve"> </w:t>
      </w:r>
      <w:r>
        <w:rPr>
          <w:rFonts w:ascii="Arial" w:cs="Arial" w:eastAsia="Arial" w:hAnsi="Arial"/>
          <w:sz w:val="16"/>
          <w:szCs w:val="16"/>
          <w:color w:val="000000"/>
        </w:rPr>
        <w:t>executive agree to mutually end the employment relationship. An executive will be eligible to receive a severance payment from the Company calculated based on his or her position and reflected as a multiple of salary, Consolidated Omnibus Budget Reconciliation Act of 1985 (“COBRA”) premiums, and a STIP award at target. An executive may receive cash payments of the value of the equity awards that are scheduled to vest within the next year after separation at the time of vesting. Unvested stock options are usually forfeited. An executive is also eligible for outplacement assistance based on position. All potential payments are contingent upon the executive entering into a mutual separation agreement.</w:t>
      </w:r>
    </w:p>
    <w:p>
      <w:pPr>
        <w:spacing w:after="0" w:line="118" w:lineRule="exact"/>
        <w:rPr>
          <w:sz w:val="20"/>
          <w:szCs w:val="20"/>
          <w:color w:val="auto"/>
        </w:rPr>
      </w:pPr>
    </w:p>
    <w:p>
      <w:pPr>
        <w:ind w:right="119"/>
        <w:spacing w:after="0" w:line="295" w:lineRule="auto"/>
        <w:rPr>
          <w:sz w:val="20"/>
          <w:szCs w:val="20"/>
          <w:color w:val="auto"/>
        </w:rPr>
      </w:pPr>
      <w:r>
        <w:rPr>
          <w:rFonts w:ascii="Arial" w:cs="Arial" w:eastAsia="Arial" w:hAnsi="Arial"/>
          <w:sz w:val="16"/>
          <w:szCs w:val="16"/>
          <w:b w:val="1"/>
          <w:bCs w:val="1"/>
          <w:color w:val="0956FF"/>
        </w:rPr>
        <w:t xml:space="preserve">Full Career Status Retirement </w:t>
      </w:r>
      <w:r>
        <w:rPr>
          <w:rFonts w:ascii="Arial" w:cs="Arial" w:eastAsia="Arial" w:hAnsi="Arial"/>
          <w:sz w:val="16"/>
          <w:szCs w:val="16"/>
          <w:color w:val="000000"/>
        </w:rPr>
        <w:t>— A full career status retirement occurs when an executive reaches the age of 55 with 10 or</w:t>
      </w:r>
      <w:r>
        <w:rPr>
          <w:rFonts w:ascii="Arial" w:cs="Arial" w:eastAsia="Arial" w:hAnsi="Arial"/>
          <w:sz w:val="16"/>
          <w:szCs w:val="16"/>
          <w:b w:val="1"/>
          <w:bCs w:val="1"/>
          <w:color w:val="0956FF"/>
        </w:rPr>
        <w:t xml:space="preserve"> </w:t>
      </w:r>
      <w:r>
        <w:rPr>
          <w:rFonts w:ascii="Arial" w:cs="Arial" w:eastAsia="Arial" w:hAnsi="Arial"/>
          <w:sz w:val="16"/>
          <w:szCs w:val="16"/>
          <w:color w:val="000000"/>
        </w:rPr>
        <w:t>more years of continuous service with the Company, or reaches the age of 62 or older, at which time the executive voluntarily separates from the Company. An executive who enters into a separation or severance agreement cannot also elect full career status retirement.</w:t>
      </w:r>
    </w:p>
    <w:p>
      <w:pPr>
        <w:spacing w:after="0" w:line="94" w:lineRule="exact"/>
        <w:rPr>
          <w:sz w:val="20"/>
          <w:szCs w:val="20"/>
          <w:color w:val="auto"/>
        </w:rPr>
      </w:pPr>
    </w:p>
    <w:p>
      <w:pPr>
        <w:ind w:right="119"/>
        <w:spacing w:after="0" w:line="286" w:lineRule="auto"/>
        <w:rPr>
          <w:sz w:val="20"/>
          <w:szCs w:val="20"/>
          <w:color w:val="auto"/>
        </w:rPr>
      </w:pPr>
      <w:r>
        <w:rPr>
          <w:rFonts w:ascii="Arial" w:cs="Arial" w:eastAsia="Arial" w:hAnsi="Arial"/>
          <w:sz w:val="16"/>
          <w:szCs w:val="16"/>
          <w:color w:val="auto"/>
        </w:rPr>
        <w:t>In the event of a full career status retirement, the executive is generally eligible for a prorated STIP award based on his or her retirement date in the performance year and once final performance has been determined. RSUs granted in the year of the retirement date are prorated based on the retirement date and continue to vest in accordance with the vesting schedule. RSUs granted prior to the year of the retirement date will continue to vest in accordance with the vesting schedule. PSUs granted in the year of the retirement date are prorated based on the retirement date, and will be adjusted for final Company performance and be settled following approval of such performance. PSUs granted prior to the year of the retirement date will remain outstanding until the end of the performance period, at which time they will be adjusted for final Company performance and be settled following approval of such performance. Stock options granted in the year of the retirement date are prorated based on the retirement date, and continue to vest in accordance with the vesting schedule. Stock options granted prior to the year of the retirement date will continue to vest in accordance with the vesting schedule.</w:t>
      </w:r>
    </w:p>
    <w:p>
      <w:pPr>
        <w:spacing w:after="0" w:line="116" w:lineRule="exact"/>
        <w:rPr>
          <w:sz w:val="20"/>
          <w:szCs w:val="20"/>
          <w:color w:val="auto"/>
        </w:rPr>
      </w:pPr>
    </w:p>
    <w:p>
      <w:pPr>
        <w:ind w:right="119"/>
        <w:spacing w:after="0" w:line="281" w:lineRule="auto"/>
        <w:rPr>
          <w:sz w:val="20"/>
          <w:szCs w:val="20"/>
          <w:color w:val="auto"/>
        </w:rPr>
      </w:pPr>
      <w:r>
        <w:rPr>
          <w:rFonts w:ascii="Arial" w:cs="Arial" w:eastAsia="Arial" w:hAnsi="Arial"/>
          <w:sz w:val="16"/>
          <w:szCs w:val="16"/>
          <w:b w:val="1"/>
          <w:bCs w:val="1"/>
          <w:color w:val="0956FF"/>
        </w:rPr>
        <w:t xml:space="preserve">Disability </w:t>
      </w:r>
      <w:r>
        <w:rPr>
          <w:rFonts w:ascii="Arial" w:cs="Arial" w:eastAsia="Arial" w:hAnsi="Arial"/>
          <w:sz w:val="16"/>
          <w:szCs w:val="16"/>
          <w:color w:val="000000"/>
        </w:rPr>
        <w:t>— Disability occurs when an executive terminates employment by reason of his or her inability to engage in any</w:t>
      </w:r>
      <w:r>
        <w:rPr>
          <w:rFonts w:ascii="Arial" w:cs="Arial" w:eastAsia="Arial" w:hAnsi="Arial"/>
          <w:sz w:val="16"/>
          <w:szCs w:val="16"/>
          <w:b w:val="1"/>
          <w:bCs w:val="1"/>
          <w:color w:val="0956FF"/>
        </w:rPr>
        <w:t xml:space="preserve"> </w:t>
      </w:r>
      <w:r>
        <w:rPr>
          <w:rFonts w:ascii="Arial" w:cs="Arial" w:eastAsia="Arial" w:hAnsi="Arial"/>
          <w:sz w:val="16"/>
          <w:szCs w:val="16"/>
          <w:color w:val="000000"/>
        </w:rPr>
        <w:t>gainful activity due to a medically determinable physical or mental impairment that can be expected to result in death or can be expected to last for a continuous period of not less than 12 months. The executive is eligible for a full-year STIP award related to the year in which termination occurs once final Company performance has been determined. RSUs will continue to vest in accordance with the vesting schedule. PSUs will remain outstanding until the end of the performance period, at which time they will be adjusted for final Company performance and be settled following approval of such performance.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will continue to vest in accordance with the vesting schedule.</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70</w:t>
      </w:r>
    </w:p>
    <w:p>
      <w:pPr>
        <w:sectPr>
          <w:pgSz w:w="11900" w:h="16838" w:orient="portrait"/>
          <w:cols w:equalWidth="0" w:num="1">
            <w:col w:w="9059"/>
          </w:cols>
          <w:pgMar w:left="1400" w:top="657" w:right="1440"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jc w:val="both"/>
        <w:ind w:right="360"/>
        <w:spacing w:after="0" w:line="295" w:lineRule="auto"/>
        <w:rPr>
          <w:sz w:val="20"/>
          <w:szCs w:val="20"/>
          <w:color w:val="auto"/>
        </w:rPr>
      </w:pPr>
      <w:r>
        <w:rPr>
          <w:rFonts w:ascii="Arial" w:cs="Arial" w:eastAsia="Arial" w:hAnsi="Arial"/>
          <w:sz w:val="16"/>
          <w:szCs w:val="16"/>
          <w:b w:val="1"/>
          <w:bCs w:val="1"/>
          <w:color w:val="0956FF"/>
        </w:rPr>
        <w:t xml:space="preserve">Death </w:t>
      </w:r>
      <w:r>
        <w:rPr>
          <w:rFonts w:ascii="Arial" w:cs="Arial" w:eastAsia="Arial" w:hAnsi="Arial"/>
          <w:sz w:val="16"/>
          <w:szCs w:val="16"/>
          <w:color w:val="000000"/>
        </w:rPr>
        <w:t>— Following the death of an executive, the beneficiary of the executive is eligible to receive the full-year STIP award</w:t>
      </w:r>
      <w:r>
        <w:rPr>
          <w:rFonts w:ascii="Arial" w:cs="Arial" w:eastAsia="Arial" w:hAnsi="Arial"/>
          <w:sz w:val="16"/>
          <w:szCs w:val="16"/>
          <w:b w:val="1"/>
          <w:bCs w:val="1"/>
          <w:color w:val="0956FF"/>
        </w:rPr>
        <w:t xml:space="preserve"> </w:t>
      </w:r>
      <w:r>
        <w:rPr>
          <w:rFonts w:ascii="Arial" w:cs="Arial" w:eastAsia="Arial" w:hAnsi="Arial"/>
          <w:sz w:val="16"/>
          <w:szCs w:val="16"/>
          <w:color w:val="000000"/>
        </w:rPr>
        <w:t>subject to adjustment for final Company performance. RSUs immediately vest in full and are settled within 90 days of death. PSUs will remain outstanding until the end of the performance period, at which time they will be adjusted for final Company performance and be settled following approval of such performance. Stock options immediately vest upon death.</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0956FF"/>
        </w:rPr>
        <w:t xml:space="preserve">Change in Control (Double Trigger) </w:t>
      </w:r>
      <w:r>
        <w:rPr>
          <w:rFonts w:ascii="Arial" w:cs="Arial" w:eastAsia="Arial" w:hAnsi="Arial"/>
          <w:sz w:val="16"/>
          <w:szCs w:val="16"/>
          <w:color w:val="000000"/>
        </w:rPr>
        <w:t>— In the event of a termination of employment resulting from a change in control,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executive will be eligible for severance under the Executive Severance Program that provides a severance payment based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on position and a multiple of salary and COBRA premiums. An executive will also receive a STIP award at target and the STIP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for the prior year if such award has been determined but not paid. If the STIP award for the prior year has not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the award shall be determined at target and paid. All RSU awards will generally vest and become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immediately prior to the change in control. For PSUs, the performance period will end immediately prior to the change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 and awards will be determined based on actual performance and converted to a time-based award.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immediately vest, are exercisable upon termination as a result of a change in control, and remain exercisable until the earlier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expiration of its full specified term or the first anniversary date of such termination.</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020"/>
        <w:spacing w:after="0"/>
        <w:tabs>
          <w:tab w:leader="none" w:pos="888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71</w:t>
      </w:r>
    </w:p>
    <w:p>
      <w:pPr>
        <w:sectPr>
          <w:pgSz w:w="11900" w:h="16838" w:orient="portrait"/>
          <w:cols w:equalWidth="0" w:num="1">
            <w:col w:w="9220"/>
          </w:cols>
          <w:pgMar w:left="1400" w:top="657" w:right="127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77" w:lineRule="exact"/>
        <w:rPr>
          <w:sz w:val="20"/>
          <w:szCs w:val="20"/>
          <w:color w:val="auto"/>
        </w:rPr>
      </w:pPr>
    </w:p>
    <w:p>
      <w:pPr>
        <w:ind w:right="1120"/>
        <w:spacing w:after="0" w:line="321" w:lineRule="auto"/>
        <w:rPr>
          <w:sz w:val="20"/>
          <w:szCs w:val="20"/>
          <w:color w:val="auto"/>
        </w:rPr>
      </w:pPr>
      <w:r>
        <w:rPr>
          <w:rFonts w:ascii="Arial" w:cs="Arial" w:eastAsia="Arial" w:hAnsi="Arial"/>
          <w:sz w:val="16"/>
          <w:szCs w:val="16"/>
          <w:color w:val="auto"/>
        </w:rPr>
        <w:t>Amounts shown below are calculated by assuming that the relevant employment termination event occurred on December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shd w:val="clear" w:color="auto" w:fill="ECEBEB"/>
          </w:tcPr>
          <w:p>
            <w:pPr>
              <w:spacing w:after="0"/>
              <w:rPr>
                <w:sz w:val="20"/>
                <w:szCs w:val="20"/>
                <w:color w:val="auto"/>
              </w:rPr>
            </w:pPr>
          </w:p>
        </w:tc>
        <w:tc>
          <w:tcPr>
            <w:tcW w:w="1100" w:type="dxa"/>
            <w:vAlign w:val="bottom"/>
            <w:shd w:val="clear" w:color="auto" w:fill="ECEBEB"/>
          </w:tcPr>
          <w:p>
            <w:pPr>
              <w:spacing w:after="0"/>
              <w:rPr>
                <w:sz w:val="20"/>
                <w:szCs w:val="20"/>
                <w:color w:val="auto"/>
              </w:rPr>
            </w:pPr>
          </w:p>
        </w:tc>
        <w:tc>
          <w:tcPr>
            <w:tcW w:w="1060" w:type="dxa"/>
            <w:vAlign w:val="bottom"/>
            <w:shd w:val="clear" w:color="auto" w:fill="ECEBEB"/>
          </w:tcPr>
          <w:p>
            <w:pPr>
              <w:jc w:val="right"/>
              <w:ind w:right="41"/>
              <w:spacing w:after="0"/>
              <w:rPr>
                <w:sz w:val="20"/>
                <w:szCs w:val="20"/>
                <w:color w:val="auto"/>
              </w:rPr>
            </w:pPr>
            <w:r>
              <w:rPr>
                <w:rFonts w:ascii="Arial" w:cs="Arial" w:eastAsia="Arial" w:hAnsi="Arial"/>
                <w:sz w:val="14"/>
                <w:szCs w:val="14"/>
                <w:b w:val="1"/>
                <w:bCs w:val="1"/>
                <w:color w:val="auto"/>
              </w:rPr>
              <w:t>Voluntary</w:t>
            </w:r>
          </w:p>
        </w:tc>
        <w:tc>
          <w:tcPr>
            <w:tcW w:w="1040" w:type="dxa"/>
            <w:vAlign w:val="bottom"/>
            <w:shd w:val="clear" w:color="auto" w:fill="ECEBEB"/>
          </w:tcPr>
          <w:p>
            <w:pPr>
              <w:spacing w:after="0"/>
              <w:rPr>
                <w:sz w:val="20"/>
                <w:szCs w:val="20"/>
                <w:color w:val="auto"/>
              </w:rPr>
            </w:pPr>
          </w:p>
        </w:tc>
        <w:tc>
          <w:tcPr>
            <w:tcW w:w="1120" w:type="dxa"/>
            <w:vAlign w:val="bottom"/>
            <w:shd w:val="clear" w:color="auto" w:fill="ECEBEB"/>
          </w:tcPr>
          <w:p>
            <w:pPr>
              <w:spacing w:after="0"/>
              <w:rPr>
                <w:sz w:val="20"/>
                <w:szCs w:val="20"/>
                <w:color w:val="auto"/>
              </w:rPr>
            </w:pPr>
          </w:p>
        </w:tc>
        <w:tc>
          <w:tcPr>
            <w:tcW w:w="1100" w:type="dxa"/>
            <w:vAlign w:val="bottom"/>
            <w:shd w:val="clear" w:color="auto" w:fill="ECEBEB"/>
          </w:tcPr>
          <w:p>
            <w:pPr>
              <w:spacing w:after="0"/>
              <w:rPr>
                <w:sz w:val="20"/>
                <w:szCs w:val="20"/>
                <w:color w:val="auto"/>
              </w:rPr>
            </w:pPr>
          </w:p>
        </w:tc>
        <w:tc>
          <w:tcPr>
            <w:tcW w:w="1120" w:type="dxa"/>
            <w:vAlign w:val="bottom"/>
            <w:shd w:val="clear" w:color="auto" w:fill="ECEBEB"/>
          </w:tcPr>
          <w:p>
            <w:pPr>
              <w:spacing w:after="0"/>
              <w:rPr>
                <w:sz w:val="20"/>
                <w:szCs w:val="20"/>
                <w:color w:val="auto"/>
              </w:rPr>
            </w:pPr>
          </w:p>
        </w:tc>
        <w:tc>
          <w:tcPr>
            <w:tcW w:w="1040" w:type="dxa"/>
            <w:vAlign w:val="bottom"/>
            <w:shd w:val="clear" w:color="auto" w:fill="ECEBEB"/>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ECEBEB"/>
          </w:tcPr>
          <w:p>
            <w:pPr>
              <w:spacing w:after="0"/>
              <w:rPr>
                <w:sz w:val="15"/>
                <w:szCs w:val="15"/>
                <w:color w:val="auto"/>
              </w:rPr>
            </w:pPr>
          </w:p>
        </w:tc>
        <w:tc>
          <w:tcPr>
            <w:tcW w:w="1100" w:type="dxa"/>
            <w:vAlign w:val="bottom"/>
            <w:shd w:val="clear" w:color="auto" w:fill="ECEBEB"/>
          </w:tcPr>
          <w:p>
            <w:pPr>
              <w:spacing w:after="0"/>
              <w:rPr>
                <w:sz w:val="15"/>
                <w:szCs w:val="15"/>
                <w:color w:val="auto"/>
              </w:rPr>
            </w:pPr>
          </w:p>
        </w:tc>
        <w:tc>
          <w:tcPr>
            <w:tcW w:w="1060" w:type="dxa"/>
            <w:vAlign w:val="bottom"/>
            <w:shd w:val="clear" w:color="auto" w:fill="ECEBEB"/>
          </w:tcPr>
          <w:p>
            <w:pPr>
              <w:ind w:left="40"/>
              <w:spacing w:after="0"/>
              <w:rPr>
                <w:sz w:val="20"/>
                <w:szCs w:val="20"/>
                <w:color w:val="auto"/>
              </w:rPr>
            </w:pPr>
            <w:r>
              <w:rPr>
                <w:rFonts w:ascii="Arial" w:cs="Arial" w:eastAsia="Arial" w:hAnsi="Arial"/>
                <w:sz w:val="14"/>
                <w:szCs w:val="14"/>
                <w:b w:val="1"/>
                <w:bCs w:val="1"/>
                <w:color w:val="auto"/>
              </w:rPr>
              <w:t>Separation or</w:t>
            </w:r>
          </w:p>
        </w:tc>
        <w:tc>
          <w:tcPr>
            <w:tcW w:w="1040" w:type="dxa"/>
            <w:vAlign w:val="bottom"/>
            <w:shd w:val="clear" w:color="auto" w:fill="ECEBEB"/>
          </w:tcPr>
          <w:p>
            <w:pPr>
              <w:jc w:val="right"/>
              <w:ind w:right="21"/>
              <w:spacing w:after="0"/>
              <w:rPr>
                <w:sz w:val="20"/>
                <w:szCs w:val="20"/>
                <w:color w:val="auto"/>
              </w:rPr>
            </w:pPr>
            <w:r>
              <w:rPr>
                <w:rFonts w:ascii="Arial" w:cs="Arial" w:eastAsia="Arial" w:hAnsi="Arial"/>
                <w:sz w:val="14"/>
                <w:szCs w:val="14"/>
                <w:b w:val="1"/>
                <w:bCs w:val="1"/>
                <w:color w:val="auto"/>
              </w:rPr>
              <w:t>Executive</w:t>
            </w:r>
          </w:p>
        </w:tc>
        <w:tc>
          <w:tcPr>
            <w:tcW w:w="1120" w:type="dxa"/>
            <w:vAlign w:val="bottom"/>
            <w:shd w:val="clear" w:color="auto" w:fill="ECEBEB"/>
          </w:tcPr>
          <w:p>
            <w:pPr>
              <w:spacing w:after="0"/>
              <w:rPr>
                <w:sz w:val="15"/>
                <w:szCs w:val="15"/>
                <w:color w:val="auto"/>
              </w:rPr>
            </w:pPr>
          </w:p>
        </w:tc>
        <w:tc>
          <w:tcPr>
            <w:tcW w:w="1100" w:type="dxa"/>
            <w:vAlign w:val="bottom"/>
            <w:shd w:val="clear" w:color="auto" w:fill="ECEBEB"/>
          </w:tcPr>
          <w:p>
            <w:pPr>
              <w:spacing w:after="0"/>
              <w:rPr>
                <w:sz w:val="15"/>
                <w:szCs w:val="15"/>
                <w:color w:val="auto"/>
              </w:rPr>
            </w:pPr>
          </w:p>
        </w:tc>
        <w:tc>
          <w:tcPr>
            <w:tcW w:w="1120" w:type="dxa"/>
            <w:vAlign w:val="bottom"/>
            <w:shd w:val="clear" w:color="auto" w:fill="ECEBEB"/>
          </w:tcPr>
          <w:p>
            <w:pPr>
              <w:spacing w:after="0"/>
              <w:rPr>
                <w:sz w:val="15"/>
                <w:szCs w:val="15"/>
                <w:color w:val="auto"/>
              </w:rPr>
            </w:pPr>
          </w:p>
        </w:tc>
        <w:tc>
          <w:tcPr>
            <w:tcW w:w="10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62"/>
        </w:trPr>
        <w:tc>
          <w:tcPr>
            <w:tcW w:w="1500" w:type="dxa"/>
            <w:vAlign w:val="bottom"/>
            <w:shd w:val="clear" w:color="auto" w:fill="ECEBEB"/>
          </w:tcPr>
          <w:p>
            <w:pPr>
              <w:spacing w:after="0"/>
              <w:rPr>
                <w:sz w:val="14"/>
                <w:szCs w:val="14"/>
                <w:color w:val="auto"/>
              </w:rPr>
            </w:pPr>
          </w:p>
        </w:tc>
        <w:tc>
          <w:tcPr>
            <w:tcW w:w="1100" w:type="dxa"/>
            <w:vAlign w:val="bottom"/>
            <w:shd w:val="clear" w:color="auto" w:fill="ECEBEB"/>
          </w:tcPr>
          <w:p>
            <w:pPr>
              <w:spacing w:after="0"/>
              <w:rPr>
                <w:sz w:val="14"/>
                <w:szCs w:val="14"/>
                <w:color w:val="auto"/>
              </w:rPr>
            </w:pPr>
          </w:p>
        </w:tc>
        <w:tc>
          <w:tcPr>
            <w:tcW w:w="1060" w:type="dxa"/>
            <w:vAlign w:val="bottom"/>
            <w:shd w:val="clear" w:color="auto" w:fill="ECEBEB"/>
          </w:tcPr>
          <w:p>
            <w:pPr>
              <w:jc w:val="right"/>
              <w:ind w:right="41"/>
              <w:spacing w:after="0"/>
              <w:rPr>
                <w:sz w:val="20"/>
                <w:szCs w:val="20"/>
                <w:color w:val="auto"/>
              </w:rPr>
            </w:pPr>
            <w:r>
              <w:rPr>
                <w:rFonts w:ascii="Arial" w:cs="Arial" w:eastAsia="Arial" w:hAnsi="Arial"/>
                <w:sz w:val="14"/>
                <w:szCs w:val="14"/>
                <w:b w:val="1"/>
                <w:bCs w:val="1"/>
                <w:color w:val="auto"/>
              </w:rPr>
              <w:t>Termination</w:t>
            </w:r>
          </w:p>
        </w:tc>
        <w:tc>
          <w:tcPr>
            <w:tcW w:w="1040" w:type="dxa"/>
            <w:vAlign w:val="bottom"/>
            <w:shd w:val="clear" w:color="auto" w:fill="ECEBEB"/>
          </w:tcPr>
          <w:p>
            <w:pPr>
              <w:jc w:val="right"/>
              <w:ind w:right="21"/>
              <w:spacing w:after="0"/>
              <w:rPr>
                <w:sz w:val="20"/>
                <w:szCs w:val="20"/>
                <w:color w:val="auto"/>
              </w:rPr>
            </w:pPr>
            <w:r>
              <w:rPr>
                <w:rFonts w:ascii="Arial" w:cs="Arial" w:eastAsia="Arial" w:hAnsi="Arial"/>
                <w:sz w:val="14"/>
                <w:szCs w:val="14"/>
                <w:b w:val="1"/>
                <w:bCs w:val="1"/>
                <w:color w:val="auto"/>
              </w:rPr>
              <w:t>Severance</w:t>
            </w:r>
          </w:p>
        </w:tc>
        <w:tc>
          <w:tcPr>
            <w:tcW w:w="1120" w:type="dxa"/>
            <w:vAlign w:val="bottom"/>
            <w:vMerge w:val="restart"/>
            <w:shd w:val="clear" w:color="auto" w:fill="ECEBEB"/>
          </w:tcPr>
          <w:p>
            <w:pPr>
              <w:jc w:val="right"/>
              <w:ind w:right="20"/>
              <w:spacing w:after="0"/>
              <w:rPr>
                <w:sz w:val="20"/>
                <w:szCs w:val="20"/>
                <w:color w:val="auto"/>
              </w:rPr>
            </w:pPr>
            <w:r>
              <w:rPr>
                <w:rFonts w:ascii="Arial" w:cs="Arial" w:eastAsia="Arial" w:hAnsi="Arial"/>
                <w:sz w:val="14"/>
                <w:szCs w:val="14"/>
                <w:b w:val="1"/>
                <w:bCs w:val="1"/>
                <w:color w:val="auto"/>
              </w:rPr>
              <w:t xml:space="preserve">Retirement </w:t>
            </w:r>
            <w:r>
              <w:rPr>
                <w:rFonts w:ascii="Arial" w:cs="Arial" w:eastAsia="Arial" w:hAnsi="Arial"/>
                <w:sz w:val="18"/>
                <w:szCs w:val="18"/>
                <w:b w:val="1"/>
                <w:bCs w:val="1"/>
                <w:color w:val="auto"/>
                <w:vertAlign w:val="superscript"/>
              </w:rPr>
              <w:t>(4)</w:t>
            </w:r>
          </w:p>
        </w:tc>
        <w:tc>
          <w:tcPr>
            <w:tcW w:w="1100" w:type="dxa"/>
            <w:vAlign w:val="bottom"/>
            <w:shd w:val="clear" w:color="auto" w:fill="ECEBEB"/>
          </w:tcPr>
          <w:p>
            <w:pPr>
              <w:spacing w:after="0"/>
              <w:rPr>
                <w:sz w:val="14"/>
                <w:szCs w:val="14"/>
                <w:color w:val="auto"/>
              </w:rPr>
            </w:pPr>
          </w:p>
        </w:tc>
        <w:tc>
          <w:tcPr>
            <w:tcW w:w="1120" w:type="dxa"/>
            <w:vAlign w:val="bottom"/>
            <w:shd w:val="clear" w:color="auto" w:fill="ECEBEB"/>
          </w:tcPr>
          <w:p>
            <w:pPr>
              <w:spacing w:after="0"/>
              <w:rPr>
                <w:sz w:val="14"/>
                <w:szCs w:val="14"/>
                <w:color w:val="auto"/>
              </w:rPr>
            </w:pPr>
          </w:p>
        </w:tc>
        <w:tc>
          <w:tcPr>
            <w:tcW w:w="1040" w:type="dxa"/>
            <w:vAlign w:val="bottom"/>
            <w:shd w:val="clear" w:color="auto" w:fill="ECEBEB"/>
          </w:tcPr>
          <w:p>
            <w:pPr>
              <w:ind w:left="160"/>
              <w:spacing w:after="0"/>
              <w:rPr>
                <w:sz w:val="20"/>
                <w:szCs w:val="20"/>
                <w:color w:val="auto"/>
              </w:rPr>
            </w:pPr>
            <w:r>
              <w:rPr>
                <w:rFonts w:ascii="Arial" w:cs="Arial" w:eastAsia="Arial" w:hAnsi="Arial"/>
                <w:sz w:val="14"/>
                <w:szCs w:val="14"/>
                <w:b w:val="1"/>
                <w:bCs w:val="1"/>
                <w:color w:val="auto"/>
              </w:rPr>
              <w:t>Control with</w:t>
            </w:r>
          </w:p>
        </w:tc>
        <w:tc>
          <w:tcPr>
            <w:tcW w:w="0" w:type="dxa"/>
            <w:vAlign w:val="bottom"/>
          </w:tcPr>
          <w:p>
            <w:pPr>
              <w:spacing w:after="0"/>
              <w:rPr>
                <w:sz w:val="1"/>
                <w:szCs w:val="1"/>
                <w:color w:val="auto"/>
              </w:rPr>
            </w:pPr>
          </w:p>
        </w:tc>
      </w:tr>
      <w:tr>
        <w:trPr>
          <w:trHeight w:val="160"/>
        </w:trPr>
        <w:tc>
          <w:tcPr>
            <w:tcW w:w="1500" w:type="dxa"/>
            <w:vAlign w:val="bottom"/>
            <w:shd w:val="clear" w:color="auto" w:fill="ECEBEB"/>
          </w:tcPr>
          <w:p>
            <w:pPr>
              <w:spacing w:after="0"/>
              <w:rPr>
                <w:sz w:val="13"/>
                <w:szCs w:val="13"/>
                <w:color w:val="auto"/>
              </w:rPr>
            </w:pPr>
          </w:p>
        </w:tc>
        <w:tc>
          <w:tcPr>
            <w:tcW w:w="1100" w:type="dxa"/>
            <w:vAlign w:val="bottom"/>
            <w:shd w:val="clear" w:color="auto" w:fill="ECEBEB"/>
          </w:tcPr>
          <w:p>
            <w:pPr>
              <w:ind w:left="60"/>
              <w:spacing w:after="0" w:line="159" w:lineRule="exact"/>
              <w:rPr>
                <w:sz w:val="20"/>
                <w:szCs w:val="20"/>
                <w:color w:val="auto"/>
              </w:rPr>
            </w:pPr>
            <w:r>
              <w:rPr>
                <w:rFonts w:ascii="Arial" w:cs="Arial" w:eastAsia="Arial" w:hAnsi="Arial"/>
                <w:sz w:val="14"/>
                <w:szCs w:val="14"/>
                <w:b w:val="1"/>
                <w:bCs w:val="1"/>
                <w:color w:val="auto"/>
              </w:rPr>
              <w:t>Compensation</w:t>
            </w:r>
          </w:p>
        </w:tc>
        <w:tc>
          <w:tcPr>
            <w:tcW w:w="1060" w:type="dxa"/>
            <w:vAlign w:val="bottom"/>
            <w:shd w:val="clear" w:color="auto" w:fill="ECEBEB"/>
          </w:tcPr>
          <w:p>
            <w:pPr>
              <w:ind w:left="320"/>
              <w:spacing w:after="0" w:line="159" w:lineRule="exact"/>
              <w:rPr>
                <w:sz w:val="20"/>
                <w:szCs w:val="20"/>
                <w:color w:val="auto"/>
              </w:rPr>
            </w:pPr>
            <w:r>
              <w:rPr>
                <w:rFonts w:ascii="Arial" w:cs="Arial" w:eastAsia="Arial" w:hAnsi="Arial"/>
                <w:sz w:val="14"/>
                <w:szCs w:val="14"/>
                <w:b w:val="1"/>
                <w:bCs w:val="1"/>
                <w:color w:val="auto"/>
              </w:rPr>
              <w:t>for Cause</w:t>
            </w:r>
          </w:p>
        </w:tc>
        <w:tc>
          <w:tcPr>
            <w:tcW w:w="1040" w:type="dxa"/>
            <w:vAlign w:val="bottom"/>
            <w:shd w:val="clear" w:color="auto" w:fill="ECEBEB"/>
          </w:tcPr>
          <w:p>
            <w:pPr>
              <w:jc w:val="right"/>
              <w:ind w:right="21"/>
              <w:spacing w:after="0" w:line="159" w:lineRule="exact"/>
              <w:rPr>
                <w:sz w:val="20"/>
                <w:szCs w:val="20"/>
                <w:color w:val="auto"/>
              </w:rPr>
            </w:pPr>
            <w:r>
              <w:rPr>
                <w:rFonts w:ascii="Arial" w:cs="Arial" w:eastAsia="Arial" w:hAnsi="Arial"/>
                <w:sz w:val="14"/>
                <w:szCs w:val="14"/>
                <w:b w:val="1"/>
                <w:bCs w:val="1"/>
                <w:color w:val="auto"/>
              </w:rPr>
              <w:t>Program</w:t>
            </w:r>
          </w:p>
        </w:tc>
        <w:tc>
          <w:tcPr>
            <w:tcW w:w="1120" w:type="dxa"/>
            <w:vAlign w:val="bottom"/>
            <w:vMerge w:val="continue"/>
            <w:shd w:val="clear" w:color="auto" w:fill="ECEBEB"/>
          </w:tcPr>
          <w:p>
            <w:pPr>
              <w:spacing w:after="0"/>
              <w:rPr>
                <w:sz w:val="13"/>
                <w:szCs w:val="13"/>
                <w:color w:val="auto"/>
              </w:rPr>
            </w:pPr>
          </w:p>
        </w:tc>
        <w:tc>
          <w:tcPr>
            <w:tcW w:w="1100" w:type="dxa"/>
            <w:vAlign w:val="bottom"/>
            <w:shd w:val="clear" w:color="auto" w:fill="ECEBEB"/>
          </w:tcPr>
          <w:p>
            <w:pPr>
              <w:jc w:val="right"/>
              <w:ind w:right="20"/>
              <w:spacing w:after="0" w:line="159" w:lineRule="exact"/>
              <w:rPr>
                <w:sz w:val="20"/>
                <w:szCs w:val="20"/>
                <w:color w:val="auto"/>
              </w:rPr>
            </w:pPr>
            <w:r>
              <w:rPr>
                <w:rFonts w:ascii="Arial" w:cs="Arial" w:eastAsia="Arial" w:hAnsi="Arial"/>
                <w:sz w:val="14"/>
                <w:szCs w:val="14"/>
                <w:b w:val="1"/>
                <w:bCs w:val="1"/>
                <w:color w:val="auto"/>
              </w:rPr>
              <w:t>Disability</w:t>
            </w:r>
          </w:p>
        </w:tc>
        <w:tc>
          <w:tcPr>
            <w:tcW w:w="1120" w:type="dxa"/>
            <w:vAlign w:val="bottom"/>
            <w:shd w:val="clear" w:color="auto" w:fill="ECEBEB"/>
          </w:tcPr>
          <w:p>
            <w:pPr>
              <w:jc w:val="right"/>
              <w:ind w:right="20"/>
              <w:spacing w:after="0" w:line="159" w:lineRule="exact"/>
              <w:rPr>
                <w:sz w:val="20"/>
                <w:szCs w:val="20"/>
                <w:color w:val="auto"/>
              </w:rPr>
            </w:pPr>
            <w:r>
              <w:rPr>
                <w:rFonts w:ascii="Arial" w:cs="Arial" w:eastAsia="Arial" w:hAnsi="Arial"/>
                <w:sz w:val="14"/>
                <w:szCs w:val="14"/>
                <w:b w:val="1"/>
                <w:bCs w:val="1"/>
                <w:color w:val="auto"/>
              </w:rPr>
              <w:t>Death</w:t>
            </w:r>
          </w:p>
        </w:tc>
        <w:tc>
          <w:tcPr>
            <w:tcW w:w="1040" w:type="dxa"/>
            <w:vAlign w:val="bottom"/>
            <w:shd w:val="clear" w:color="auto" w:fill="ECEBEB"/>
          </w:tcPr>
          <w:p>
            <w:pPr>
              <w:ind w:left="160"/>
              <w:spacing w:after="0" w:line="159" w:lineRule="exact"/>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201"/>
        </w:trPr>
        <w:tc>
          <w:tcPr>
            <w:tcW w:w="150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Name</w:t>
            </w:r>
          </w:p>
        </w:tc>
        <w:tc>
          <w:tcPr>
            <w:tcW w:w="1100" w:type="dxa"/>
            <w:vAlign w:val="bottom"/>
            <w:tcBorders>
              <w:bottom w:val="single" w:sz="8" w:color="0956FF"/>
            </w:tcBorders>
            <w:shd w:val="clear" w:color="auto" w:fill="ECEBEB"/>
          </w:tcPr>
          <w:p>
            <w:pPr>
              <w:ind w:left="60"/>
              <w:spacing w:after="0" w:line="201" w:lineRule="exact"/>
              <w:rPr>
                <w:sz w:val="20"/>
                <w:szCs w:val="20"/>
                <w:color w:val="auto"/>
              </w:rPr>
            </w:pPr>
            <w:r>
              <w:rPr>
                <w:rFonts w:ascii="Arial" w:cs="Arial" w:eastAsia="Arial" w:hAnsi="Arial"/>
                <w:sz w:val="23"/>
                <w:szCs w:val="23"/>
                <w:b w:val="1"/>
                <w:bCs w:val="1"/>
                <w:color w:val="auto"/>
                <w:vertAlign w:val="subscript"/>
              </w:rPr>
              <w:t>Element</w:t>
            </w:r>
            <w:r>
              <w:rPr>
                <w:rFonts w:ascii="Arial" w:cs="Arial" w:eastAsia="Arial" w:hAnsi="Arial"/>
                <w:sz w:val="8"/>
                <w:szCs w:val="8"/>
                <w:b w:val="1"/>
                <w:bCs w:val="1"/>
                <w:color w:val="auto"/>
              </w:rPr>
              <w:t>(1)(2)(3)</w:t>
            </w:r>
          </w:p>
        </w:tc>
        <w:tc>
          <w:tcPr>
            <w:tcW w:w="1060" w:type="dxa"/>
            <w:vAlign w:val="bottom"/>
            <w:tcBorders>
              <w:bottom w:val="single" w:sz="8" w:color="0956FF"/>
            </w:tcBorders>
            <w:shd w:val="clear" w:color="auto" w:fill="ECEBEB"/>
          </w:tcPr>
          <w:p>
            <w:pPr>
              <w:jc w:val="right"/>
              <w:ind w:right="41"/>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956FF"/>
            </w:tcBorders>
            <w:shd w:val="clear" w:color="auto" w:fill="ECEBEB"/>
          </w:tcPr>
          <w:p>
            <w:pPr>
              <w:jc w:val="right"/>
              <w:ind w:right="41"/>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956FF"/>
            </w:tcBorders>
            <w:shd w:val="clear" w:color="auto" w:fill="ECEBEB"/>
          </w:tcPr>
          <w:p>
            <w:pPr>
              <w:jc w:val="right"/>
              <w:ind w:right="2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0956FF"/>
            </w:tcBorders>
            <w:shd w:val="clear" w:color="auto" w:fill="ECEBEB"/>
          </w:tcPr>
          <w:p>
            <w:pPr>
              <w:jc w:val="right"/>
              <w:ind w:right="4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0956FF"/>
            </w:tcBorders>
            <w:shd w:val="clear" w:color="auto" w:fill="ECEBEB"/>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6"/>
        </w:trPr>
        <w:tc>
          <w:tcPr>
            <w:tcW w:w="1500" w:type="dxa"/>
            <w:vAlign w:val="bottom"/>
          </w:tcPr>
          <w:p>
            <w:pPr>
              <w:ind w:left="60"/>
              <w:spacing w:after="0"/>
              <w:rPr>
                <w:sz w:val="20"/>
                <w:szCs w:val="20"/>
                <w:color w:val="auto"/>
              </w:rPr>
            </w:pPr>
            <w:r>
              <w:rPr>
                <w:rFonts w:ascii="Arial" w:cs="Arial" w:eastAsia="Arial" w:hAnsi="Arial"/>
                <w:sz w:val="16"/>
                <w:szCs w:val="16"/>
                <w:b w:val="1"/>
                <w:bCs w:val="1"/>
                <w:color w:val="0956FF"/>
              </w:rPr>
              <w:t>Mary T. Barra</w:t>
            </w: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Cash</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101"/>
              <w:spacing w:after="0"/>
              <w:rPr>
                <w:sz w:val="20"/>
                <w:szCs w:val="20"/>
                <w:color w:val="auto"/>
              </w:rPr>
            </w:pPr>
            <w:r>
              <w:rPr>
                <w:rFonts w:ascii="Arial" w:cs="Arial" w:eastAsia="Arial" w:hAnsi="Arial"/>
                <w:sz w:val="16"/>
                <w:szCs w:val="16"/>
                <w:color w:val="auto"/>
              </w:rPr>
              <w:t>4,250,322</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4,235,322</w:t>
            </w:r>
          </w:p>
        </w:tc>
        <w:tc>
          <w:tcPr>
            <w:tcW w:w="0" w:type="dxa"/>
            <w:vAlign w:val="bottom"/>
          </w:tcPr>
          <w:p>
            <w:pPr>
              <w:spacing w:after="0"/>
              <w:rPr>
                <w:sz w:val="1"/>
                <w:szCs w:val="1"/>
                <w:color w:val="auto"/>
              </w:rPr>
            </w:pPr>
          </w:p>
        </w:tc>
      </w:tr>
      <w:tr>
        <w:trPr>
          <w:trHeight w:val="247"/>
        </w:trPr>
        <w:tc>
          <w:tcPr>
            <w:tcW w:w="1500" w:type="dxa"/>
            <w:vAlign w:val="bottom"/>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STIP</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121"/>
              <w:spacing w:after="0"/>
              <w:rPr>
                <w:sz w:val="20"/>
                <w:szCs w:val="20"/>
                <w:color w:val="auto"/>
              </w:rPr>
            </w:pPr>
            <w:r>
              <w:rPr>
                <w:rFonts w:ascii="Arial" w:cs="Arial" w:eastAsia="Arial" w:hAnsi="Arial"/>
                <w:sz w:val="16"/>
                <w:szCs w:val="16"/>
                <w:color w:val="auto"/>
              </w:rPr>
              <w:t>4,200,000</w:t>
            </w:r>
          </w:p>
        </w:tc>
        <w:tc>
          <w:tcPr>
            <w:tcW w:w="112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color w:val="auto"/>
              </w:rPr>
              <w:t>4,956,000</w:t>
            </w:r>
          </w:p>
        </w:tc>
        <w:tc>
          <w:tcPr>
            <w:tcW w:w="1100" w:type="dxa"/>
            <w:vAlign w:val="bottom"/>
            <w:tcBorders>
              <w:bottom w:val="single" w:sz="8" w:color="D8D7D7"/>
            </w:tcBorders>
          </w:tcPr>
          <w:p>
            <w:pPr>
              <w:jc w:val="right"/>
              <w:ind w:right="120"/>
              <w:spacing w:after="0"/>
              <w:rPr>
                <w:sz w:val="20"/>
                <w:szCs w:val="20"/>
                <w:color w:val="auto"/>
              </w:rPr>
            </w:pPr>
            <w:r>
              <w:rPr>
                <w:rFonts w:ascii="Arial" w:cs="Arial" w:eastAsia="Arial" w:hAnsi="Arial"/>
                <w:sz w:val="16"/>
                <w:szCs w:val="16"/>
                <w:color w:val="auto"/>
              </w:rPr>
              <w:t>4,956,000</w:t>
            </w:r>
          </w:p>
        </w:tc>
        <w:tc>
          <w:tcPr>
            <w:tcW w:w="1120" w:type="dxa"/>
            <w:vAlign w:val="bottom"/>
            <w:tcBorders>
              <w:bottom w:val="single" w:sz="8" w:color="D8D7D7"/>
            </w:tcBorders>
          </w:tcPr>
          <w:p>
            <w:pPr>
              <w:jc w:val="right"/>
              <w:ind w:right="120"/>
              <w:spacing w:after="0"/>
              <w:rPr>
                <w:sz w:val="20"/>
                <w:szCs w:val="20"/>
                <w:color w:val="auto"/>
              </w:rPr>
            </w:pPr>
            <w:r>
              <w:rPr>
                <w:rFonts w:ascii="Arial" w:cs="Arial" w:eastAsia="Arial" w:hAnsi="Arial"/>
                <w:sz w:val="16"/>
                <w:szCs w:val="16"/>
                <w:color w:val="auto"/>
              </w:rPr>
              <w:t>4,956,000</w:t>
            </w:r>
          </w:p>
        </w:tc>
        <w:tc>
          <w:tcPr>
            <w:tcW w:w="1040" w:type="dxa"/>
            <w:vAlign w:val="bottom"/>
            <w:tcBorders>
              <w:bottom w:val="single" w:sz="8" w:color="D8D7D7"/>
            </w:tcBorders>
          </w:tcPr>
          <w:p>
            <w:pPr>
              <w:ind w:left="160"/>
              <w:spacing w:after="0"/>
              <w:rPr>
                <w:sz w:val="20"/>
                <w:szCs w:val="20"/>
                <w:color w:val="auto"/>
              </w:rPr>
            </w:pPr>
            <w:r>
              <w:rPr>
                <w:rFonts w:ascii="Arial" w:cs="Arial" w:eastAsia="Arial" w:hAnsi="Arial"/>
                <w:sz w:val="16"/>
                <w:szCs w:val="16"/>
                <w:color w:val="auto"/>
              </w:rPr>
              <w:t>4,200,000</w:t>
            </w: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LTIP</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53,724,315</w:t>
            </w:r>
          </w:p>
        </w:tc>
        <w:tc>
          <w:tcPr>
            <w:tcW w:w="112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116,904,099</w:t>
            </w:r>
          </w:p>
        </w:tc>
        <w:tc>
          <w:tcPr>
            <w:tcW w:w="11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116,904,099</w:t>
            </w:r>
          </w:p>
        </w:tc>
        <w:tc>
          <w:tcPr>
            <w:tcW w:w="11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116,904,099</w:t>
            </w:r>
          </w:p>
        </w:tc>
        <w:tc>
          <w:tcPr>
            <w:tcW w:w="104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116,904,099</w:t>
            </w:r>
          </w:p>
        </w:tc>
        <w:tc>
          <w:tcPr>
            <w:tcW w:w="0" w:type="dxa"/>
            <w:vAlign w:val="bottom"/>
          </w:tcPr>
          <w:p>
            <w:pPr>
              <w:spacing w:after="0"/>
              <w:rPr>
                <w:sz w:val="1"/>
                <w:szCs w:val="1"/>
                <w:color w:val="auto"/>
              </w:rPr>
            </w:pPr>
          </w:p>
        </w:tc>
      </w:tr>
      <w:tr>
        <w:trPr>
          <w:trHeight w:val="253"/>
        </w:trPr>
        <w:tc>
          <w:tcPr>
            <w:tcW w:w="1500" w:type="dxa"/>
            <w:vAlign w:val="bottom"/>
            <w:tcBorders>
              <w:bottom w:val="single" w:sz="8" w:color="D8D7D7"/>
            </w:tcBorders>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b w:val="1"/>
                <w:bCs w:val="1"/>
                <w:color w:val="auto"/>
              </w:rPr>
              <w:t>62,174,637</w:t>
            </w:r>
          </w:p>
        </w:tc>
        <w:tc>
          <w:tcPr>
            <w:tcW w:w="11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b w:val="1"/>
                <w:bCs w:val="1"/>
                <w:color w:val="auto"/>
              </w:rPr>
              <w:t>121,860,099</w:t>
            </w:r>
          </w:p>
        </w:tc>
        <w:tc>
          <w:tcPr>
            <w:tcW w:w="110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b w:val="1"/>
                <w:bCs w:val="1"/>
                <w:color w:val="auto"/>
              </w:rPr>
              <w:t>121,860,099</w:t>
            </w:r>
          </w:p>
        </w:tc>
        <w:tc>
          <w:tcPr>
            <w:tcW w:w="112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b w:val="1"/>
                <w:bCs w:val="1"/>
                <w:color w:val="auto"/>
              </w:rPr>
              <w:t>121,860,099</w:t>
            </w:r>
          </w:p>
        </w:tc>
        <w:tc>
          <w:tcPr>
            <w:tcW w:w="104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b w:val="1"/>
                <w:bCs w:val="1"/>
                <w:color w:val="auto"/>
              </w:rPr>
              <w:t>125,339,421</w:t>
            </w:r>
          </w:p>
        </w:tc>
        <w:tc>
          <w:tcPr>
            <w:tcW w:w="0" w:type="dxa"/>
            <w:vAlign w:val="bottom"/>
          </w:tcPr>
          <w:p>
            <w:pPr>
              <w:spacing w:after="0"/>
              <w:rPr>
                <w:sz w:val="1"/>
                <w:szCs w:val="1"/>
                <w:color w:val="auto"/>
              </w:rPr>
            </w:pPr>
          </w:p>
        </w:tc>
      </w:tr>
      <w:tr>
        <w:trPr>
          <w:trHeight w:val="250"/>
        </w:trPr>
        <w:tc>
          <w:tcPr>
            <w:tcW w:w="1500" w:type="dxa"/>
            <w:vAlign w:val="bottom"/>
          </w:tcPr>
          <w:p>
            <w:pPr>
              <w:ind w:left="60"/>
              <w:spacing w:after="0"/>
              <w:rPr>
                <w:sz w:val="20"/>
                <w:szCs w:val="20"/>
                <w:color w:val="auto"/>
              </w:rPr>
            </w:pPr>
            <w:r>
              <w:rPr>
                <w:rFonts w:ascii="Arial" w:cs="Arial" w:eastAsia="Arial" w:hAnsi="Arial"/>
                <w:sz w:val="16"/>
                <w:szCs w:val="16"/>
                <w:b w:val="1"/>
                <w:bCs w:val="1"/>
                <w:color w:val="0956FF"/>
              </w:rPr>
              <w:t>Paul A. Jacobson</w:t>
            </w: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Cash</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1,840,081</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1,825,081</w:t>
            </w:r>
          </w:p>
        </w:tc>
        <w:tc>
          <w:tcPr>
            <w:tcW w:w="0" w:type="dxa"/>
            <w:vAlign w:val="bottom"/>
          </w:tcPr>
          <w:p>
            <w:pPr>
              <w:spacing w:after="0"/>
              <w:rPr>
                <w:sz w:val="1"/>
                <w:szCs w:val="1"/>
                <w:color w:val="auto"/>
              </w:rPr>
            </w:pPr>
          </w:p>
        </w:tc>
      </w:tr>
      <w:tr>
        <w:trPr>
          <w:trHeight w:val="247"/>
        </w:trPr>
        <w:tc>
          <w:tcPr>
            <w:tcW w:w="1500" w:type="dxa"/>
            <w:vAlign w:val="bottom"/>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STIP</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ind w:left="160"/>
              <w:spacing w:after="0"/>
              <w:rPr>
                <w:sz w:val="20"/>
                <w:szCs w:val="20"/>
                <w:color w:val="auto"/>
              </w:rPr>
            </w:pPr>
            <w:r>
              <w:rPr>
                <w:rFonts w:ascii="Arial" w:cs="Arial" w:eastAsia="Arial" w:hAnsi="Arial"/>
                <w:sz w:val="16"/>
                <w:szCs w:val="16"/>
                <w:color w:val="auto"/>
              </w:rPr>
              <w:t>1,500,000</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1,770,000</w:t>
            </w:r>
          </w:p>
        </w:tc>
        <w:tc>
          <w:tcPr>
            <w:tcW w:w="11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1,770,000</w:t>
            </w:r>
          </w:p>
        </w:tc>
        <w:tc>
          <w:tcPr>
            <w:tcW w:w="104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1,500,000</w:t>
            </w: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LTIP</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ind w:left="160"/>
              <w:spacing w:after="0"/>
              <w:rPr>
                <w:sz w:val="20"/>
                <w:szCs w:val="20"/>
                <w:color w:val="auto"/>
              </w:rPr>
            </w:pPr>
            <w:r>
              <w:rPr>
                <w:rFonts w:ascii="Arial" w:cs="Arial" w:eastAsia="Arial" w:hAnsi="Arial"/>
                <w:sz w:val="16"/>
                <w:szCs w:val="16"/>
                <w:color w:val="auto"/>
              </w:rPr>
              <w:t>23,114,197</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53,682,873</w:t>
            </w:r>
          </w:p>
        </w:tc>
        <w:tc>
          <w:tcPr>
            <w:tcW w:w="112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53,682,873</w:t>
            </w:r>
          </w:p>
        </w:tc>
        <w:tc>
          <w:tcPr>
            <w:tcW w:w="104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53,682,873</w:t>
            </w:r>
          </w:p>
        </w:tc>
        <w:tc>
          <w:tcPr>
            <w:tcW w:w="0" w:type="dxa"/>
            <w:vAlign w:val="bottom"/>
          </w:tcPr>
          <w:p>
            <w:pPr>
              <w:spacing w:after="0"/>
              <w:rPr>
                <w:sz w:val="1"/>
                <w:szCs w:val="1"/>
                <w:color w:val="auto"/>
              </w:rPr>
            </w:pPr>
          </w:p>
        </w:tc>
      </w:tr>
      <w:tr>
        <w:trPr>
          <w:trHeight w:val="253"/>
        </w:trPr>
        <w:tc>
          <w:tcPr>
            <w:tcW w:w="1500" w:type="dxa"/>
            <w:vAlign w:val="bottom"/>
            <w:tcBorders>
              <w:bottom w:val="single" w:sz="8" w:color="D8D7D7"/>
            </w:tcBorders>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Total</w:t>
            </w:r>
          </w:p>
        </w:tc>
        <w:tc>
          <w:tcPr>
            <w:tcW w:w="2100" w:type="dxa"/>
            <w:vAlign w:val="bottom"/>
            <w:tcBorders>
              <w:bottom w:val="single" w:sz="8" w:color="D8D7D7"/>
            </w:tcBorders>
            <w:gridSpan w:val="2"/>
          </w:tcPr>
          <w:p>
            <w:pPr>
              <w:ind w:left="840"/>
              <w:spacing w:after="0"/>
              <w:rPr>
                <w:sz w:val="20"/>
                <w:szCs w:val="20"/>
                <w:color w:val="auto"/>
              </w:rPr>
            </w:pPr>
            <w:r>
              <w:rPr>
                <w:rFonts w:ascii="Arial" w:cs="Arial" w:eastAsia="Arial" w:hAnsi="Arial"/>
                <w:sz w:val="16"/>
                <w:szCs w:val="16"/>
                <w:b w:val="1"/>
                <w:bCs w:val="1"/>
                <w:color w:val="auto"/>
              </w:rPr>
              <w:t>— 26,454,278</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b w:val="1"/>
                <w:bCs w:val="1"/>
                <w:color w:val="auto"/>
              </w:rPr>
              <w:t>55,452,873</w:t>
            </w:r>
          </w:p>
        </w:tc>
        <w:tc>
          <w:tcPr>
            <w:tcW w:w="112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b w:val="1"/>
                <w:bCs w:val="1"/>
                <w:color w:val="auto"/>
              </w:rPr>
              <w:t>55,452,873</w:t>
            </w:r>
          </w:p>
        </w:tc>
        <w:tc>
          <w:tcPr>
            <w:tcW w:w="10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b w:val="1"/>
                <w:bCs w:val="1"/>
                <w:color w:val="auto"/>
              </w:rPr>
              <w:t>57,007,954</w:t>
            </w:r>
          </w:p>
        </w:tc>
        <w:tc>
          <w:tcPr>
            <w:tcW w:w="0" w:type="dxa"/>
            <w:vAlign w:val="bottom"/>
          </w:tcPr>
          <w:p>
            <w:pPr>
              <w:spacing w:after="0"/>
              <w:rPr>
                <w:sz w:val="1"/>
                <w:szCs w:val="1"/>
                <w:color w:val="auto"/>
              </w:rPr>
            </w:pPr>
          </w:p>
        </w:tc>
      </w:tr>
      <w:tr>
        <w:trPr>
          <w:trHeight w:val="250"/>
        </w:trPr>
        <w:tc>
          <w:tcPr>
            <w:tcW w:w="1500" w:type="dxa"/>
            <w:vAlign w:val="bottom"/>
          </w:tcPr>
          <w:p>
            <w:pPr>
              <w:ind w:left="60"/>
              <w:spacing w:after="0"/>
              <w:rPr>
                <w:sz w:val="20"/>
                <w:szCs w:val="20"/>
                <w:color w:val="auto"/>
              </w:rPr>
            </w:pPr>
            <w:r>
              <w:rPr>
                <w:rFonts w:ascii="Arial" w:cs="Arial" w:eastAsia="Arial" w:hAnsi="Arial"/>
                <w:sz w:val="16"/>
                <w:szCs w:val="16"/>
                <w:b w:val="1"/>
                <w:bCs w:val="1"/>
                <w:color w:val="0956FF"/>
              </w:rPr>
              <w:t>Mark L. Reuss</w:t>
            </w: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Cash</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2,074,061</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2,059,061</w:t>
            </w:r>
          </w:p>
        </w:tc>
        <w:tc>
          <w:tcPr>
            <w:tcW w:w="0" w:type="dxa"/>
            <w:vAlign w:val="bottom"/>
          </w:tcPr>
          <w:p>
            <w:pPr>
              <w:spacing w:after="0"/>
              <w:rPr>
                <w:sz w:val="1"/>
                <w:szCs w:val="1"/>
                <w:color w:val="auto"/>
              </w:rPr>
            </w:pPr>
          </w:p>
        </w:tc>
      </w:tr>
      <w:tr>
        <w:trPr>
          <w:trHeight w:val="247"/>
        </w:trPr>
        <w:tc>
          <w:tcPr>
            <w:tcW w:w="1500" w:type="dxa"/>
            <w:vAlign w:val="bottom"/>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STIP</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1,687,500</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1,991,250</w:t>
            </w:r>
          </w:p>
        </w:tc>
        <w:tc>
          <w:tcPr>
            <w:tcW w:w="110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1,991,250</w:t>
            </w:r>
          </w:p>
        </w:tc>
        <w:tc>
          <w:tcPr>
            <w:tcW w:w="112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1,991,250</w:t>
            </w:r>
          </w:p>
        </w:tc>
        <w:tc>
          <w:tcPr>
            <w:tcW w:w="104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1,687,500</w:t>
            </w: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LTIP</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81"/>
              <w:spacing w:after="0"/>
              <w:rPr>
                <w:sz w:val="20"/>
                <w:szCs w:val="20"/>
                <w:color w:val="auto"/>
              </w:rPr>
            </w:pPr>
            <w:r>
              <w:rPr>
                <w:rFonts w:ascii="Arial" w:cs="Arial" w:eastAsia="Arial" w:hAnsi="Arial"/>
                <w:sz w:val="16"/>
                <w:szCs w:val="16"/>
                <w:color w:val="auto"/>
              </w:rPr>
              <w:t>38,387,928</w:t>
            </w:r>
          </w:p>
        </w:tc>
        <w:tc>
          <w:tcPr>
            <w:tcW w:w="112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82,745,222</w:t>
            </w:r>
          </w:p>
        </w:tc>
        <w:tc>
          <w:tcPr>
            <w:tcW w:w="110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color w:val="auto"/>
              </w:rPr>
              <w:t>82,745,222</w:t>
            </w:r>
          </w:p>
        </w:tc>
        <w:tc>
          <w:tcPr>
            <w:tcW w:w="112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color w:val="auto"/>
              </w:rPr>
              <w:t>82,745,222</w:t>
            </w:r>
          </w:p>
        </w:tc>
        <w:tc>
          <w:tcPr>
            <w:tcW w:w="104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82,745,222</w:t>
            </w:r>
          </w:p>
        </w:tc>
        <w:tc>
          <w:tcPr>
            <w:tcW w:w="0" w:type="dxa"/>
            <w:vAlign w:val="bottom"/>
          </w:tcPr>
          <w:p>
            <w:pPr>
              <w:spacing w:after="0"/>
              <w:rPr>
                <w:sz w:val="1"/>
                <w:szCs w:val="1"/>
                <w:color w:val="auto"/>
              </w:rPr>
            </w:pPr>
          </w:p>
        </w:tc>
      </w:tr>
      <w:tr>
        <w:trPr>
          <w:trHeight w:val="253"/>
        </w:trPr>
        <w:tc>
          <w:tcPr>
            <w:tcW w:w="1500" w:type="dxa"/>
            <w:vAlign w:val="bottom"/>
            <w:tcBorders>
              <w:bottom w:val="single" w:sz="8" w:color="D8D7D7"/>
            </w:tcBorders>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D8D7D7"/>
            </w:tcBorders>
          </w:tcPr>
          <w:p>
            <w:pPr>
              <w:jc w:val="right"/>
              <w:ind w:right="101"/>
              <w:spacing w:after="0"/>
              <w:rPr>
                <w:sz w:val="20"/>
                <w:szCs w:val="20"/>
                <w:color w:val="auto"/>
              </w:rPr>
            </w:pPr>
            <w:r>
              <w:rPr>
                <w:rFonts w:ascii="Arial" w:cs="Arial" w:eastAsia="Arial" w:hAnsi="Arial"/>
                <w:sz w:val="16"/>
                <w:szCs w:val="16"/>
                <w:b w:val="1"/>
                <w:bCs w:val="1"/>
                <w:color w:val="auto"/>
              </w:rPr>
              <w:t>42,149,489</w:t>
            </w:r>
          </w:p>
        </w:tc>
        <w:tc>
          <w:tcPr>
            <w:tcW w:w="112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b w:val="1"/>
                <w:bCs w:val="1"/>
                <w:color w:val="auto"/>
              </w:rPr>
              <w:t>84,736,472</w:t>
            </w:r>
          </w:p>
        </w:tc>
        <w:tc>
          <w:tcPr>
            <w:tcW w:w="110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b w:val="1"/>
                <w:bCs w:val="1"/>
                <w:color w:val="auto"/>
              </w:rPr>
              <w:t>84,736,472</w:t>
            </w:r>
          </w:p>
        </w:tc>
        <w:tc>
          <w:tcPr>
            <w:tcW w:w="112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b w:val="1"/>
                <w:bCs w:val="1"/>
                <w:color w:val="auto"/>
              </w:rPr>
              <w:t>84,736,472</w:t>
            </w:r>
          </w:p>
        </w:tc>
        <w:tc>
          <w:tcPr>
            <w:tcW w:w="104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b w:val="1"/>
                <w:bCs w:val="1"/>
                <w:color w:val="auto"/>
              </w:rPr>
              <w:t>86,491,783</w:t>
            </w:r>
          </w:p>
        </w:tc>
        <w:tc>
          <w:tcPr>
            <w:tcW w:w="0" w:type="dxa"/>
            <w:vAlign w:val="bottom"/>
          </w:tcPr>
          <w:p>
            <w:pPr>
              <w:spacing w:after="0"/>
              <w:rPr>
                <w:sz w:val="1"/>
                <w:szCs w:val="1"/>
                <w:color w:val="auto"/>
              </w:rPr>
            </w:pPr>
          </w:p>
        </w:tc>
      </w:tr>
      <w:tr>
        <w:trPr>
          <w:trHeight w:val="213"/>
        </w:trPr>
        <w:tc>
          <w:tcPr>
            <w:tcW w:w="1500" w:type="dxa"/>
            <w:vAlign w:val="bottom"/>
          </w:tcPr>
          <w:p>
            <w:pPr>
              <w:ind w:left="60"/>
              <w:spacing w:after="0"/>
              <w:rPr>
                <w:sz w:val="20"/>
                <w:szCs w:val="20"/>
                <w:color w:val="auto"/>
              </w:rPr>
            </w:pPr>
            <w:r>
              <w:rPr>
                <w:rFonts w:ascii="Arial" w:cs="Arial" w:eastAsia="Arial" w:hAnsi="Arial"/>
                <w:sz w:val="16"/>
                <w:szCs w:val="16"/>
                <w:b w:val="1"/>
                <w:bCs w:val="1"/>
                <w:color w:val="0956FF"/>
              </w:rPr>
              <w:t>Sterling J.</w:t>
            </w:r>
          </w:p>
        </w:tc>
        <w:tc>
          <w:tcPr>
            <w:tcW w:w="1100" w:type="dxa"/>
            <w:vAlign w:val="bottom"/>
          </w:tcPr>
          <w:p>
            <w:pPr>
              <w:ind w:left="60"/>
              <w:spacing w:after="0"/>
              <w:rPr>
                <w:sz w:val="20"/>
                <w:szCs w:val="20"/>
                <w:color w:val="auto"/>
              </w:rPr>
            </w:pPr>
            <w:r>
              <w:rPr>
                <w:rFonts w:ascii="Arial" w:cs="Arial" w:eastAsia="Arial" w:hAnsi="Arial"/>
                <w:sz w:val="16"/>
                <w:szCs w:val="16"/>
                <w:color w:val="auto"/>
              </w:rPr>
              <w:t>Cash</w:t>
            </w:r>
          </w:p>
        </w:tc>
        <w:tc>
          <w:tcPr>
            <w:tcW w:w="1060" w:type="dxa"/>
            <w:vAlign w:val="bottom"/>
          </w:tcPr>
          <w:p>
            <w:pPr>
              <w:ind w:left="8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1,535,631</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1,520,631</w:t>
            </w:r>
          </w:p>
        </w:tc>
        <w:tc>
          <w:tcPr>
            <w:tcW w:w="0" w:type="dxa"/>
            <w:vAlign w:val="bottom"/>
          </w:tcPr>
          <w:p>
            <w:pPr>
              <w:spacing w:after="0"/>
              <w:rPr>
                <w:sz w:val="1"/>
                <w:szCs w:val="1"/>
                <w:color w:val="auto"/>
              </w:rPr>
            </w:pPr>
          </w:p>
        </w:tc>
      </w:tr>
      <w:tr>
        <w:trPr>
          <w:trHeight w:val="41"/>
        </w:trPr>
        <w:tc>
          <w:tcPr>
            <w:tcW w:w="1500" w:type="dxa"/>
            <w:vAlign w:val="bottom"/>
            <w:vMerge w:val="restart"/>
          </w:tcPr>
          <w:p>
            <w:pPr>
              <w:ind w:left="60"/>
              <w:spacing w:after="0"/>
              <w:rPr>
                <w:sz w:val="20"/>
                <w:szCs w:val="20"/>
                <w:color w:val="auto"/>
              </w:rPr>
            </w:pPr>
            <w:r>
              <w:rPr>
                <w:rFonts w:ascii="Arial" w:cs="Arial" w:eastAsia="Arial" w:hAnsi="Arial"/>
                <w:sz w:val="16"/>
                <w:szCs w:val="16"/>
                <w:b w:val="1"/>
                <w:bCs w:val="1"/>
                <w:color w:val="0956FF"/>
              </w:rPr>
              <w:t>Anderson</w:t>
            </w:r>
          </w:p>
        </w:tc>
        <w:tc>
          <w:tcPr>
            <w:tcW w:w="1100" w:type="dxa"/>
            <w:vAlign w:val="bottom"/>
            <w:tcBorders>
              <w:bottom w:val="single" w:sz="8" w:color="D8D7D7"/>
            </w:tcBorders>
          </w:tcPr>
          <w:p>
            <w:pPr>
              <w:spacing w:after="0"/>
              <w:rPr>
                <w:sz w:val="3"/>
                <w:szCs w:val="3"/>
                <w:color w:val="auto"/>
              </w:rPr>
            </w:pPr>
          </w:p>
        </w:tc>
        <w:tc>
          <w:tcPr>
            <w:tcW w:w="1060" w:type="dxa"/>
            <w:vAlign w:val="bottom"/>
            <w:tcBorders>
              <w:bottom w:val="single" w:sz="8" w:color="D8D7D7"/>
            </w:tcBorders>
          </w:tcPr>
          <w:p>
            <w:pPr>
              <w:spacing w:after="0"/>
              <w:rPr>
                <w:sz w:val="3"/>
                <w:szCs w:val="3"/>
                <w:color w:val="auto"/>
              </w:rPr>
            </w:pPr>
          </w:p>
        </w:tc>
        <w:tc>
          <w:tcPr>
            <w:tcW w:w="1040" w:type="dxa"/>
            <w:vAlign w:val="bottom"/>
            <w:tcBorders>
              <w:bottom w:val="single" w:sz="8" w:color="D8D7D7"/>
            </w:tcBorders>
          </w:tcPr>
          <w:p>
            <w:pPr>
              <w:spacing w:after="0"/>
              <w:rPr>
                <w:sz w:val="3"/>
                <w:szCs w:val="3"/>
                <w:color w:val="auto"/>
              </w:rPr>
            </w:pPr>
          </w:p>
        </w:tc>
        <w:tc>
          <w:tcPr>
            <w:tcW w:w="1120" w:type="dxa"/>
            <w:vAlign w:val="bottom"/>
            <w:tcBorders>
              <w:bottom w:val="single" w:sz="8" w:color="D8D7D7"/>
            </w:tcBorders>
          </w:tcPr>
          <w:p>
            <w:pPr>
              <w:spacing w:after="0"/>
              <w:rPr>
                <w:sz w:val="3"/>
                <w:szCs w:val="3"/>
                <w:color w:val="auto"/>
              </w:rPr>
            </w:pPr>
          </w:p>
        </w:tc>
        <w:tc>
          <w:tcPr>
            <w:tcW w:w="1100" w:type="dxa"/>
            <w:vAlign w:val="bottom"/>
            <w:tcBorders>
              <w:bottom w:val="single" w:sz="8" w:color="D8D7D7"/>
            </w:tcBorders>
          </w:tcPr>
          <w:p>
            <w:pPr>
              <w:spacing w:after="0"/>
              <w:rPr>
                <w:sz w:val="3"/>
                <w:szCs w:val="3"/>
                <w:color w:val="auto"/>
              </w:rPr>
            </w:pPr>
          </w:p>
        </w:tc>
        <w:tc>
          <w:tcPr>
            <w:tcW w:w="1120" w:type="dxa"/>
            <w:vAlign w:val="bottom"/>
            <w:tcBorders>
              <w:bottom w:val="single" w:sz="8" w:color="D8D7D7"/>
            </w:tcBorders>
          </w:tcPr>
          <w:p>
            <w:pPr>
              <w:spacing w:after="0"/>
              <w:rPr>
                <w:sz w:val="3"/>
                <w:szCs w:val="3"/>
                <w:color w:val="auto"/>
              </w:rPr>
            </w:pPr>
          </w:p>
        </w:tc>
        <w:tc>
          <w:tcPr>
            <w:tcW w:w="1040" w:type="dxa"/>
            <w:vAlign w:val="bottom"/>
            <w:tcBorders>
              <w:bottom w:val="single" w:sz="8" w:color="D8D7D7"/>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500" w:type="dxa"/>
            <w:vAlign w:val="bottom"/>
            <w:vMerge w:val="continue"/>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16"/>
                <w:szCs w:val="16"/>
                <w:color w:val="auto"/>
              </w:rPr>
              <w:t>STIP</w:t>
            </w:r>
          </w:p>
        </w:tc>
        <w:tc>
          <w:tcPr>
            <w:tcW w:w="1060" w:type="dxa"/>
            <w:vAlign w:val="bottom"/>
            <w:vMerge w:val="restart"/>
          </w:tcPr>
          <w:p>
            <w:pPr>
              <w:ind w:left="84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ind w:left="160"/>
              <w:spacing w:after="0"/>
              <w:rPr>
                <w:sz w:val="20"/>
                <w:szCs w:val="20"/>
                <w:color w:val="auto"/>
              </w:rPr>
            </w:pPr>
            <w:r>
              <w:rPr>
                <w:rFonts w:ascii="Arial" w:cs="Arial" w:eastAsia="Arial" w:hAnsi="Arial"/>
                <w:sz w:val="16"/>
                <w:szCs w:val="16"/>
                <w:color w:val="auto"/>
              </w:rPr>
              <w:t>1,250,000</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60"/>
              <w:spacing w:after="0"/>
              <w:rPr>
                <w:sz w:val="20"/>
                <w:szCs w:val="20"/>
                <w:color w:val="auto"/>
              </w:rPr>
            </w:pPr>
            <w:r>
              <w:rPr>
                <w:rFonts w:ascii="Arial" w:cs="Arial" w:eastAsia="Arial" w:hAnsi="Arial"/>
                <w:sz w:val="16"/>
                <w:szCs w:val="16"/>
                <w:color w:val="auto"/>
              </w:rPr>
              <w:t>1,475,000</w:t>
            </w:r>
          </w:p>
        </w:tc>
        <w:tc>
          <w:tcPr>
            <w:tcW w:w="1120" w:type="dxa"/>
            <w:vAlign w:val="bottom"/>
            <w:vMerge w:val="restart"/>
          </w:tcPr>
          <w:p>
            <w:pPr>
              <w:jc w:val="right"/>
              <w:ind w:right="60"/>
              <w:spacing w:after="0"/>
              <w:rPr>
                <w:sz w:val="20"/>
                <w:szCs w:val="20"/>
                <w:color w:val="auto"/>
              </w:rPr>
            </w:pPr>
            <w:r>
              <w:rPr>
                <w:rFonts w:ascii="Arial" w:cs="Arial" w:eastAsia="Arial" w:hAnsi="Arial"/>
                <w:sz w:val="16"/>
                <w:szCs w:val="16"/>
                <w:color w:val="auto"/>
              </w:rPr>
              <w:t>1,475,000</w:t>
            </w:r>
          </w:p>
        </w:tc>
        <w:tc>
          <w:tcPr>
            <w:tcW w:w="1040" w:type="dxa"/>
            <w:vAlign w:val="bottom"/>
            <w:vMerge w:val="restart"/>
          </w:tcPr>
          <w:p>
            <w:pPr>
              <w:jc w:val="right"/>
              <w:ind w:right="21"/>
              <w:spacing w:after="0"/>
              <w:rPr>
                <w:sz w:val="20"/>
                <w:szCs w:val="20"/>
                <w:color w:val="auto"/>
              </w:rPr>
            </w:pPr>
            <w:r>
              <w:rPr>
                <w:rFonts w:ascii="Arial" w:cs="Arial" w:eastAsia="Arial" w:hAnsi="Arial"/>
                <w:sz w:val="16"/>
                <w:szCs w:val="16"/>
                <w:color w:val="auto"/>
              </w:rPr>
              <w:t>1,250,000</w:t>
            </w:r>
          </w:p>
        </w:tc>
        <w:tc>
          <w:tcPr>
            <w:tcW w:w="0" w:type="dxa"/>
            <w:vAlign w:val="bottom"/>
          </w:tcPr>
          <w:p>
            <w:pPr>
              <w:spacing w:after="0"/>
              <w:rPr>
                <w:sz w:val="1"/>
                <w:szCs w:val="1"/>
                <w:color w:val="auto"/>
              </w:rPr>
            </w:pPr>
          </w:p>
        </w:tc>
      </w:tr>
      <w:tr>
        <w:trPr>
          <w:trHeight w:val="87"/>
        </w:trPr>
        <w:tc>
          <w:tcPr>
            <w:tcW w:w="1500" w:type="dxa"/>
            <w:vAlign w:val="bottom"/>
          </w:tcPr>
          <w:p>
            <w:pPr>
              <w:spacing w:after="0"/>
              <w:rPr>
                <w:sz w:val="7"/>
                <w:szCs w:val="7"/>
                <w:color w:val="auto"/>
              </w:rPr>
            </w:pPr>
          </w:p>
        </w:tc>
        <w:tc>
          <w:tcPr>
            <w:tcW w:w="1100" w:type="dxa"/>
            <w:vAlign w:val="bottom"/>
            <w:tcBorders>
              <w:bottom w:val="single" w:sz="8" w:color="D8D7D7"/>
            </w:tcBorders>
            <w:vMerge w:val="continue"/>
          </w:tcPr>
          <w:p>
            <w:pPr>
              <w:spacing w:after="0"/>
              <w:rPr>
                <w:sz w:val="7"/>
                <w:szCs w:val="7"/>
                <w:color w:val="auto"/>
              </w:rPr>
            </w:pPr>
          </w:p>
        </w:tc>
        <w:tc>
          <w:tcPr>
            <w:tcW w:w="1060" w:type="dxa"/>
            <w:vAlign w:val="bottom"/>
            <w:tcBorders>
              <w:bottom w:val="single" w:sz="8" w:color="D8D7D7"/>
            </w:tcBorders>
            <w:vMerge w:val="continue"/>
          </w:tcPr>
          <w:p>
            <w:pPr>
              <w:spacing w:after="0"/>
              <w:rPr>
                <w:sz w:val="7"/>
                <w:szCs w:val="7"/>
                <w:color w:val="auto"/>
              </w:rPr>
            </w:pPr>
          </w:p>
        </w:tc>
        <w:tc>
          <w:tcPr>
            <w:tcW w:w="1040" w:type="dxa"/>
            <w:vAlign w:val="bottom"/>
            <w:tcBorders>
              <w:bottom w:val="single" w:sz="8" w:color="D8D7D7"/>
            </w:tcBorders>
            <w:vMerge w:val="continue"/>
          </w:tcPr>
          <w:p>
            <w:pPr>
              <w:spacing w:after="0"/>
              <w:rPr>
                <w:sz w:val="7"/>
                <w:szCs w:val="7"/>
                <w:color w:val="auto"/>
              </w:rPr>
            </w:pPr>
          </w:p>
        </w:tc>
        <w:tc>
          <w:tcPr>
            <w:tcW w:w="1120" w:type="dxa"/>
            <w:vAlign w:val="bottom"/>
            <w:tcBorders>
              <w:bottom w:val="single" w:sz="8" w:color="D8D7D7"/>
            </w:tcBorders>
            <w:vMerge w:val="continue"/>
          </w:tcPr>
          <w:p>
            <w:pPr>
              <w:spacing w:after="0"/>
              <w:rPr>
                <w:sz w:val="7"/>
                <w:szCs w:val="7"/>
                <w:color w:val="auto"/>
              </w:rPr>
            </w:pPr>
          </w:p>
        </w:tc>
        <w:tc>
          <w:tcPr>
            <w:tcW w:w="1100" w:type="dxa"/>
            <w:vAlign w:val="bottom"/>
            <w:tcBorders>
              <w:bottom w:val="single" w:sz="8" w:color="D8D7D7"/>
            </w:tcBorders>
            <w:vMerge w:val="continue"/>
          </w:tcPr>
          <w:p>
            <w:pPr>
              <w:spacing w:after="0"/>
              <w:rPr>
                <w:sz w:val="7"/>
                <w:szCs w:val="7"/>
                <w:color w:val="auto"/>
              </w:rPr>
            </w:pPr>
          </w:p>
        </w:tc>
        <w:tc>
          <w:tcPr>
            <w:tcW w:w="1120" w:type="dxa"/>
            <w:vAlign w:val="bottom"/>
            <w:tcBorders>
              <w:bottom w:val="single" w:sz="8" w:color="D8D7D7"/>
            </w:tcBorders>
            <w:vMerge w:val="continue"/>
          </w:tcPr>
          <w:p>
            <w:pPr>
              <w:spacing w:after="0"/>
              <w:rPr>
                <w:sz w:val="7"/>
                <w:szCs w:val="7"/>
                <w:color w:val="auto"/>
              </w:rPr>
            </w:pPr>
          </w:p>
        </w:tc>
        <w:tc>
          <w:tcPr>
            <w:tcW w:w="1040" w:type="dxa"/>
            <w:vAlign w:val="bottom"/>
            <w:tcBorders>
              <w:bottom w:val="single" w:sz="8" w:color="D8D7D7"/>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LTIP</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15,605,470</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color w:val="auto"/>
              </w:rPr>
              <w:t>54,229,055</w:t>
            </w:r>
          </w:p>
        </w:tc>
        <w:tc>
          <w:tcPr>
            <w:tcW w:w="112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color w:val="auto"/>
              </w:rPr>
              <w:t>54,229,055</w:t>
            </w:r>
          </w:p>
        </w:tc>
        <w:tc>
          <w:tcPr>
            <w:tcW w:w="10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54,229,055</w:t>
            </w:r>
          </w:p>
        </w:tc>
        <w:tc>
          <w:tcPr>
            <w:tcW w:w="0" w:type="dxa"/>
            <w:vAlign w:val="bottom"/>
          </w:tcPr>
          <w:p>
            <w:pPr>
              <w:spacing w:after="0"/>
              <w:rPr>
                <w:sz w:val="1"/>
                <w:szCs w:val="1"/>
                <w:color w:val="auto"/>
              </w:rPr>
            </w:pPr>
          </w:p>
        </w:tc>
      </w:tr>
      <w:tr>
        <w:trPr>
          <w:trHeight w:val="253"/>
        </w:trPr>
        <w:tc>
          <w:tcPr>
            <w:tcW w:w="1500" w:type="dxa"/>
            <w:vAlign w:val="bottom"/>
            <w:tcBorders>
              <w:bottom w:val="single" w:sz="8" w:color="D8D7D7"/>
            </w:tcBorders>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D8D7D7"/>
            </w:tcBorders>
          </w:tcPr>
          <w:p>
            <w:pPr>
              <w:ind w:left="160"/>
              <w:spacing w:after="0"/>
              <w:rPr>
                <w:sz w:val="20"/>
                <w:szCs w:val="20"/>
                <w:color w:val="auto"/>
              </w:rPr>
            </w:pPr>
            <w:r>
              <w:rPr>
                <w:rFonts w:ascii="Arial" w:cs="Arial" w:eastAsia="Arial" w:hAnsi="Arial"/>
                <w:sz w:val="16"/>
                <w:szCs w:val="16"/>
                <w:b w:val="1"/>
                <w:bCs w:val="1"/>
                <w:color w:val="auto"/>
              </w:rPr>
              <w:t>18,391,101</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D8D7D7"/>
            </w:tcBorders>
          </w:tcPr>
          <w:p>
            <w:pPr>
              <w:jc w:val="right"/>
              <w:ind w:right="120"/>
              <w:spacing w:after="0"/>
              <w:rPr>
                <w:sz w:val="20"/>
                <w:szCs w:val="20"/>
                <w:color w:val="auto"/>
              </w:rPr>
            </w:pPr>
            <w:r>
              <w:rPr>
                <w:rFonts w:ascii="Arial" w:cs="Arial" w:eastAsia="Arial" w:hAnsi="Arial"/>
                <w:sz w:val="16"/>
                <w:szCs w:val="16"/>
                <w:b w:val="1"/>
                <w:bCs w:val="1"/>
                <w:color w:val="auto"/>
              </w:rPr>
              <w:t>55,704,055</w:t>
            </w:r>
          </w:p>
        </w:tc>
        <w:tc>
          <w:tcPr>
            <w:tcW w:w="1120" w:type="dxa"/>
            <w:vAlign w:val="bottom"/>
            <w:tcBorders>
              <w:bottom w:val="single" w:sz="8" w:color="D8D7D7"/>
            </w:tcBorders>
          </w:tcPr>
          <w:p>
            <w:pPr>
              <w:jc w:val="right"/>
              <w:ind w:right="120"/>
              <w:spacing w:after="0"/>
              <w:rPr>
                <w:sz w:val="20"/>
                <w:szCs w:val="20"/>
                <w:color w:val="auto"/>
              </w:rPr>
            </w:pPr>
            <w:r>
              <w:rPr>
                <w:rFonts w:ascii="Arial" w:cs="Arial" w:eastAsia="Arial" w:hAnsi="Arial"/>
                <w:sz w:val="16"/>
                <w:szCs w:val="16"/>
                <w:b w:val="1"/>
                <w:bCs w:val="1"/>
                <w:color w:val="auto"/>
              </w:rPr>
              <w:t>55,704,055</w:t>
            </w:r>
          </w:p>
        </w:tc>
        <w:tc>
          <w:tcPr>
            <w:tcW w:w="10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b w:val="1"/>
                <w:bCs w:val="1"/>
                <w:color w:val="auto"/>
              </w:rPr>
              <w:t>56,999,686</w:t>
            </w:r>
          </w:p>
        </w:tc>
        <w:tc>
          <w:tcPr>
            <w:tcW w:w="0" w:type="dxa"/>
            <w:vAlign w:val="bottom"/>
          </w:tcPr>
          <w:p>
            <w:pPr>
              <w:spacing w:after="0"/>
              <w:rPr>
                <w:sz w:val="1"/>
                <w:szCs w:val="1"/>
                <w:color w:val="auto"/>
              </w:rPr>
            </w:pPr>
          </w:p>
        </w:tc>
      </w:tr>
      <w:tr>
        <w:trPr>
          <w:trHeight w:val="250"/>
        </w:trPr>
        <w:tc>
          <w:tcPr>
            <w:tcW w:w="1500" w:type="dxa"/>
            <w:vAlign w:val="bottom"/>
          </w:tcPr>
          <w:p>
            <w:pPr>
              <w:ind w:left="60"/>
              <w:spacing w:after="0"/>
              <w:rPr>
                <w:sz w:val="20"/>
                <w:szCs w:val="20"/>
                <w:color w:val="auto"/>
              </w:rPr>
            </w:pPr>
            <w:r>
              <w:rPr>
                <w:rFonts w:ascii="Arial" w:cs="Arial" w:eastAsia="Arial" w:hAnsi="Arial"/>
                <w:sz w:val="16"/>
                <w:szCs w:val="16"/>
                <w:b w:val="1"/>
                <w:bCs w:val="1"/>
                <w:color w:val="0956FF"/>
              </w:rPr>
              <w:t>Rory V. Harvey</w:t>
            </w: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Cash</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1,321,926</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1,306,926</w:t>
            </w:r>
          </w:p>
        </w:tc>
        <w:tc>
          <w:tcPr>
            <w:tcW w:w="0" w:type="dxa"/>
            <w:vAlign w:val="bottom"/>
          </w:tcPr>
          <w:p>
            <w:pPr>
              <w:spacing w:after="0"/>
              <w:rPr>
                <w:sz w:val="1"/>
                <w:szCs w:val="1"/>
                <w:color w:val="auto"/>
              </w:rPr>
            </w:pPr>
          </w:p>
        </w:tc>
      </w:tr>
      <w:tr>
        <w:trPr>
          <w:trHeight w:val="247"/>
        </w:trPr>
        <w:tc>
          <w:tcPr>
            <w:tcW w:w="1500" w:type="dxa"/>
            <w:vAlign w:val="bottom"/>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STIP</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61"/>
              <w:spacing w:after="0"/>
              <w:rPr>
                <w:sz w:val="20"/>
                <w:szCs w:val="20"/>
                <w:color w:val="auto"/>
              </w:rPr>
            </w:pPr>
            <w:r>
              <w:rPr>
                <w:rFonts w:ascii="Arial" w:cs="Arial" w:eastAsia="Arial" w:hAnsi="Arial"/>
                <w:sz w:val="16"/>
                <w:szCs w:val="16"/>
                <w:color w:val="auto"/>
              </w:rPr>
              <w:t>1,062,500</w:t>
            </w:r>
          </w:p>
        </w:tc>
        <w:tc>
          <w:tcPr>
            <w:tcW w:w="112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1,253,750</w:t>
            </w:r>
          </w:p>
        </w:tc>
        <w:tc>
          <w:tcPr>
            <w:tcW w:w="11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1,253,750</w:t>
            </w:r>
          </w:p>
        </w:tc>
        <w:tc>
          <w:tcPr>
            <w:tcW w:w="112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1,253,750</w:t>
            </w:r>
          </w:p>
        </w:tc>
        <w:tc>
          <w:tcPr>
            <w:tcW w:w="104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1,062,500</w:t>
            </w: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110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LTIP</w:t>
            </w:r>
          </w:p>
        </w:tc>
        <w:tc>
          <w:tcPr>
            <w:tcW w:w="1060" w:type="dxa"/>
            <w:vAlign w:val="bottom"/>
            <w:tcBorders>
              <w:bottom w:val="single" w:sz="8" w:color="D8D7D7"/>
            </w:tcBorders>
          </w:tcPr>
          <w:p>
            <w:pPr>
              <w:ind w:left="8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8D7D7"/>
            </w:tcBorders>
          </w:tcPr>
          <w:p>
            <w:pPr>
              <w:jc w:val="right"/>
              <w:ind w:right="41"/>
              <w:spacing w:after="0"/>
              <w:rPr>
                <w:sz w:val="20"/>
                <w:szCs w:val="20"/>
                <w:color w:val="auto"/>
              </w:rPr>
            </w:pPr>
            <w:r>
              <w:rPr>
                <w:rFonts w:ascii="Arial" w:cs="Arial" w:eastAsia="Arial" w:hAnsi="Arial"/>
                <w:sz w:val="16"/>
                <w:szCs w:val="16"/>
                <w:color w:val="auto"/>
              </w:rPr>
              <w:t>16,833,937</w:t>
            </w:r>
          </w:p>
        </w:tc>
        <w:tc>
          <w:tcPr>
            <w:tcW w:w="11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38,960,541</w:t>
            </w:r>
          </w:p>
        </w:tc>
        <w:tc>
          <w:tcPr>
            <w:tcW w:w="110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38,960,541</w:t>
            </w:r>
          </w:p>
        </w:tc>
        <w:tc>
          <w:tcPr>
            <w:tcW w:w="112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38,960,541</w:t>
            </w:r>
          </w:p>
        </w:tc>
        <w:tc>
          <w:tcPr>
            <w:tcW w:w="1040" w:type="dxa"/>
            <w:vAlign w:val="bottom"/>
            <w:tcBorders>
              <w:bottom w:val="single" w:sz="8" w:color="D8D7D7"/>
            </w:tcBorders>
          </w:tcPr>
          <w:p>
            <w:pPr>
              <w:jc w:val="right"/>
              <w:ind w:right="21"/>
              <w:spacing w:after="0"/>
              <w:rPr>
                <w:sz w:val="20"/>
                <w:szCs w:val="20"/>
                <w:color w:val="auto"/>
              </w:rPr>
            </w:pPr>
            <w:r>
              <w:rPr>
                <w:rFonts w:ascii="Arial" w:cs="Arial" w:eastAsia="Arial" w:hAnsi="Arial"/>
                <w:sz w:val="16"/>
                <w:szCs w:val="16"/>
                <w:color w:val="auto"/>
              </w:rPr>
              <w:t>38,960,541</w:t>
            </w:r>
          </w:p>
        </w:tc>
        <w:tc>
          <w:tcPr>
            <w:tcW w:w="0" w:type="dxa"/>
            <w:vAlign w:val="bottom"/>
          </w:tcPr>
          <w:p>
            <w:pPr>
              <w:spacing w:after="0"/>
              <w:rPr>
                <w:sz w:val="1"/>
                <w:szCs w:val="1"/>
                <w:color w:val="auto"/>
              </w:rPr>
            </w:pPr>
          </w:p>
        </w:tc>
      </w:tr>
      <w:tr>
        <w:trPr>
          <w:trHeight w:val="253"/>
        </w:trPr>
        <w:tc>
          <w:tcPr>
            <w:tcW w:w="1500" w:type="dxa"/>
            <w:vAlign w:val="bottom"/>
            <w:tcBorders>
              <w:bottom w:val="single" w:sz="8" w:color="0956FF"/>
            </w:tcBorders>
          </w:tcPr>
          <w:p>
            <w:pPr>
              <w:spacing w:after="0"/>
              <w:rPr>
                <w:sz w:val="21"/>
                <w:szCs w:val="21"/>
                <w:color w:val="auto"/>
              </w:rPr>
            </w:pPr>
          </w:p>
        </w:tc>
        <w:tc>
          <w:tcPr>
            <w:tcW w:w="110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0956FF"/>
            </w:tcBorders>
          </w:tcPr>
          <w:p>
            <w:pPr>
              <w:ind w:left="84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0956FF"/>
            </w:tcBorders>
          </w:tcPr>
          <w:p>
            <w:pPr>
              <w:jc w:val="right"/>
              <w:ind w:right="41"/>
              <w:spacing w:after="0"/>
              <w:rPr>
                <w:sz w:val="20"/>
                <w:szCs w:val="20"/>
                <w:color w:val="auto"/>
              </w:rPr>
            </w:pPr>
            <w:r>
              <w:rPr>
                <w:rFonts w:ascii="Arial" w:cs="Arial" w:eastAsia="Arial" w:hAnsi="Arial"/>
                <w:sz w:val="16"/>
                <w:szCs w:val="16"/>
                <w:b w:val="1"/>
                <w:bCs w:val="1"/>
                <w:color w:val="auto"/>
              </w:rPr>
              <w:t>19,218,363</w:t>
            </w:r>
          </w:p>
        </w:tc>
        <w:tc>
          <w:tcPr>
            <w:tcW w:w="1120" w:type="dxa"/>
            <w:vAlign w:val="bottom"/>
            <w:tcBorders>
              <w:bottom w:val="single" w:sz="8" w:color="0956FF"/>
            </w:tcBorders>
          </w:tcPr>
          <w:p>
            <w:pPr>
              <w:jc w:val="right"/>
              <w:ind w:right="60"/>
              <w:spacing w:after="0"/>
              <w:rPr>
                <w:sz w:val="20"/>
                <w:szCs w:val="20"/>
                <w:color w:val="auto"/>
              </w:rPr>
            </w:pPr>
            <w:r>
              <w:rPr>
                <w:rFonts w:ascii="Arial" w:cs="Arial" w:eastAsia="Arial" w:hAnsi="Arial"/>
                <w:sz w:val="16"/>
                <w:szCs w:val="16"/>
                <w:b w:val="1"/>
                <w:bCs w:val="1"/>
                <w:color w:val="auto"/>
              </w:rPr>
              <w:t>40,214,291</w:t>
            </w:r>
          </w:p>
        </w:tc>
        <w:tc>
          <w:tcPr>
            <w:tcW w:w="1100" w:type="dxa"/>
            <w:vAlign w:val="bottom"/>
            <w:tcBorders>
              <w:bottom w:val="single" w:sz="8" w:color="0956FF"/>
            </w:tcBorders>
          </w:tcPr>
          <w:p>
            <w:pPr>
              <w:jc w:val="right"/>
              <w:ind w:right="80"/>
              <w:spacing w:after="0"/>
              <w:rPr>
                <w:sz w:val="20"/>
                <w:szCs w:val="20"/>
                <w:color w:val="auto"/>
              </w:rPr>
            </w:pPr>
            <w:r>
              <w:rPr>
                <w:rFonts w:ascii="Arial" w:cs="Arial" w:eastAsia="Arial" w:hAnsi="Arial"/>
                <w:sz w:val="16"/>
                <w:szCs w:val="16"/>
                <w:b w:val="1"/>
                <w:bCs w:val="1"/>
                <w:color w:val="auto"/>
              </w:rPr>
              <w:t>40,214,291</w:t>
            </w:r>
          </w:p>
        </w:tc>
        <w:tc>
          <w:tcPr>
            <w:tcW w:w="1120" w:type="dxa"/>
            <w:vAlign w:val="bottom"/>
            <w:tcBorders>
              <w:bottom w:val="single" w:sz="8" w:color="0956FF"/>
            </w:tcBorders>
          </w:tcPr>
          <w:p>
            <w:pPr>
              <w:jc w:val="right"/>
              <w:ind w:right="80"/>
              <w:spacing w:after="0"/>
              <w:rPr>
                <w:sz w:val="20"/>
                <w:szCs w:val="20"/>
                <w:color w:val="auto"/>
              </w:rPr>
            </w:pPr>
            <w:r>
              <w:rPr>
                <w:rFonts w:ascii="Arial" w:cs="Arial" w:eastAsia="Arial" w:hAnsi="Arial"/>
                <w:sz w:val="16"/>
                <w:szCs w:val="16"/>
                <w:b w:val="1"/>
                <w:bCs w:val="1"/>
                <w:color w:val="auto"/>
              </w:rPr>
              <w:t>40,214,291</w:t>
            </w:r>
          </w:p>
        </w:tc>
        <w:tc>
          <w:tcPr>
            <w:tcW w:w="1040" w:type="dxa"/>
            <w:vAlign w:val="bottom"/>
            <w:tcBorders>
              <w:bottom w:val="single" w:sz="8" w:color="0956FF"/>
            </w:tcBorders>
          </w:tcPr>
          <w:p>
            <w:pPr>
              <w:jc w:val="right"/>
              <w:ind w:right="21"/>
              <w:spacing w:after="0"/>
              <w:rPr>
                <w:sz w:val="20"/>
                <w:szCs w:val="20"/>
                <w:color w:val="auto"/>
              </w:rPr>
            </w:pPr>
            <w:r>
              <w:rPr>
                <w:rFonts w:ascii="Arial" w:cs="Arial" w:eastAsia="Arial" w:hAnsi="Arial"/>
                <w:sz w:val="16"/>
                <w:szCs w:val="16"/>
                <w:b w:val="1"/>
                <w:bCs w:val="1"/>
                <w:color w:val="auto"/>
              </w:rPr>
              <w:t>41,329,967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0" w:right="40" w:hanging="192"/>
        <w:spacing w:after="0" w:line="275" w:lineRule="auto"/>
        <w:tabs>
          <w:tab w:leader="none" w:pos="200"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Cash amounts shown for Executive Severance Program are based on (i) involuntary termination due to role elimination as a result of a reduction in force or a reorganization or a staffing reduction not in connection with a Change in Control or (ii) a mutual agreement to terminate employment not in connection with a Change in Control, and Change in Control with Termination is based on severance pay under the Executive Severance Program. Payments include 2X salary for the CEO and 1.5X salary for all other NEOs. Under the Executive Severance Program, the CEO is eligible for a cash payment equal to 24 months of COBRA premiums and the other NEOs are eligible for a cash payment equal to 18 months of COBRA premiums. There are no cash payments due upon Voluntary Separation or Termination for Cause, Retirement, Disability, or Death.</w:t>
      </w:r>
    </w:p>
    <w:p>
      <w:pPr>
        <w:spacing w:after="0" w:line="46" w:lineRule="exact"/>
        <w:rPr>
          <w:rFonts w:ascii="Arial" w:cs="Arial" w:eastAsia="Arial" w:hAnsi="Arial"/>
          <w:sz w:val="19"/>
          <w:szCs w:val="19"/>
          <w:color w:val="auto"/>
          <w:vertAlign w:val="superscript"/>
        </w:rPr>
      </w:pPr>
    </w:p>
    <w:p>
      <w:pPr>
        <w:ind w:left="200" w:right="300" w:hanging="192"/>
        <w:spacing w:after="0" w:line="257" w:lineRule="auto"/>
        <w:tabs>
          <w:tab w:leader="none" w:pos="200"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STIP amounts shown under Retirement, Disability, and Death are based on final Company performance. STIP amounts shown for Executive Severance Program and Change in Control with Termination reflect target-level performance. Executives forfeit STIP awards for Voluntary Separation or Termination for Cause.</w:t>
      </w:r>
    </w:p>
    <w:p>
      <w:pPr>
        <w:spacing w:after="0" w:line="42" w:lineRule="exact"/>
        <w:rPr>
          <w:rFonts w:ascii="Arial" w:cs="Arial" w:eastAsia="Arial" w:hAnsi="Arial"/>
          <w:sz w:val="19"/>
          <w:szCs w:val="19"/>
          <w:color w:val="auto"/>
          <w:vertAlign w:val="superscript"/>
        </w:rPr>
      </w:pPr>
    </w:p>
    <w:p>
      <w:pPr>
        <w:ind w:left="200" w:right="80" w:hanging="192"/>
        <w:spacing w:after="0" w:line="270" w:lineRule="auto"/>
        <w:tabs>
          <w:tab w:leader="none" w:pos="200"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LTIP amounts shown reflect the value of any unvested RSU awards, PSU awards, and stock options that may vest upon termination. The value of the awards is based on the closing price of GM common stock on December 31, 2025, of $81.32. Under the Executive Severance Program, structure equity awards are delivered in cash once vested; the value displayed reflects the value of awards that would be subject to payment based on awards outstanding as of December 31, 2025.</w:t>
      </w:r>
    </w:p>
    <w:p>
      <w:pPr>
        <w:spacing w:after="0" w:line="6"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Ms. Barra, Mr. Reuss, and Mr. Harvey were eligible for full career status retirement as of December 31, 2025.</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72</w:t>
      </w:r>
    </w:p>
    <w:p>
      <w:pPr>
        <w:sectPr>
          <w:pgSz w:w="11900" w:h="16838" w:orient="portrait"/>
          <w:cols w:equalWidth="0" w:num="1">
            <w:col w:w="9080"/>
          </w:cols>
          <w:pgMar w:left="1400" w:top="657" w:right="141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CEO Pay Ratio</w:t>
      </w:r>
    </w:p>
    <w:p>
      <w:pPr>
        <w:spacing w:after="0" w:line="127"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Our CEO, who leads our global workforce of 155,000 employees (94,000 located in the United States and 61,000 non-U.S. employees) as of December 31, 2025, earned $29,895,868 i n total compensation in 2025 as reported in the Summary Compensation Table.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To identify our new median employee for 2025, we:</w:t>
      </w:r>
    </w:p>
    <w:p>
      <w:pPr>
        <w:spacing w:after="0" w:line="167" w:lineRule="exact"/>
        <w:rPr>
          <w:sz w:val="20"/>
          <w:szCs w:val="20"/>
          <w:color w:val="auto"/>
        </w:rPr>
      </w:pPr>
    </w:p>
    <w:p>
      <w:pPr>
        <w:ind w:left="260" w:right="240" w:hanging="252"/>
        <w:spacing w:after="0" w:line="291" w:lineRule="auto"/>
        <w:tabs>
          <w:tab w:leader="none" w:pos="260" w:val="left"/>
        </w:tabs>
        <w:numPr>
          <w:ilvl w:val="0"/>
          <w:numId w:val="97"/>
        </w:numPr>
        <w:rPr>
          <w:rFonts w:ascii="Arial" w:cs="Arial" w:eastAsia="Arial" w:hAnsi="Arial"/>
          <w:sz w:val="16"/>
          <w:szCs w:val="16"/>
          <w:b w:val="1"/>
          <w:bCs w:val="1"/>
          <w:color w:val="0956FF"/>
        </w:rPr>
      </w:pPr>
      <w:r>
        <w:rPr>
          <w:rFonts w:ascii="Arial" w:cs="Arial" w:eastAsia="Arial" w:hAnsi="Arial"/>
          <w:sz w:val="16"/>
          <w:szCs w:val="16"/>
          <w:color w:val="auto"/>
        </w:rPr>
        <w:t>Excluded all employees (5,469) in the following 28 countries under the SEC’s 5 percent de minimis exemption: Argentina (913), Australia (200), Chile (202), China (734), Colombia (411), Ecuador (81), Egypt (595), France (20), Germany (108), India (335), Indonesia (8), Ireland (356), Israel (347), Italy (1), Japan (37), New Zealand (21), Peru (41), Philippines (607), Singapore (3), South Africa (4), Sweden (8), Switzerland (126), Taiwan (9), Thailand (41), United Arab Emirates (194), United Kingdom (54), Uruguay (7), and Uzbekistan (6);</w:t>
      </w:r>
    </w:p>
    <w:p>
      <w:pPr>
        <w:spacing w:after="0" w:line="18" w:lineRule="exact"/>
        <w:rPr>
          <w:rFonts w:ascii="Arial" w:cs="Arial" w:eastAsia="Arial" w:hAnsi="Arial"/>
          <w:sz w:val="16"/>
          <w:szCs w:val="16"/>
          <w:b w:val="1"/>
          <w:bCs w:val="1"/>
          <w:color w:val="0956FF"/>
        </w:rPr>
      </w:pPr>
    </w:p>
    <w:p>
      <w:pPr>
        <w:ind w:left="260" w:hanging="252"/>
        <w:spacing w:after="0"/>
        <w:tabs>
          <w:tab w:leader="none" w:pos="260" w:val="left"/>
        </w:tabs>
        <w:numPr>
          <w:ilvl w:val="0"/>
          <w:numId w:val="97"/>
        </w:numPr>
        <w:rPr>
          <w:rFonts w:ascii="Arial" w:cs="Arial" w:eastAsia="Arial" w:hAnsi="Arial"/>
          <w:sz w:val="16"/>
          <w:szCs w:val="16"/>
          <w:b w:val="1"/>
          <w:bCs w:val="1"/>
          <w:color w:val="0956FF"/>
        </w:rPr>
      </w:pPr>
      <w:r>
        <w:rPr>
          <w:rFonts w:ascii="Arial" w:cs="Arial" w:eastAsia="Arial" w:hAnsi="Arial"/>
          <w:sz w:val="16"/>
          <w:szCs w:val="16"/>
          <w:color w:val="auto"/>
        </w:rPr>
        <w:t>Calculated year-to-date payroll as of November 1, 2025, for all employees excluding the CEO;</w:t>
      </w:r>
    </w:p>
    <w:p>
      <w:pPr>
        <w:spacing w:after="0" w:line="86" w:lineRule="exact"/>
        <w:rPr>
          <w:rFonts w:ascii="Arial" w:cs="Arial" w:eastAsia="Arial" w:hAnsi="Arial"/>
          <w:sz w:val="16"/>
          <w:szCs w:val="16"/>
          <w:b w:val="1"/>
          <w:bCs w:val="1"/>
          <w:color w:val="0956FF"/>
        </w:rPr>
      </w:pPr>
    </w:p>
    <w:p>
      <w:pPr>
        <w:ind w:left="260" w:right="940" w:hanging="252"/>
        <w:spacing w:after="0" w:line="316" w:lineRule="auto"/>
        <w:tabs>
          <w:tab w:leader="none" w:pos="260" w:val="left"/>
        </w:tabs>
        <w:numPr>
          <w:ilvl w:val="0"/>
          <w:numId w:val="97"/>
        </w:numPr>
        <w:rPr>
          <w:rFonts w:ascii="Arial" w:cs="Arial" w:eastAsia="Arial" w:hAnsi="Arial"/>
          <w:sz w:val="16"/>
          <w:szCs w:val="16"/>
          <w:b w:val="1"/>
          <w:bCs w:val="1"/>
          <w:color w:val="0956FF"/>
        </w:rPr>
      </w:pPr>
      <w:r>
        <w:rPr>
          <w:rFonts w:ascii="Arial" w:cs="Arial" w:eastAsia="Arial" w:hAnsi="Arial"/>
          <w:sz w:val="16"/>
          <w:szCs w:val="16"/>
          <w:color w:val="auto"/>
        </w:rPr>
        <w:t>Identified the middle 51 employees using year-to-date payroll converted to U.S. dollars as a consistently applied compensation measure;</w:t>
      </w:r>
    </w:p>
    <w:p>
      <w:pPr>
        <w:spacing w:after="0" w:line="1" w:lineRule="exact"/>
        <w:rPr>
          <w:rFonts w:ascii="Arial" w:cs="Arial" w:eastAsia="Arial" w:hAnsi="Arial"/>
          <w:sz w:val="16"/>
          <w:szCs w:val="16"/>
          <w:b w:val="1"/>
          <w:bCs w:val="1"/>
          <w:color w:val="0956FF"/>
        </w:rPr>
      </w:pPr>
    </w:p>
    <w:p>
      <w:pPr>
        <w:ind w:left="260" w:right="460" w:hanging="252"/>
        <w:spacing w:after="0" w:line="316" w:lineRule="auto"/>
        <w:tabs>
          <w:tab w:leader="none" w:pos="260" w:val="left"/>
        </w:tabs>
        <w:numPr>
          <w:ilvl w:val="0"/>
          <w:numId w:val="97"/>
        </w:numPr>
        <w:rPr>
          <w:rFonts w:ascii="Arial" w:cs="Arial" w:eastAsia="Arial" w:hAnsi="Arial"/>
          <w:sz w:val="16"/>
          <w:szCs w:val="16"/>
          <w:b w:val="1"/>
          <w:bCs w:val="1"/>
          <w:color w:val="0956FF"/>
        </w:rPr>
      </w:pPr>
      <w:r>
        <w:rPr>
          <w:rFonts w:ascii="Arial" w:cs="Arial" w:eastAsia="Arial" w:hAnsi="Arial"/>
          <w:sz w:val="16"/>
          <w:szCs w:val="16"/>
          <w:color w:val="auto"/>
        </w:rPr>
        <w:t>Calculated annual total compensation for the 51 middle employees based on the same SEC requirements that apply to determine total compensation in the Summary Compensation Table; and</w:t>
      </w:r>
    </w:p>
    <w:p>
      <w:pPr>
        <w:spacing w:after="0" w:line="1" w:lineRule="exact"/>
        <w:rPr>
          <w:rFonts w:ascii="Arial" w:cs="Arial" w:eastAsia="Arial" w:hAnsi="Arial"/>
          <w:sz w:val="16"/>
          <w:szCs w:val="16"/>
          <w:b w:val="1"/>
          <w:bCs w:val="1"/>
          <w:color w:val="0956FF"/>
        </w:rPr>
      </w:pPr>
    </w:p>
    <w:p>
      <w:pPr>
        <w:ind w:left="260" w:hanging="252"/>
        <w:spacing w:after="0"/>
        <w:tabs>
          <w:tab w:leader="none" w:pos="260" w:val="left"/>
        </w:tabs>
        <w:numPr>
          <w:ilvl w:val="0"/>
          <w:numId w:val="97"/>
        </w:numPr>
        <w:rPr>
          <w:rFonts w:ascii="Arial" w:cs="Arial" w:eastAsia="Arial" w:hAnsi="Arial"/>
          <w:sz w:val="16"/>
          <w:szCs w:val="16"/>
          <w:b w:val="1"/>
          <w:bCs w:val="1"/>
          <w:color w:val="0956FF"/>
        </w:rPr>
      </w:pPr>
      <w:r>
        <w:rPr>
          <w:rFonts w:ascii="Arial" w:cs="Arial" w:eastAsia="Arial" w:hAnsi="Arial"/>
          <w:sz w:val="16"/>
          <w:szCs w:val="16"/>
          <w:color w:val="auto"/>
        </w:rPr>
        <w:t>Re-ranked all middle 51 employees and selected the median employee.</w:t>
      </w:r>
    </w:p>
    <w:p>
      <w:pPr>
        <w:spacing w:after="0" w:line="181" w:lineRule="exact"/>
        <w:rPr>
          <w:sz w:val="20"/>
          <w:szCs w:val="20"/>
          <w:color w:val="auto"/>
        </w:rPr>
      </w:pPr>
    </w:p>
    <w:p>
      <w:pPr>
        <w:ind w:right="540"/>
        <w:spacing w:after="0" w:line="301" w:lineRule="auto"/>
        <w:rPr>
          <w:sz w:val="20"/>
          <w:szCs w:val="20"/>
          <w:color w:val="auto"/>
        </w:rPr>
      </w:pPr>
      <w:r>
        <w:rPr>
          <w:rFonts w:ascii="Arial" w:cs="Arial" w:eastAsia="Arial" w:hAnsi="Arial"/>
          <w:sz w:val="16"/>
          <w:szCs w:val="16"/>
          <w:color w:val="auto"/>
        </w:rPr>
        <w:t>At GM, we believe that fair and equitable pay is an essential element of any successful organization, and we invest in our employees with market-competitive pay and benefits. We compensate our employees to create alignment with the short-term and long-term goals tied to the success of the Company.</w:t>
      </w:r>
    </w:p>
    <w:p>
      <w:pPr>
        <w:spacing w:after="0" w:line="91"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Based on our calculation, we can reasonably estimate that our median employee earned $89,785 in 2025. The ratio of our CEO’s compensation to that of our median employee is estimated to be 333:1.</w:t>
      </w:r>
    </w:p>
    <w:p>
      <w:pPr>
        <w:spacing w:after="0" w:line="88"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color w:val="auto"/>
        </w:rPr>
        <w:t>The rules outlined by the SEC for identifying the median employee and calculating the pay ratio based on that employee’s annual total compensation allow companies to adopt a variety of methodologies to calculate the median employee, excluding up to 5 percent of the workforce, and make reasonable estimates and assumptions that may impact their employee populations. As a result, the pay ratio reported by other companies may not be comparable to the pay ratio reported above. Other companies have different employee populations, compensation practices, and the ability to utilize different methodologies, exclusions, estimates, and assumptions in calculating their own pay ratios.</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73</w:t>
      </w:r>
    </w:p>
    <w:p>
      <w:pPr>
        <w:sectPr>
          <w:pgSz w:w="11900" w:h="16838" w:orient="portrait"/>
          <w:cols w:equalWidth="0" w:num="1">
            <w:col w:w="9220"/>
          </w:cols>
          <w:pgMar w:left="1400" w:top="657" w:right="127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Pay Versus Performance</w:t>
      </w:r>
    </w:p>
    <w:p>
      <w:pPr>
        <w:spacing w:after="0" w:line="12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Pursuant to Item 402(v) of Regulation S-K, we are providing the following information about the relationship between Compensation Actually Paid (“CAP”) for the Company’s CEO and non-CEO NEOs as a group and certain aspects of the financial performance of the Company. The CAP values disclosed do not reflect the actual amount of compensation paid to our NEOs during the applicable year. The Compensation Committee does not utilize CAP as a basis for making compensation decisions. For information regarding compensation decisions made by our Compensation Committee, refer to the “Compensation Discussion and Analysis” section beginning on page 42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shd w:val="clear" w:color="auto" w:fill="ECEBEB"/>
          </w:tcPr>
          <w:p>
            <w:pPr>
              <w:spacing w:after="0"/>
              <w:rPr>
                <w:sz w:val="20"/>
                <w:szCs w:val="20"/>
                <w:color w:val="auto"/>
              </w:rPr>
            </w:pPr>
          </w:p>
        </w:tc>
        <w:tc>
          <w:tcPr>
            <w:tcW w:w="1200" w:type="dxa"/>
            <w:vAlign w:val="bottom"/>
            <w:shd w:val="clear" w:color="auto" w:fill="ECEBEB"/>
          </w:tcPr>
          <w:p>
            <w:pPr>
              <w:spacing w:after="0"/>
              <w:rPr>
                <w:sz w:val="20"/>
                <w:szCs w:val="20"/>
                <w:color w:val="auto"/>
              </w:rPr>
            </w:pPr>
          </w:p>
        </w:tc>
        <w:tc>
          <w:tcPr>
            <w:tcW w:w="1180" w:type="dxa"/>
            <w:vAlign w:val="bottom"/>
            <w:shd w:val="clear" w:color="auto" w:fill="ECEBEB"/>
          </w:tcPr>
          <w:p>
            <w:pPr>
              <w:spacing w:after="0"/>
              <w:rPr>
                <w:sz w:val="20"/>
                <w:szCs w:val="20"/>
                <w:color w:val="auto"/>
              </w:rPr>
            </w:pPr>
          </w:p>
        </w:tc>
        <w:tc>
          <w:tcPr>
            <w:tcW w:w="1160" w:type="dxa"/>
            <w:vAlign w:val="bottom"/>
            <w:shd w:val="clear" w:color="auto" w:fill="ECEBEB"/>
          </w:tcPr>
          <w:p>
            <w:pPr>
              <w:jc w:val="right"/>
              <w:ind w:right="64"/>
              <w:spacing w:after="0"/>
              <w:rPr>
                <w:sz w:val="20"/>
                <w:szCs w:val="20"/>
                <w:color w:val="auto"/>
              </w:rPr>
            </w:pPr>
            <w:r>
              <w:rPr>
                <w:rFonts w:ascii="Arial" w:cs="Arial" w:eastAsia="Arial" w:hAnsi="Arial"/>
                <w:sz w:val="14"/>
                <w:szCs w:val="14"/>
                <w:b w:val="1"/>
                <w:bCs w:val="1"/>
                <w:color w:val="auto"/>
              </w:rPr>
              <w:t>Average</w:t>
            </w:r>
          </w:p>
        </w:tc>
        <w:tc>
          <w:tcPr>
            <w:tcW w:w="1060" w:type="dxa"/>
            <w:vAlign w:val="bottom"/>
            <w:shd w:val="clear" w:color="auto" w:fill="ECEBEB"/>
          </w:tcPr>
          <w:p>
            <w:pPr>
              <w:spacing w:after="0"/>
              <w:rPr>
                <w:sz w:val="20"/>
                <w:szCs w:val="20"/>
                <w:color w:val="auto"/>
              </w:rPr>
            </w:pPr>
          </w:p>
        </w:tc>
        <w:tc>
          <w:tcPr>
            <w:tcW w:w="60" w:type="dxa"/>
            <w:vAlign w:val="bottom"/>
            <w:shd w:val="clear" w:color="auto" w:fill="ECEBEB"/>
          </w:tcPr>
          <w:p>
            <w:pPr>
              <w:spacing w:after="0"/>
              <w:rPr>
                <w:sz w:val="20"/>
                <w:szCs w:val="20"/>
                <w:color w:val="auto"/>
              </w:rPr>
            </w:pPr>
          </w:p>
        </w:tc>
        <w:tc>
          <w:tcPr>
            <w:tcW w:w="1140" w:type="dxa"/>
            <w:vAlign w:val="bottom"/>
            <w:shd w:val="clear" w:color="auto" w:fill="ECEBEB"/>
          </w:tcPr>
          <w:p>
            <w:pPr>
              <w:spacing w:after="0"/>
              <w:rPr>
                <w:sz w:val="20"/>
                <w:szCs w:val="20"/>
                <w:color w:val="auto"/>
              </w:rPr>
            </w:pPr>
          </w:p>
        </w:tc>
        <w:tc>
          <w:tcPr>
            <w:tcW w:w="920" w:type="dxa"/>
            <w:vAlign w:val="bottom"/>
            <w:shd w:val="clear" w:color="auto" w:fill="ECEBEB"/>
          </w:tcPr>
          <w:p>
            <w:pPr>
              <w:spacing w:after="0"/>
              <w:rPr>
                <w:sz w:val="20"/>
                <w:szCs w:val="20"/>
                <w:color w:val="auto"/>
              </w:rPr>
            </w:pPr>
          </w:p>
        </w:tc>
        <w:tc>
          <w:tcPr>
            <w:tcW w:w="900" w:type="dxa"/>
            <w:vAlign w:val="bottom"/>
            <w:shd w:val="clear" w:color="auto" w:fill="ECEBEB"/>
          </w:tcPr>
          <w:p>
            <w:pPr>
              <w:spacing w:after="0"/>
              <w:rPr>
                <w:sz w:val="20"/>
                <w:szCs w:val="20"/>
                <w:color w:val="auto"/>
              </w:rPr>
            </w:pPr>
          </w:p>
        </w:tc>
        <w:tc>
          <w:tcPr>
            <w:tcW w:w="860" w:type="dxa"/>
            <w:vAlign w:val="bottom"/>
            <w:shd w:val="clear" w:color="auto" w:fill="ECEBEB"/>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0" w:type="dxa"/>
            <w:vAlign w:val="bottom"/>
            <w:shd w:val="clear" w:color="auto" w:fill="ECEBEB"/>
          </w:tcPr>
          <w:p>
            <w:pPr>
              <w:spacing w:after="0"/>
              <w:rPr>
                <w:sz w:val="15"/>
                <w:szCs w:val="15"/>
                <w:color w:val="auto"/>
              </w:rPr>
            </w:pPr>
          </w:p>
        </w:tc>
        <w:tc>
          <w:tcPr>
            <w:tcW w:w="1200" w:type="dxa"/>
            <w:vAlign w:val="bottom"/>
            <w:shd w:val="clear" w:color="auto" w:fill="ECEBEB"/>
          </w:tcPr>
          <w:p>
            <w:pPr>
              <w:spacing w:after="0"/>
              <w:rPr>
                <w:sz w:val="15"/>
                <w:szCs w:val="15"/>
                <w:color w:val="auto"/>
              </w:rPr>
            </w:pPr>
          </w:p>
        </w:tc>
        <w:tc>
          <w:tcPr>
            <w:tcW w:w="1180" w:type="dxa"/>
            <w:vAlign w:val="bottom"/>
            <w:shd w:val="clear" w:color="auto" w:fill="ECEBEB"/>
          </w:tcPr>
          <w:p>
            <w:pPr>
              <w:spacing w:after="0"/>
              <w:rPr>
                <w:sz w:val="15"/>
                <w:szCs w:val="15"/>
                <w:color w:val="auto"/>
              </w:rPr>
            </w:pPr>
          </w:p>
        </w:tc>
        <w:tc>
          <w:tcPr>
            <w:tcW w:w="1160" w:type="dxa"/>
            <w:vAlign w:val="bottom"/>
            <w:shd w:val="clear" w:color="auto" w:fill="ECEBEB"/>
          </w:tcPr>
          <w:p>
            <w:pPr>
              <w:jc w:val="right"/>
              <w:ind w:right="44"/>
              <w:spacing w:after="0"/>
              <w:rPr>
                <w:sz w:val="20"/>
                <w:szCs w:val="20"/>
                <w:color w:val="auto"/>
              </w:rPr>
            </w:pPr>
            <w:r>
              <w:rPr>
                <w:rFonts w:ascii="Arial" w:cs="Arial" w:eastAsia="Arial" w:hAnsi="Arial"/>
                <w:sz w:val="14"/>
                <w:szCs w:val="14"/>
                <w:b w:val="1"/>
                <w:bCs w:val="1"/>
                <w:color w:val="auto"/>
              </w:rPr>
              <w:t>Summary</w:t>
            </w:r>
          </w:p>
        </w:tc>
        <w:tc>
          <w:tcPr>
            <w:tcW w:w="1060" w:type="dxa"/>
            <w:vAlign w:val="bottom"/>
            <w:shd w:val="clear" w:color="auto" w:fill="ECEBEB"/>
          </w:tcPr>
          <w:p>
            <w:pPr>
              <w:spacing w:after="0"/>
              <w:rPr>
                <w:sz w:val="15"/>
                <w:szCs w:val="15"/>
                <w:color w:val="auto"/>
              </w:rPr>
            </w:pPr>
          </w:p>
        </w:tc>
        <w:tc>
          <w:tcPr>
            <w:tcW w:w="60" w:type="dxa"/>
            <w:vAlign w:val="bottom"/>
            <w:shd w:val="clear" w:color="auto" w:fill="ECEBEB"/>
          </w:tcPr>
          <w:p>
            <w:pPr>
              <w:spacing w:after="0"/>
              <w:rPr>
                <w:sz w:val="15"/>
                <w:szCs w:val="15"/>
                <w:color w:val="auto"/>
              </w:rPr>
            </w:pPr>
          </w:p>
        </w:tc>
        <w:tc>
          <w:tcPr>
            <w:tcW w:w="2060" w:type="dxa"/>
            <w:vAlign w:val="bottom"/>
            <w:gridSpan w:val="2"/>
            <w:vMerge w:val="restart"/>
            <w:shd w:val="clear" w:color="auto" w:fill="ECEBEB"/>
          </w:tcPr>
          <w:p>
            <w:pPr>
              <w:jc w:val="right"/>
              <w:ind w:right="102"/>
              <w:spacing w:after="0"/>
              <w:rPr>
                <w:sz w:val="20"/>
                <w:szCs w:val="20"/>
                <w:color w:val="auto"/>
              </w:rPr>
            </w:pPr>
            <w:r>
              <w:rPr>
                <w:rFonts w:ascii="Arial" w:cs="Arial" w:eastAsia="Arial" w:hAnsi="Arial"/>
                <w:sz w:val="14"/>
                <w:szCs w:val="14"/>
                <w:b w:val="1"/>
                <w:bCs w:val="1"/>
                <w:color w:val="auto"/>
              </w:rPr>
              <w:t>Value of Initial Fixed $100</w:t>
            </w:r>
          </w:p>
        </w:tc>
        <w:tc>
          <w:tcPr>
            <w:tcW w:w="900" w:type="dxa"/>
            <w:vAlign w:val="bottom"/>
            <w:shd w:val="clear" w:color="auto" w:fill="ECEBEB"/>
          </w:tcPr>
          <w:p>
            <w:pPr>
              <w:spacing w:after="0"/>
              <w:rPr>
                <w:sz w:val="15"/>
                <w:szCs w:val="15"/>
                <w:color w:val="auto"/>
              </w:rPr>
            </w:pPr>
          </w:p>
        </w:tc>
        <w:tc>
          <w:tcPr>
            <w:tcW w:w="860" w:type="dxa"/>
            <w:vAlign w:val="bottom"/>
            <w:shd w:val="clear" w:color="auto" w:fill="ECEBEB"/>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00" w:type="dxa"/>
            <w:vAlign w:val="bottom"/>
            <w:shd w:val="clear" w:color="auto" w:fill="ECEBEB"/>
          </w:tcPr>
          <w:p>
            <w:pPr>
              <w:spacing w:after="0"/>
              <w:rPr>
                <w:sz w:val="8"/>
                <w:szCs w:val="8"/>
                <w:color w:val="auto"/>
              </w:rPr>
            </w:pPr>
          </w:p>
        </w:tc>
        <w:tc>
          <w:tcPr>
            <w:tcW w:w="1200" w:type="dxa"/>
            <w:vAlign w:val="bottom"/>
            <w:vMerge w:val="restart"/>
            <w:shd w:val="clear" w:color="auto" w:fill="ECEBEB"/>
          </w:tcPr>
          <w:p>
            <w:pPr>
              <w:jc w:val="right"/>
              <w:ind w:right="44"/>
              <w:spacing w:after="0"/>
              <w:rPr>
                <w:sz w:val="20"/>
                <w:szCs w:val="20"/>
                <w:color w:val="auto"/>
              </w:rPr>
            </w:pPr>
            <w:r>
              <w:rPr>
                <w:rFonts w:ascii="Arial" w:cs="Arial" w:eastAsia="Arial" w:hAnsi="Arial"/>
                <w:sz w:val="14"/>
                <w:szCs w:val="14"/>
                <w:b w:val="1"/>
                <w:bCs w:val="1"/>
                <w:color w:val="auto"/>
              </w:rPr>
              <w:t>Summary</w:t>
            </w:r>
          </w:p>
        </w:tc>
        <w:tc>
          <w:tcPr>
            <w:tcW w:w="1180" w:type="dxa"/>
            <w:vAlign w:val="bottom"/>
            <w:shd w:val="clear" w:color="auto" w:fill="ECEBEB"/>
          </w:tcPr>
          <w:p>
            <w:pPr>
              <w:spacing w:after="0"/>
              <w:rPr>
                <w:sz w:val="8"/>
                <w:szCs w:val="8"/>
                <w:color w:val="auto"/>
              </w:rPr>
            </w:pPr>
          </w:p>
        </w:tc>
        <w:tc>
          <w:tcPr>
            <w:tcW w:w="1160" w:type="dxa"/>
            <w:vAlign w:val="bottom"/>
            <w:vMerge w:val="restart"/>
            <w:shd w:val="clear" w:color="auto" w:fill="ECEBEB"/>
          </w:tcPr>
          <w:p>
            <w:pPr>
              <w:jc w:val="right"/>
              <w:ind w:right="24"/>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shd w:val="clear" w:color="auto" w:fill="ECEBEB"/>
          </w:tcPr>
          <w:p>
            <w:pPr>
              <w:spacing w:after="0"/>
              <w:rPr>
                <w:sz w:val="8"/>
                <w:szCs w:val="8"/>
                <w:color w:val="auto"/>
              </w:rPr>
            </w:pPr>
          </w:p>
        </w:tc>
        <w:tc>
          <w:tcPr>
            <w:tcW w:w="60" w:type="dxa"/>
            <w:vAlign w:val="bottom"/>
            <w:shd w:val="clear" w:color="auto" w:fill="ECEBEB"/>
          </w:tcPr>
          <w:p>
            <w:pPr>
              <w:spacing w:after="0"/>
              <w:rPr>
                <w:sz w:val="8"/>
                <w:szCs w:val="8"/>
                <w:color w:val="auto"/>
              </w:rPr>
            </w:pPr>
          </w:p>
        </w:tc>
        <w:tc>
          <w:tcPr>
            <w:tcW w:w="2060" w:type="dxa"/>
            <w:vAlign w:val="bottom"/>
            <w:gridSpan w:val="2"/>
            <w:vMerge w:val="continue"/>
            <w:shd w:val="clear" w:color="auto" w:fill="ECEBEB"/>
          </w:tcPr>
          <w:p>
            <w:pPr>
              <w:spacing w:after="0"/>
              <w:rPr>
                <w:sz w:val="8"/>
                <w:szCs w:val="8"/>
                <w:color w:val="auto"/>
              </w:rPr>
            </w:pPr>
          </w:p>
        </w:tc>
        <w:tc>
          <w:tcPr>
            <w:tcW w:w="900" w:type="dxa"/>
            <w:vAlign w:val="bottom"/>
            <w:shd w:val="clear" w:color="auto" w:fill="ECEBEB"/>
          </w:tcPr>
          <w:p>
            <w:pPr>
              <w:spacing w:after="0"/>
              <w:rPr>
                <w:sz w:val="8"/>
                <w:szCs w:val="8"/>
                <w:color w:val="auto"/>
              </w:rPr>
            </w:pPr>
          </w:p>
        </w:tc>
        <w:tc>
          <w:tcPr>
            <w:tcW w:w="860" w:type="dxa"/>
            <w:vAlign w:val="bottom"/>
            <w:shd w:val="clear" w:color="auto" w:fill="ECEBEB"/>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00" w:type="dxa"/>
            <w:vAlign w:val="bottom"/>
            <w:shd w:val="clear" w:color="auto" w:fill="ECEBEB"/>
          </w:tcPr>
          <w:p>
            <w:pPr>
              <w:spacing w:after="0"/>
              <w:rPr>
                <w:sz w:val="7"/>
                <w:szCs w:val="7"/>
                <w:color w:val="auto"/>
              </w:rPr>
            </w:pPr>
          </w:p>
        </w:tc>
        <w:tc>
          <w:tcPr>
            <w:tcW w:w="1200" w:type="dxa"/>
            <w:vAlign w:val="bottom"/>
            <w:vMerge w:val="continue"/>
            <w:shd w:val="clear" w:color="auto" w:fill="ECEBEB"/>
          </w:tcPr>
          <w:p>
            <w:pPr>
              <w:spacing w:after="0"/>
              <w:rPr>
                <w:sz w:val="7"/>
                <w:szCs w:val="7"/>
                <w:color w:val="auto"/>
              </w:rPr>
            </w:pPr>
          </w:p>
        </w:tc>
        <w:tc>
          <w:tcPr>
            <w:tcW w:w="1180" w:type="dxa"/>
            <w:vAlign w:val="bottom"/>
            <w:shd w:val="clear" w:color="auto" w:fill="ECEBEB"/>
          </w:tcPr>
          <w:p>
            <w:pPr>
              <w:spacing w:after="0"/>
              <w:rPr>
                <w:sz w:val="7"/>
                <w:szCs w:val="7"/>
                <w:color w:val="auto"/>
              </w:rPr>
            </w:pPr>
          </w:p>
        </w:tc>
        <w:tc>
          <w:tcPr>
            <w:tcW w:w="1160" w:type="dxa"/>
            <w:vAlign w:val="bottom"/>
            <w:vMerge w:val="continue"/>
            <w:shd w:val="clear" w:color="auto" w:fill="ECEBEB"/>
          </w:tcPr>
          <w:p>
            <w:pPr>
              <w:spacing w:after="0"/>
              <w:rPr>
                <w:sz w:val="7"/>
                <w:szCs w:val="7"/>
                <w:color w:val="auto"/>
              </w:rPr>
            </w:pPr>
          </w:p>
        </w:tc>
        <w:tc>
          <w:tcPr>
            <w:tcW w:w="1060" w:type="dxa"/>
            <w:vAlign w:val="bottom"/>
            <w:shd w:val="clear" w:color="auto" w:fill="ECEBEB"/>
          </w:tcPr>
          <w:p>
            <w:pPr>
              <w:spacing w:after="0"/>
              <w:rPr>
                <w:sz w:val="7"/>
                <w:szCs w:val="7"/>
                <w:color w:val="auto"/>
              </w:rPr>
            </w:pPr>
          </w:p>
        </w:tc>
        <w:tc>
          <w:tcPr>
            <w:tcW w:w="60" w:type="dxa"/>
            <w:vAlign w:val="bottom"/>
            <w:shd w:val="clear" w:color="auto" w:fill="ECEBEB"/>
          </w:tcPr>
          <w:p>
            <w:pPr>
              <w:spacing w:after="0"/>
              <w:rPr>
                <w:sz w:val="7"/>
                <w:szCs w:val="7"/>
                <w:color w:val="auto"/>
              </w:rPr>
            </w:pPr>
          </w:p>
        </w:tc>
        <w:tc>
          <w:tcPr>
            <w:tcW w:w="2060" w:type="dxa"/>
            <w:vAlign w:val="bottom"/>
            <w:gridSpan w:val="2"/>
            <w:vMerge w:val="restart"/>
            <w:shd w:val="clear" w:color="auto" w:fill="ECEBEB"/>
          </w:tcPr>
          <w:p>
            <w:pPr>
              <w:jc w:val="right"/>
              <w:ind w:right="182"/>
              <w:spacing w:after="0"/>
              <w:rPr>
                <w:sz w:val="20"/>
                <w:szCs w:val="20"/>
                <w:color w:val="auto"/>
              </w:rPr>
            </w:pPr>
            <w:r>
              <w:rPr>
                <w:rFonts w:ascii="Arial" w:cs="Arial" w:eastAsia="Arial" w:hAnsi="Arial"/>
                <w:sz w:val="14"/>
                <w:szCs w:val="14"/>
                <w:b w:val="1"/>
                <w:bCs w:val="1"/>
                <w:color w:val="auto"/>
              </w:rPr>
              <w:t>Investment Based On:</w:t>
            </w:r>
          </w:p>
        </w:tc>
        <w:tc>
          <w:tcPr>
            <w:tcW w:w="900" w:type="dxa"/>
            <w:vAlign w:val="bottom"/>
            <w:shd w:val="clear" w:color="auto" w:fill="ECEBEB"/>
          </w:tcPr>
          <w:p>
            <w:pPr>
              <w:spacing w:after="0"/>
              <w:rPr>
                <w:sz w:val="7"/>
                <w:szCs w:val="7"/>
                <w:color w:val="auto"/>
              </w:rPr>
            </w:pPr>
          </w:p>
        </w:tc>
        <w:tc>
          <w:tcPr>
            <w:tcW w:w="860" w:type="dxa"/>
            <w:vAlign w:val="bottom"/>
            <w:shd w:val="clear" w:color="auto" w:fill="ECEBEB"/>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0" w:type="dxa"/>
            <w:vAlign w:val="bottom"/>
            <w:tcBorders>
              <w:bottom w:val="single" w:sz="8" w:color="ECEBEB"/>
            </w:tcBorders>
            <w:shd w:val="clear" w:color="auto" w:fill="ECEBEB"/>
          </w:tcPr>
          <w:p>
            <w:pPr>
              <w:spacing w:after="0"/>
              <w:rPr>
                <w:sz w:val="9"/>
                <w:szCs w:val="9"/>
                <w:color w:val="auto"/>
              </w:rPr>
            </w:pPr>
          </w:p>
        </w:tc>
        <w:tc>
          <w:tcPr>
            <w:tcW w:w="1200" w:type="dxa"/>
            <w:vAlign w:val="bottom"/>
            <w:tcBorders>
              <w:bottom w:val="single" w:sz="8" w:color="ECEBEB"/>
            </w:tcBorders>
            <w:vMerge w:val="restart"/>
            <w:shd w:val="clear" w:color="auto" w:fill="ECEBEB"/>
          </w:tcPr>
          <w:p>
            <w:pPr>
              <w:jc w:val="cente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Borders>
              <w:bottom w:val="single" w:sz="8" w:color="ECEBEB"/>
            </w:tcBorders>
            <w:shd w:val="clear" w:color="auto" w:fill="ECEBEB"/>
          </w:tcPr>
          <w:p>
            <w:pPr>
              <w:spacing w:after="0"/>
              <w:rPr>
                <w:sz w:val="9"/>
                <w:szCs w:val="9"/>
                <w:color w:val="auto"/>
              </w:rPr>
            </w:pPr>
          </w:p>
        </w:tc>
        <w:tc>
          <w:tcPr>
            <w:tcW w:w="1160" w:type="dxa"/>
            <w:vAlign w:val="bottom"/>
            <w:tcBorders>
              <w:bottom w:val="single" w:sz="8" w:color="ECEBEB"/>
            </w:tcBorders>
            <w:vMerge w:val="restart"/>
            <w:shd w:val="clear" w:color="auto" w:fill="ECEBEB"/>
          </w:tcPr>
          <w:p>
            <w:pPr>
              <w:jc w:val="right"/>
              <w:ind w:right="84"/>
              <w:spacing w:after="0"/>
              <w:rPr>
                <w:sz w:val="20"/>
                <w:szCs w:val="20"/>
                <w:color w:val="auto"/>
              </w:rPr>
            </w:pPr>
            <w:r>
              <w:rPr>
                <w:rFonts w:ascii="Arial" w:cs="Arial" w:eastAsia="Arial" w:hAnsi="Arial"/>
                <w:sz w:val="14"/>
                <w:szCs w:val="14"/>
                <w:b w:val="1"/>
                <w:bCs w:val="1"/>
                <w:color w:val="auto"/>
              </w:rPr>
              <w:t>Table Total</w:t>
            </w:r>
          </w:p>
        </w:tc>
        <w:tc>
          <w:tcPr>
            <w:tcW w:w="1060" w:type="dxa"/>
            <w:vAlign w:val="bottom"/>
            <w:tcBorders>
              <w:bottom w:val="single" w:sz="8" w:color="ECEBEB"/>
            </w:tcBorders>
            <w:vMerge w:val="restart"/>
            <w:shd w:val="clear" w:color="auto" w:fill="ECEBEB"/>
          </w:tcPr>
          <w:p>
            <w:pPr>
              <w:ind w:left="120"/>
              <w:spacing w:after="0"/>
              <w:rPr>
                <w:sz w:val="20"/>
                <w:szCs w:val="20"/>
                <w:color w:val="auto"/>
              </w:rPr>
            </w:pPr>
            <w:r>
              <w:rPr>
                <w:rFonts w:ascii="Arial" w:cs="Arial" w:eastAsia="Arial" w:hAnsi="Arial"/>
                <w:sz w:val="14"/>
                <w:szCs w:val="14"/>
                <w:b w:val="1"/>
                <w:bCs w:val="1"/>
                <w:color w:val="auto"/>
              </w:rPr>
              <w:t>Average CAP</w:t>
            </w:r>
          </w:p>
        </w:tc>
        <w:tc>
          <w:tcPr>
            <w:tcW w:w="60" w:type="dxa"/>
            <w:vAlign w:val="bottom"/>
            <w:tcBorders>
              <w:bottom w:val="single" w:sz="8" w:color="ECEBEB"/>
            </w:tcBorders>
            <w:shd w:val="clear" w:color="auto" w:fill="ECEBEB"/>
          </w:tcPr>
          <w:p>
            <w:pPr>
              <w:spacing w:after="0"/>
              <w:rPr>
                <w:sz w:val="9"/>
                <w:szCs w:val="9"/>
                <w:color w:val="auto"/>
              </w:rPr>
            </w:pPr>
          </w:p>
        </w:tc>
        <w:tc>
          <w:tcPr>
            <w:tcW w:w="2060" w:type="dxa"/>
            <w:vAlign w:val="bottom"/>
            <w:tcBorders>
              <w:bottom w:val="single" w:sz="8" w:color="0956FF"/>
            </w:tcBorders>
            <w:gridSpan w:val="2"/>
            <w:vMerge w:val="continue"/>
            <w:shd w:val="clear" w:color="auto" w:fill="ECEBEB"/>
          </w:tcPr>
          <w:p>
            <w:pPr>
              <w:spacing w:after="0"/>
              <w:rPr>
                <w:sz w:val="9"/>
                <w:szCs w:val="9"/>
                <w:color w:val="auto"/>
              </w:rPr>
            </w:pPr>
          </w:p>
        </w:tc>
        <w:tc>
          <w:tcPr>
            <w:tcW w:w="900" w:type="dxa"/>
            <w:vAlign w:val="bottom"/>
            <w:tcBorders>
              <w:bottom w:val="single" w:sz="8" w:color="ECEBEB"/>
            </w:tcBorders>
            <w:shd w:val="clear" w:color="auto" w:fill="ECEBEB"/>
          </w:tcPr>
          <w:p>
            <w:pPr>
              <w:spacing w:after="0"/>
              <w:rPr>
                <w:sz w:val="9"/>
                <w:szCs w:val="9"/>
                <w:color w:val="auto"/>
              </w:rPr>
            </w:pPr>
          </w:p>
        </w:tc>
        <w:tc>
          <w:tcPr>
            <w:tcW w:w="860" w:type="dxa"/>
            <w:vAlign w:val="bottom"/>
            <w:tcBorders>
              <w:bottom w:val="single" w:sz="8" w:color="ECEBEB"/>
            </w:tcBorders>
            <w:shd w:val="clear" w:color="auto" w:fill="ECEBEB"/>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600" w:type="dxa"/>
            <w:vAlign w:val="bottom"/>
            <w:shd w:val="clear" w:color="auto" w:fill="ECEBEB"/>
          </w:tcPr>
          <w:p>
            <w:pPr>
              <w:spacing w:after="0"/>
              <w:rPr>
                <w:sz w:val="3"/>
                <w:szCs w:val="3"/>
                <w:color w:val="auto"/>
              </w:rPr>
            </w:pPr>
          </w:p>
        </w:tc>
        <w:tc>
          <w:tcPr>
            <w:tcW w:w="1200" w:type="dxa"/>
            <w:vAlign w:val="bottom"/>
            <w:vMerge w:val="continue"/>
            <w:shd w:val="clear" w:color="auto" w:fill="ECEBEB"/>
          </w:tcPr>
          <w:p>
            <w:pPr>
              <w:spacing w:after="0"/>
              <w:rPr>
                <w:sz w:val="3"/>
                <w:szCs w:val="3"/>
                <w:color w:val="auto"/>
              </w:rPr>
            </w:pPr>
          </w:p>
        </w:tc>
        <w:tc>
          <w:tcPr>
            <w:tcW w:w="1180" w:type="dxa"/>
            <w:vAlign w:val="bottom"/>
            <w:shd w:val="clear" w:color="auto" w:fill="ECEBEB"/>
          </w:tcPr>
          <w:p>
            <w:pPr>
              <w:spacing w:after="0"/>
              <w:rPr>
                <w:sz w:val="3"/>
                <w:szCs w:val="3"/>
                <w:color w:val="auto"/>
              </w:rPr>
            </w:pPr>
          </w:p>
        </w:tc>
        <w:tc>
          <w:tcPr>
            <w:tcW w:w="1160" w:type="dxa"/>
            <w:vAlign w:val="bottom"/>
            <w:vMerge w:val="continue"/>
            <w:shd w:val="clear" w:color="auto" w:fill="ECEBEB"/>
          </w:tcPr>
          <w:p>
            <w:pPr>
              <w:spacing w:after="0"/>
              <w:rPr>
                <w:sz w:val="3"/>
                <w:szCs w:val="3"/>
                <w:color w:val="auto"/>
              </w:rPr>
            </w:pPr>
          </w:p>
        </w:tc>
        <w:tc>
          <w:tcPr>
            <w:tcW w:w="1060" w:type="dxa"/>
            <w:vAlign w:val="bottom"/>
            <w:vMerge w:val="continue"/>
            <w:shd w:val="clear" w:color="auto" w:fill="ECEBEB"/>
          </w:tcPr>
          <w:p>
            <w:pPr>
              <w:spacing w:after="0"/>
              <w:rPr>
                <w:sz w:val="3"/>
                <w:szCs w:val="3"/>
                <w:color w:val="auto"/>
              </w:rPr>
            </w:pPr>
          </w:p>
        </w:tc>
        <w:tc>
          <w:tcPr>
            <w:tcW w:w="60" w:type="dxa"/>
            <w:vAlign w:val="bottom"/>
            <w:shd w:val="clear" w:color="auto" w:fill="ECEBEB"/>
          </w:tcPr>
          <w:p>
            <w:pPr>
              <w:spacing w:after="0"/>
              <w:rPr>
                <w:sz w:val="3"/>
                <w:szCs w:val="3"/>
                <w:color w:val="auto"/>
              </w:rPr>
            </w:pPr>
          </w:p>
        </w:tc>
        <w:tc>
          <w:tcPr>
            <w:tcW w:w="1140" w:type="dxa"/>
            <w:vAlign w:val="bottom"/>
            <w:shd w:val="clear" w:color="auto" w:fill="ECEBEB"/>
          </w:tcPr>
          <w:p>
            <w:pPr>
              <w:spacing w:after="0"/>
              <w:rPr>
                <w:sz w:val="3"/>
                <w:szCs w:val="3"/>
                <w:color w:val="auto"/>
              </w:rPr>
            </w:pPr>
          </w:p>
        </w:tc>
        <w:tc>
          <w:tcPr>
            <w:tcW w:w="920" w:type="dxa"/>
            <w:vAlign w:val="bottom"/>
            <w:vMerge w:val="restart"/>
            <w:shd w:val="clear" w:color="auto" w:fill="ECEBEB"/>
          </w:tcPr>
          <w:p>
            <w:pPr>
              <w:jc w:val="right"/>
              <w:spacing w:after="0"/>
              <w:rPr>
                <w:sz w:val="20"/>
                <w:szCs w:val="20"/>
                <w:color w:val="auto"/>
              </w:rPr>
            </w:pPr>
            <w:r>
              <w:rPr>
                <w:rFonts w:ascii="Arial" w:cs="Arial" w:eastAsia="Arial" w:hAnsi="Arial"/>
                <w:sz w:val="14"/>
                <w:szCs w:val="14"/>
                <w:b w:val="1"/>
                <w:bCs w:val="1"/>
                <w:color w:val="auto"/>
              </w:rPr>
              <w:t>Peer Group</w:t>
            </w:r>
          </w:p>
        </w:tc>
        <w:tc>
          <w:tcPr>
            <w:tcW w:w="900" w:type="dxa"/>
            <w:vAlign w:val="bottom"/>
            <w:shd w:val="clear" w:color="auto" w:fill="ECEBEB"/>
          </w:tcPr>
          <w:p>
            <w:pPr>
              <w:spacing w:after="0"/>
              <w:rPr>
                <w:sz w:val="3"/>
                <w:szCs w:val="3"/>
                <w:color w:val="auto"/>
              </w:rPr>
            </w:pPr>
          </w:p>
        </w:tc>
        <w:tc>
          <w:tcPr>
            <w:tcW w:w="860" w:type="dxa"/>
            <w:vAlign w:val="bottom"/>
            <w:shd w:val="clear" w:color="auto" w:fill="ECEBE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600" w:type="dxa"/>
            <w:vAlign w:val="bottom"/>
            <w:shd w:val="clear" w:color="auto" w:fill="ECEBEB"/>
          </w:tcPr>
          <w:p>
            <w:pPr>
              <w:spacing w:after="0"/>
              <w:rPr>
                <w:sz w:val="12"/>
                <w:szCs w:val="12"/>
                <w:color w:val="auto"/>
              </w:rPr>
            </w:pPr>
          </w:p>
        </w:tc>
        <w:tc>
          <w:tcPr>
            <w:tcW w:w="1200" w:type="dxa"/>
            <w:vAlign w:val="bottom"/>
            <w:shd w:val="clear" w:color="auto" w:fill="ECEBEB"/>
          </w:tcPr>
          <w:p>
            <w:pPr>
              <w:jc w:val="right"/>
              <w:ind w:right="64"/>
              <w:spacing w:after="0" w:line="146" w:lineRule="exact"/>
              <w:rPr>
                <w:sz w:val="20"/>
                <w:szCs w:val="20"/>
                <w:color w:val="auto"/>
              </w:rPr>
            </w:pPr>
            <w:r>
              <w:rPr>
                <w:rFonts w:ascii="Arial" w:cs="Arial" w:eastAsia="Arial" w:hAnsi="Arial"/>
                <w:sz w:val="14"/>
                <w:szCs w:val="14"/>
                <w:b w:val="1"/>
                <w:bCs w:val="1"/>
                <w:color w:val="auto"/>
              </w:rPr>
              <w:t>Table Total</w:t>
            </w:r>
          </w:p>
        </w:tc>
        <w:tc>
          <w:tcPr>
            <w:tcW w:w="1180" w:type="dxa"/>
            <w:vAlign w:val="bottom"/>
            <w:shd w:val="clear" w:color="auto" w:fill="ECEBEB"/>
          </w:tcPr>
          <w:p>
            <w:pPr>
              <w:spacing w:after="0"/>
              <w:rPr>
                <w:sz w:val="12"/>
                <w:szCs w:val="12"/>
                <w:color w:val="auto"/>
              </w:rPr>
            </w:pPr>
          </w:p>
        </w:tc>
        <w:tc>
          <w:tcPr>
            <w:tcW w:w="1160" w:type="dxa"/>
            <w:vAlign w:val="bottom"/>
            <w:shd w:val="clear" w:color="auto" w:fill="ECEBEB"/>
          </w:tcPr>
          <w:p>
            <w:pPr>
              <w:ind w:left="180"/>
              <w:spacing w:after="0" w:line="146" w:lineRule="exact"/>
              <w:rPr>
                <w:sz w:val="20"/>
                <w:szCs w:val="20"/>
                <w:color w:val="auto"/>
              </w:rPr>
            </w:pPr>
            <w:r>
              <w:rPr>
                <w:rFonts w:ascii="Arial" w:cs="Arial" w:eastAsia="Arial" w:hAnsi="Arial"/>
                <w:sz w:val="14"/>
                <w:szCs w:val="14"/>
                <w:b w:val="1"/>
                <w:bCs w:val="1"/>
                <w:color w:val="auto"/>
              </w:rPr>
              <w:t>for Non-CEO</w:t>
            </w:r>
          </w:p>
        </w:tc>
        <w:tc>
          <w:tcPr>
            <w:tcW w:w="1060" w:type="dxa"/>
            <w:vAlign w:val="bottom"/>
            <w:shd w:val="clear" w:color="auto" w:fill="ECEBEB"/>
          </w:tcPr>
          <w:p>
            <w:pPr>
              <w:ind w:left="220"/>
              <w:spacing w:after="0" w:line="146" w:lineRule="exact"/>
              <w:rPr>
                <w:sz w:val="20"/>
                <w:szCs w:val="20"/>
                <w:color w:val="auto"/>
              </w:rPr>
            </w:pPr>
            <w:r>
              <w:rPr>
                <w:rFonts w:ascii="Arial" w:cs="Arial" w:eastAsia="Arial" w:hAnsi="Arial"/>
                <w:sz w:val="14"/>
                <w:szCs w:val="14"/>
                <w:b w:val="1"/>
                <w:bCs w:val="1"/>
                <w:color w:val="auto"/>
              </w:rPr>
              <w:t>to Non-CEO</w:t>
            </w:r>
          </w:p>
        </w:tc>
        <w:tc>
          <w:tcPr>
            <w:tcW w:w="60" w:type="dxa"/>
            <w:vAlign w:val="bottom"/>
            <w:shd w:val="clear" w:color="auto" w:fill="ECEBEB"/>
          </w:tcPr>
          <w:p>
            <w:pPr>
              <w:spacing w:after="0"/>
              <w:rPr>
                <w:sz w:val="12"/>
                <w:szCs w:val="12"/>
                <w:color w:val="auto"/>
              </w:rPr>
            </w:pPr>
          </w:p>
        </w:tc>
        <w:tc>
          <w:tcPr>
            <w:tcW w:w="1140" w:type="dxa"/>
            <w:vAlign w:val="bottom"/>
            <w:shd w:val="clear" w:color="auto" w:fill="ECEBEB"/>
          </w:tcPr>
          <w:p>
            <w:pPr>
              <w:spacing w:after="0"/>
              <w:rPr>
                <w:sz w:val="12"/>
                <w:szCs w:val="12"/>
                <w:color w:val="auto"/>
              </w:rPr>
            </w:pPr>
          </w:p>
        </w:tc>
        <w:tc>
          <w:tcPr>
            <w:tcW w:w="920" w:type="dxa"/>
            <w:vAlign w:val="bottom"/>
            <w:vMerge w:val="continue"/>
            <w:shd w:val="clear" w:color="auto" w:fill="ECEBEB"/>
          </w:tcPr>
          <w:p>
            <w:pPr>
              <w:spacing w:after="0"/>
              <w:rPr>
                <w:sz w:val="12"/>
                <w:szCs w:val="12"/>
                <w:color w:val="auto"/>
              </w:rPr>
            </w:pPr>
          </w:p>
        </w:tc>
        <w:tc>
          <w:tcPr>
            <w:tcW w:w="900" w:type="dxa"/>
            <w:vAlign w:val="bottom"/>
            <w:shd w:val="clear" w:color="auto" w:fill="ECEBEB"/>
          </w:tcPr>
          <w:p>
            <w:pPr>
              <w:jc w:val="right"/>
              <w:ind w:right="42"/>
              <w:spacing w:after="0" w:line="146" w:lineRule="exact"/>
              <w:rPr>
                <w:sz w:val="20"/>
                <w:szCs w:val="20"/>
                <w:color w:val="auto"/>
              </w:rPr>
            </w:pPr>
            <w:r>
              <w:rPr>
                <w:rFonts w:ascii="Arial" w:cs="Arial" w:eastAsia="Arial" w:hAnsi="Arial"/>
                <w:sz w:val="14"/>
                <w:szCs w:val="14"/>
                <w:b w:val="1"/>
                <w:bCs w:val="1"/>
                <w:color w:val="auto"/>
              </w:rPr>
              <w:t>Net</w:t>
            </w:r>
          </w:p>
        </w:tc>
        <w:tc>
          <w:tcPr>
            <w:tcW w:w="860" w:type="dxa"/>
            <w:vAlign w:val="bottom"/>
            <w:shd w:val="clear" w:color="auto" w:fill="ECEBEB"/>
          </w:tcPr>
          <w:p>
            <w:pPr>
              <w:jc w:val="right"/>
              <w:ind w:right="2"/>
              <w:spacing w:after="0" w:line="146" w:lineRule="exact"/>
              <w:rPr>
                <w:sz w:val="20"/>
                <w:szCs w:val="20"/>
                <w:color w:val="auto"/>
              </w:rPr>
            </w:pPr>
            <w:r>
              <w:rPr>
                <w:rFonts w:ascii="Arial" w:cs="Arial" w:eastAsia="Arial" w:hAnsi="Arial"/>
                <w:sz w:val="14"/>
                <w:szCs w:val="14"/>
                <w:b w:val="1"/>
                <w:bCs w:val="1"/>
                <w:color w:val="auto"/>
              </w:rPr>
              <w:t>EBIT-</w:t>
            </w:r>
          </w:p>
        </w:tc>
        <w:tc>
          <w:tcPr>
            <w:tcW w:w="0" w:type="dxa"/>
            <w:vAlign w:val="bottom"/>
          </w:tcPr>
          <w:p>
            <w:pPr>
              <w:spacing w:after="0"/>
              <w:rPr>
                <w:sz w:val="1"/>
                <w:szCs w:val="1"/>
                <w:color w:val="auto"/>
              </w:rPr>
            </w:pPr>
          </w:p>
        </w:tc>
      </w:tr>
      <w:tr>
        <w:trPr>
          <w:trHeight w:val="191"/>
        </w:trPr>
        <w:tc>
          <w:tcPr>
            <w:tcW w:w="600" w:type="dxa"/>
            <w:vAlign w:val="bottom"/>
            <w:shd w:val="clear" w:color="auto" w:fill="ECEBEB"/>
          </w:tcPr>
          <w:p>
            <w:pPr>
              <w:spacing w:after="0"/>
              <w:rPr>
                <w:sz w:val="16"/>
                <w:szCs w:val="16"/>
                <w:color w:val="auto"/>
              </w:rPr>
            </w:pPr>
          </w:p>
        </w:tc>
        <w:tc>
          <w:tcPr>
            <w:tcW w:w="1200" w:type="dxa"/>
            <w:vAlign w:val="bottom"/>
            <w:shd w:val="clear" w:color="auto" w:fill="ECEBEB"/>
          </w:tcPr>
          <w:p>
            <w:pPr>
              <w:jc w:val="right"/>
              <w:ind w:right="44"/>
              <w:spacing w:after="0" w:line="191" w:lineRule="exact"/>
              <w:rPr>
                <w:sz w:val="20"/>
                <w:szCs w:val="20"/>
                <w:color w:val="auto"/>
              </w:rPr>
            </w:pPr>
            <w:r>
              <w:rPr>
                <w:rFonts w:ascii="Arial" w:cs="Arial" w:eastAsia="Arial" w:hAnsi="Arial"/>
                <w:sz w:val="14"/>
                <w:szCs w:val="14"/>
                <w:b w:val="1"/>
                <w:bCs w:val="1"/>
                <w:color w:val="auto"/>
              </w:rPr>
              <w:t>for CEO</w:t>
            </w:r>
            <w:r>
              <w:rPr>
                <w:rFonts w:ascii="Arial" w:cs="Arial" w:eastAsia="Arial" w:hAnsi="Arial"/>
                <w:sz w:val="18"/>
                <w:szCs w:val="18"/>
                <w:b w:val="1"/>
                <w:bCs w:val="1"/>
                <w:color w:val="auto"/>
                <w:vertAlign w:val="superscript"/>
              </w:rPr>
              <w:t>(1)</w:t>
            </w:r>
          </w:p>
        </w:tc>
        <w:tc>
          <w:tcPr>
            <w:tcW w:w="1180" w:type="dxa"/>
            <w:vAlign w:val="bottom"/>
            <w:shd w:val="clear" w:color="auto" w:fill="ECEBEB"/>
          </w:tcPr>
          <w:p>
            <w:pPr>
              <w:jc w:val="center"/>
              <w:spacing w:after="0" w:line="191" w:lineRule="exact"/>
              <w:rPr>
                <w:sz w:val="20"/>
                <w:szCs w:val="20"/>
                <w:color w:val="auto"/>
              </w:rPr>
            </w:pPr>
            <w:r>
              <w:rPr>
                <w:rFonts w:ascii="Arial" w:cs="Arial" w:eastAsia="Arial" w:hAnsi="Arial"/>
                <w:sz w:val="14"/>
                <w:szCs w:val="14"/>
                <w:b w:val="1"/>
                <w:bCs w:val="1"/>
                <w:color w:val="auto"/>
                <w:w w:val="96"/>
              </w:rPr>
              <w:t>CAP to CEO</w:t>
            </w:r>
            <w:r>
              <w:rPr>
                <w:rFonts w:ascii="Arial" w:cs="Arial" w:eastAsia="Arial" w:hAnsi="Arial"/>
                <w:sz w:val="18"/>
                <w:szCs w:val="18"/>
                <w:b w:val="1"/>
                <w:bCs w:val="1"/>
                <w:color w:val="auto"/>
                <w:w w:val="96"/>
                <w:vertAlign w:val="superscript"/>
              </w:rPr>
              <w:t>(3)</w:t>
            </w:r>
          </w:p>
        </w:tc>
        <w:tc>
          <w:tcPr>
            <w:tcW w:w="1160" w:type="dxa"/>
            <w:vAlign w:val="bottom"/>
            <w:shd w:val="clear" w:color="auto" w:fill="ECEBEB"/>
          </w:tcPr>
          <w:p>
            <w:pPr>
              <w:jc w:val="right"/>
              <w:ind w:right="64"/>
              <w:spacing w:after="0" w:line="191" w:lineRule="exact"/>
              <w:rPr>
                <w:sz w:val="20"/>
                <w:szCs w:val="20"/>
                <w:color w:val="auto"/>
              </w:rPr>
            </w:pPr>
            <w:r>
              <w:rPr>
                <w:rFonts w:ascii="Arial" w:cs="Arial" w:eastAsia="Arial" w:hAnsi="Arial"/>
                <w:sz w:val="14"/>
                <w:szCs w:val="14"/>
                <w:b w:val="1"/>
                <w:bCs w:val="1"/>
                <w:color w:val="auto"/>
              </w:rPr>
              <w:t>NEOs</w:t>
            </w:r>
            <w:r>
              <w:rPr>
                <w:rFonts w:ascii="Arial" w:cs="Arial" w:eastAsia="Arial" w:hAnsi="Arial"/>
                <w:sz w:val="18"/>
                <w:szCs w:val="18"/>
                <w:b w:val="1"/>
                <w:bCs w:val="1"/>
                <w:color w:val="auto"/>
                <w:vertAlign w:val="superscript"/>
              </w:rPr>
              <w:t>(2)</w:t>
            </w:r>
          </w:p>
        </w:tc>
        <w:tc>
          <w:tcPr>
            <w:tcW w:w="1060" w:type="dxa"/>
            <w:vAlign w:val="bottom"/>
            <w:shd w:val="clear" w:color="auto" w:fill="ECEBEB"/>
          </w:tcPr>
          <w:p>
            <w:pPr>
              <w:jc w:val="right"/>
              <w:spacing w:after="0" w:line="191" w:lineRule="exact"/>
              <w:rPr>
                <w:sz w:val="20"/>
                <w:szCs w:val="20"/>
                <w:color w:val="auto"/>
              </w:rPr>
            </w:pPr>
            <w:r>
              <w:rPr>
                <w:rFonts w:ascii="Arial" w:cs="Arial" w:eastAsia="Arial" w:hAnsi="Arial"/>
                <w:sz w:val="14"/>
                <w:szCs w:val="14"/>
                <w:b w:val="1"/>
                <w:bCs w:val="1"/>
                <w:color w:val="auto"/>
              </w:rPr>
              <w:t>NEOs</w:t>
            </w:r>
            <w:r>
              <w:rPr>
                <w:rFonts w:ascii="Arial" w:cs="Arial" w:eastAsia="Arial" w:hAnsi="Arial"/>
                <w:sz w:val="18"/>
                <w:szCs w:val="18"/>
                <w:b w:val="1"/>
                <w:bCs w:val="1"/>
                <w:color w:val="auto"/>
                <w:vertAlign w:val="superscript"/>
              </w:rPr>
              <w:t>(3)</w:t>
            </w:r>
          </w:p>
        </w:tc>
        <w:tc>
          <w:tcPr>
            <w:tcW w:w="60" w:type="dxa"/>
            <w:vAlign w:val="bottom"/>
            <w:shd w:val="clear" w:color="auto" w:fill="ECEBEB"/>
          </w:tcPr>
          <w:p>
            <w:pPr>
              <w:spacing w:after="0"/>
              <w:rPr>
                <w:sz w:val="16"/>
                <w:szCs w:val="16"/>
                <w:color w:val="auto"/>
              </w:rPr>
            </w:pPr>
          </w:p>
        </w:tc>
        <w:tc>
          <w:tcPr>
            <w:tcW w:w="1140" w:type="dxa"/>
            <w:vAlign w:val="bottom"/>
            <w:shd w:val="clear" w:color="auto" w:fill="ECEBEB"/>
          </w:tcPr>
          <w:p>
            <w:pPr>
              <w:ind w:left="600"/>
              <w:spacing w:after="0" w:line="191" w:lineRule="exact"/>
              <w:rPr>
                <w:sz w:val="20"/>
                <w:szCs w:val="20"/>
                <w:color w:val="auto"/>
              </w:rPr>
            </w:pPr>
            <w:r>
              <w:rPr>
                <w:rFonts w:ascii="Arial" w:cs="Arial" w:eastAsia="Arial" w:hAnsi="Arial"/>
                <w:sz w:val="14"/>
                <w:szCs w:val="14"/>
                <w:b w:val="1"/>
                <w:bCs w:val="1"/>
                <w:color w:val="auto"/>
              </w:rPr>
              <w:t>TSR</w:t>
            </w:r>
            <w:r>
              <w:rPr>
                <w:rFonts w:ascii="Arial" w:cs="Arial" w:eastAsia="Arial" w:hAnsi="Arial"/>
                <w:sz w:val="18"/>
                <w:szCs w:val="18"/>
                <w:b w:val="1"/>
                <w:bCs w:val="1"/>
                <w:color w:val="auto"/>
                <w:vertAlign w:val="superscript"/>
              </w:rPr>
              <w:t>(4)</w:t>
            </w:r>
          </w:p>
        </w:tc>
        <w:tc>
          <w:tcPr>
            <w:tcW w:w="920" w:type="dxa"/>
            <w:vAlign w:val="bottom"/>
            <w:shd w:val="clear" w:color="auto" w:fill="ECEBEB"/>
          </w:tcPr>
          <w:p>
            <w:pPr>
              <w:jc w:val="right"/>
              <w:spacing w:after="0" w:line="191" w:lineRule="exact"/>
              <w:rPr>
                <w:sz w:val="20"/>
                <w:szCs w:val="20"/>
                <w:color w:val="auto"/>
              </w:rPr>
            </w:pPr>
            <w:r>
              <w:rPr>
                <w:rFonts w:ascii="Arial" w:cs="Arial" w:eastAsia="Arial" w:hAnsi="Arial"/>
                <w:sz w:val="14"/>
                <w:szCs w:val="14"/>
                <w:b w:val="1"/>
                <w:bCs w:val="1"/>
                <w:color w:val="auto"/>
              </w:rPr>
              <w:t>TSR</w:t>
            </w:r>
            <w:r>
              <w:rPr>
                <w:rFonts w:ascii="Arial" w:cs="Arial" w:eastAsia="Arial" w:hAnsi="Arial"/>
                <w:sz w:val="18"/>
                <w:szCs w:val="18"/>
                <w:b w:val="1"/>
                <w:bCs w:val="1"/>
                <w:color w:val="auto"/>
                <w:vertAlign w:val="superscript"/>
              </w:rPr>
              <w:t>(5)</w:t>
            </w:r>
          </w:p>
        </w:tc>
        <w:tc>
          <w:tcPr>
            <w:tcW w:w="900" w:type="dxa"/>
            <w:vAlign w:val="bottom"/>
            <w:shd w:val="clear" w:color="auto" w:fill="ECEBEB"/>
          </w:tcPr>
          <w:p>
            <w:pPr>
              <w:jc w:val="right"/>
              <w:ind w:right="42"/>
              <w:spacing w:after="0" w:line="191" w:lineRule="exact"/>
              <w:rPr>
                <w:sz w:val="20"/>
                <w:szCs w:val="20"/>
                <w:color w:val="auto"/>
              </w:rPr>
            </w:pPr>
            <w:r>
              <w:rPr>
                <w:rFonts w:ascii="Arial" w:cs="Arial" w:eastAsia="Arial" w:hAnsi="Arial"/>
                <w:sz w:val="14"/>
                <w:szCs w:val="14"/>
                <w:b w:val="1"/>
                <w:bCs w:val="1"/>
                <w:color w:val="auto"/>
              </w:rPr>
              <w:t>Income</w:t>
            </w:r>
            <w:r>
              <w:rPr>
                <w:rFonts w:ascii="Arial" w:cs="Arial" w:eastAsia="Arial" w:hAnsi="Arial"/>
                <w:sz w:val="18"/>
                <w:szCs w:val="18"/>
                <w:b w:val="1"/>
                <w:bCs w:val="1"/>
                <w:color w:val="auto"/>
                <w:vertAlign w:val="superscript"/>
              </w:rPr>
              <w:t>(6)</w:t>
            </w:r>
          </w:p>
        </w:tc>
        <w:tc>
          <w:tcPr>
            <w:tcW w:w="860" w:type="dxa"/>
            <w:vAlign w:val="bottom"/>
            <w:shd w:val="clear" w:color="auto" w:fill="ECEBEB"/>
          </w:tcPr>
          <w:p>
            <w:pPr>
              <w:jc w:val="right"/>
              <w:spacing w:after="0" w:line="191"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18"/>
                <w:szCs w:val="18"/>
                <w:b w:val="1"/>
                <w:bCs w:val="1"/>
                <w:color w:val="auto"/>
                <w:vertAlign w:val="superscript"/>
              </w:rPr>
              <w:t>(7)</w:t>
            </w:r>
          </w:p>
        </w:tc>
        <w:tc>
          <w:tcPr>
            <w:tcW w:w="0" w:type="dxa"/>
            <w:vAlign w:val="bottom"/>
          </w:tcPr>
          <w:p>
            <w:pPr>
              <w:spacing w:after="0"/>
              <w:rPr>
                <w:sz w:val="1"/>
                <w:szCs w:val="1"/>
                <w:color w:val="auto"/>
              </w:rPr>
            </w:pPr>
          </w:p>
        </w:tc>
      </w:tr>
      <w:tr>
        <w:trPr>
          <w:trHeight w:val="198"/>
        </w:trPr>
        <w:tc>
          <w:tcPr>
            <w:tcW w:w="600" w:type="dxa"/>
            <w:vAlign w:val="bottom"/>
            <w:tcBorders>
              <w:bottom w:val="single" w:sz="8" w:color="0956FF"/>
            </w:tcBorders>
            <w:shd w:val="clear" w:color="auto" w:fill="ECEBEB"/>
          </w:tcPr>
          <w:p>
            <w:pPr>
              <w:jc w:val="right"/>
              <w:ind w:right="41"/>
              <w:spacing w:after="0"/>
              <w:rPr>
                <w:sz w:val="20"/>
                <w:szCs w:val="20"/>
                <w:color w:val="auto"/>
              </w:rPr>
            </w:pPr>
            <w:r>
              <w:rPr>
                <w:rFonts w:ascii="Arial" w:cs="Arial" w:eastAsia="Arial" w:hAnsi="Arial"/>
                <w:sz w:val="14"/>
                <w:szCs w:val="14"/>
                <w:b w:val="1"/>
                <w:bCs w:val="1"/>
                <w:color w:val="auto"/>
              </w:rPr>
              <w:t>Year</w:t>
            </w:r>
          </w:p>
        </w:tc>
        <w:tc>
          <w:tcPr>
            <w:tcW w:w="1200" w:type="dxa"/>
            <w:vAlign w:val="bottom"/>
            <w:tcBorders>
              <w:bottom w:val="single" w:sz="8" w:color="0956FF"/>
            </w:tcBorders>
            <w:shd w:val="clear" w:color="auto" w:fill="ECEBEB"/>
          </w:tcPr>
          <w:p>
            <w:pPr>
              <w:jc w:val="right"/>
              <w:ind w:right="64"/>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956FF"/>
            </w:tcBorders>
            <w:shd w:val="clear" w:color="auto" w:fill="ECEBEB"/>
          </w:tcPr>
          <w:p>
            <w:pPr>
              <w:jc w:val="right"/>
              <w:ind w:right="102"/>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956FF"/>
            </w:tcBorders>
            <w:shd w:val="clear" w:color="auto" w:fill="ECEBEB"/>
          </w:tcPr>
          <w:p>
            <w:pPr>
              <w:jc w:val="right"/>
              <w:ind w:right="64"/>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0956FF"/>
            </w:tcBorders>
            <w:shd w:val="clear" w:color="auto" w:fill="ECEBEB"/>
          </w:tcPr>
          <w:p>
            <w:pPr>
              <w:spacing w:after="0"/>
              <w:rPr>
                <w:sz w:val="17"/>
                <w:szCs w:val="17"/>
                <w:color w:val="auto"/>
              </w:rPr>
            </w:pPr>
          </w:p>
        </w:tc>
        <w:tc>
          <w:tcPr>
            <w:tcW w:w="1140" w:type="dxa"/>
            <w:vAlign w:val="bottom"/>
            <w:tcBorders>
              <w:bottom w:val="single" w:sz="8" w:color="0956FF"/>
            </w:tcBorders>
            <w:shd w:val="clear" w:color="auto" w:fill="ECEBEB"/>
          </w:tcPr>
          <w:p>
            <w:pPr>
              <w:ind w:left="8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0956FF"/>
            </w:tcBorders>
            <w:shd w:val="clear" w:color="auto" w:fill="ECEBEB"/>
          </w:tcPr>
          <w:p>
            <w:pPr>
              <w:jc w:val="right"/>
              <w:ind w:right="2"/>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0956FF"/>
            </w:tcBorders>
            <w:shd w:val="clear" w:color="auto" w:fill="ECEBEB"/>
          </w:tcPr>
          <w:p>
            <w:pPr>
              <w:jc w:val="right"/>
              <w:ind w:right="42"/>
              <w:spacing w:after="0"/>
              <w:rPr>
                <w:sz w:val="20"/>
                <w:szCs w:val="20"/>
                <w:color w:val="auto"/>
              </w:rPr>
            </w:pPr>
            <w:r>
              <w:rPr>
                <w:rFonts w:ascii="Arial" w:cs="Arial" w:eastAsia="Arial" w:hAnsi="Arial"/>
                <w:sz w:val="14"/>
                <w:szCs w:val="14"/>
                <w:b w:val="1"/>
                <w:bCs w:val="1"/>
                <w:color w:val="auto"/>
              </w:rPr>
              <w:t>($B)</w:t>
            </w:r>
          </w:p>
        </w:tc>
        <w:tc>
          <w:tcPr>
            <w:tcW w:w="86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249"/>
        </w:trPr>
        <w:tc>
          <w:tcPr>
            <w:tcW w:w="600" w:type="dxa"/>
            <w:vAlign w:val="bottom"/>
            <w:tcBorders>
              <w:bottom w:val="single" w:sz="8" w:color="D8D7D7"/>
            </w:tcBorders>
          </w:tcPr>
          <w:p>
            <w:pPr>
              <w:jc w:val="right"/>
              <w:ind w:right="101"/>
              <w:spacing w:after="0"/>
              <w:rPr>
                <w:sz w:val="20"/>
                <w:szCs w:val="20"/>
                <w:color w:val="auto"/>
              </w:rPr>
            </w:pPr>
            <w:r>
              <w:rPr>
                <w:rFonts w:ascii="Arial" w:cs="Arial" w:eastAsia="Arial" w:hAnsi="Arial"/>
                <w:sz w:val="16"/>
                <w:szCs w:val="16"/>
                <w:color w:val="auto"/>
              </w:rPr>
              <w:t>2025</w:t>
            </w:r>
          </w:p>
        </w:tc>
        <w:tc>
          <w:tcPr>
            <w:tcW w:w="1200" w:type="dxa"/>
            <w:vAlign w:val="bottom"/>
            <w:tcBorders>
              <w:bottom w:val="single" w:sz="8" w:color="D8D7D7"/>
            </w:tcBorders>
          </w:tcPr>
          <w:p>
            <w:pPr>
              <w:jc w:val="center"/>
              <w:spacing w:after="0"/>
              <w:rPr>
                <w:sz w:val="20"/>
                <w:szCs w:val="20"/>
                <w:color w:val="auto"/>
              </w:rPr>
            </w:pPr>
            <w:r>
              <w:rPr>
                <w:rFonts w:ascii="Arial" w:cs="Arial" w:eastAsia="Arial" w:hAnsi="Arial"/>
                <w:sz w:val="16"/>
                <w:szCs w:val="16"/>
                <w:color w:val="auto"/>
                <w:w w:val="99"/>
              </w:rPr>
              <w:t>29,895,868</w:t>
            </w:r>
          </w:p>
        </w:tc>
        <w:tc>
          <w:tcPr>
            <w:tcW w:w="1180" w:type="dxa"/>
            <w:vAlign w:val="bottom"/>
            <w:tcBorders>
              <w:bottom w:val="single" w:sz="8" w:color="D8D7D7"/>
            </w:tcBorders>
          </w:tcPr>
          <w:p>
            <w:pPr>
              <w:jc w:val="center"/>
              <w:ind w:right="2"/>
              <w:spacing w:after="0"/>
              <w:rPr>
                <w:sz w:val="20"/>
                <w:szCs w:val="20"/>
                <w:color w:val="auto"/>
              </w:rPr>
            </w:pPr>
            <w:r>
              <w:rPr>
                <w:rFonts w:ascii="Arial" w:cs="Arial" w:eastAsia="Arial" w:hAnsi="Arial"/>
                <w:sz w:val="16"/>
                <w:szCs w:val="16"/>
                <w:color w:val="auto"/>
              </w:rPr>
              <w:t>87,783,000</w:t>
            </w:r>
          </w:p>
        </w:tc>
        <w:tc>
          <w:tcPr>
            <w:tcW w:w="1160" w:type="dxa"/>
            <w:vAlign w:val="bottom"/>
            <w:tcBorders>
              <w:bottom w:val="single" w:sz="8" w:color="D8D7D7"/>
            </w:tcBorders>
          </w:tcPr>
          <w:p>
            <w:pPr>
              <w:jc w:val="right"/>
              <w:ind w:right="144"/>
              <w:spacing w:after="0"/>
              <w:rPr>
                <w:sz w:val="20"/>
                <w:szCs w:val="20"/>
                <w:color w:val="auto"/>
              </w:rPr>
            </w:pPr>
            <w:r>
              <w:rPr>
                <w:rFonts w:ascii="Arial" w:cs="Arial" w:eastAsia="Arial" w:hAnsi="Arial"/>
                <w:sz w:val="16"/>
                <w:szCs w:val="16"/>
                <w:color w:val="auto"/>
              </w:rPr>
              <w:t>20,806,506</w:t>
            </w:r>
          </w:p>
        </w:tc>
        <w:tc>
          <w:tcPr>
            <w:tcW w:w="1060" w:type="dxa"/>
            <w:vAlign w:val="bottom"/>
            <w:tcBorders>
              <w:bottom w:val="single" w:sz="8" w:color="D8D7D7"/>
            </w:tcBorders>
          </w:tcPr>
          <w:p>
            <w:pPr>
              <w:ind w:left="160"/>
              <w:spacing w:after="0"/>
              <w:rPr>
                <w:sz w:val="20"/>
                <w:szCs w:val="20"/>
                <w:color w:val="auto"/>
              </w:rPr>
            </w:pPr>
            <w:r>
              <w:rPr>
                <w:rFonts w:ascii="Arial" w:cs="Arial" w:eastAsia="Arial" w:hAnsi="Arial"/>
                <w:sz w:val="16"/>
                <w:szCs w:val="16"/>
                <w:color w:val="auto"/>
              </w:rPr>
              <w:t>49,661,698</w:t>
            </w:r>
          </w:p>
        </w:tc>
        <w:tc>
          <w:tcPr>
            <w:tcW w:w="1200" w:type="dxa"/>
            <w:vAlign w:val="bottom"/>
            <w:tcBorders>
              <w:bottom w:val="single" w:sz="8" w:color="D8D7D7"/>
            </w:tcBorders>
            <w:gridSpan w:val="2"/>
          </w:tcPr>
          <w:p>
            <w:pPr>
              <w:jc w:val="right"/>
              <w:ind w:right="108"/>
              <w:spacing w:after="0"/>
              <w:rPr>
                <w:sz w:val="20"/>
                <w:szCs w:val="20"/>
                <w:color w:val="auto"/>
              </w:rPr>
            </w:pPr>
            <w:r>
              <w:rPr>
                <w:rFonts w:ascii="Arial" w:cs="Arial" w:eastAsia="Arial" w:hAnsi="Arial"/>
                <w:sz w:val="16"/>
                <w:szCs w:val="16"/>
                <w:color w:val="auto"/>
              </w:rPr>
              <w:t>202</w:t>
            </w:r>
          </w:p>
        </w:tc>
        <w:tc>
          <w:tcPr>
            <w:tcW w:w="920" w:type="dxa"/>
            <w:vAlign w:val="bottom"/>
            <w:tcBorders>
              <w:bottom w:val="single" w:sz="8" w:color="D8D7D7"/>
            </w:tcBorders>
          </w:tcPr>
          <w:p>
            <w:pPr>
              <w:jc w:val="right"/>
              <w:ind w:right="2"/>
              <w:spacing w:after="0"/>
              <w:rPr>
                <w:sz w:val="20"/>
                <w:szCs w:val="20"/>
                <w:color w:val="auto"/>
              </w:rPr>
            </w:pPr>
            <w:r>
              <w:rPr>
                <w:rFonts w:ascii="Arial" w:cs="Arial" w:eastAsia="Arial" w:hAnsi="Arial"/>
                <w:sz w:val="16"/>
                <w:szCs w:val="16"/>
                <w:color w:val="auto"/>
              </w:rPr>
              <w:t>149</w:t>
            </w:r>
          </w:p>
        </w:tc>
        <w:tc>
          <w:tcPr>
            <w:tcW w:w="900" w:type="dxa"/>
            <w:vAlign w:val="bottom"/>
            <w:tcBorders>
              <w:bottom w:val="single" w:sz="8" w:color="D8D7D7"/>
            </w:tcBorders>
          </w:tcPr>
          <w:p>
            <w:pPr>
              <w:jc w:val="right"/>
              <w:ind w:right="62"/>
              <w:spacing w:after="0"/>
              <w:rPr>
                <w:sz w:val="20"/>
                <w:szCs w:val="20"/>
                <w:color w:val="auto"/>
              </w:rPr>
            </w:pPr>
            <w:r>
              <w:rPr>
                <w:rFonts w:ascii="Arial" w:cs="Arial" w:eastAsia="Arial" w:hAnsi="Arial"/>
                <w:sz w:val="16"/>
                <w:szCs w:val="16"/>
                <w:color w:val="auto"/>
              </w:rPr>
              <w:t>2.780</w:t>
            </w:r>
          </w:p>
        </w:tc>
        <w:tc>
          <w:tcPr>
            <w:tcW w:w="86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12.747</w:t>
            </w:r>
          </w:p>
        </w:tc>
        <w:tc>
          <w:tcPr>
            <w:tcW w:w="0" w:type="dxa"/>
            <w:vAlign w:val="bottom"/>
          </w:tcPr>
          <w:p>
            <w:pPr>
              <w:spacing w:after="0"/>
              <w:rPr>
                <w:sz w:val="1"/>
                <w:szCs w:val="1"/>
                <w:color w:val="auto"/>
              </w:rPr>
            </w:pPr>
          </w:p>
        </w:tc>
      </w:tr>
      <w:tr>
        <w:trPr>
          <w:trHeight w:val="250"/>
        </w:trPr>
        <w:tc>
          <w:tcPr>
            <w:tcW w:w="600" w:type="dxa"/>
            <w:vAlign w:val="bottom"/>
            <w:tcBorders>
              <w:bottom w:val="single" w:sz="8" w:color="D8D7D7"/>
            </w:tcBorders>
          </w:tcPr>
          <w:p>
            <w:pPr>
              <w:jc w:val="right"/>
              <w:ind w:right="101"/>
              <w:spacing w:after="0"/>
              <w:rPr>
                <w:sz w:val="20"/>
                <w:szCs w:val="20"/>
                <w:color w:val="auto"/>
              </w:rPr>
            </w:pPr>
            <w:r>
              <w:rPr>
                <w:rFonts w:ascii="Arial" w:cs="Arial" w:eastAsia="Arial" w:hAnsi="Arial"/>
                <w:sz w:val="16"/>
                <w:szCs w:val="16"/>
                <w:color w:val="auto"/>
              </w:rPr>
              <w:t>2024</w:t>
            </w:r>
          </w:p>
        </w:tc>
        <w:tc>
          <w:tcPr>
            <w:tcW w:w="1200" w:type="dxa"/>
            <w:vAlign w:val="bottom"/>
            <w:tcBorders>
              <w:bottom w:val="single" w:sz="8" w:color="D8D7D7"/>
            </w:tcBorders>
          </w:tcPr>
          <w:p>
            <w:pPr>
              <w:jc w:val="center"/>
              <w:spacing w:after="0"/>
              <w:rPr>
                <w:sz w:val="20"/>
                <w:szCs w:val="20"/>
                <w:color w:val="auto"/>
              </w:rPr>
            </w:pPr>
            <w:r>
              <w:rPr>
                <w:rFonts w:ascii="Arial" w:cs="Arial" w:eastAsia="Arial" w:hAnsi="Arial"/>
                <w:sz w:val="16"/>
                <w:szCs w:val="16"/>
                <w:color w:val="auto"/>
              </w:rPr>
              <w:t>29,496,637</w:t>
            </w:r>
          </w:p>
        </w:tc>
        <w:tc>
          <w:tcPr>
            <w:tcW w:w="1180" w:type="dxa"/>
            <w:vAlign w:val="bottom"/>
            <w:tcBorders>
              <w:bottom w:val="single" w:sz="8" w:color="D8D7D7"/>
            </w:tcBorders>
          </w:tcPr>
          <w:p>
            <w:pPr>
              <w:jc w:val="center"/>
              <w:spacing w:after="0"/>
              <w:rPr>
                <w:sz w:val="20"/>
                <w:szCs w:val="20"/>
                <w:color w:val="auto"/>
              </w:rPr>
            </w:pPr>
            <w:r>
              <w:rPr>
                <w:rFonts w:ascii="Arial" w:cs="Arial" w:eastAsia="Arial" w:hAnsi="Arial"/>
                <w:sz w:val="16"/>
                <w:szCs w:val="16"/>
                <w:color w:val="auto"/>
              </w:rPr>
              <w:t>65,519,064</w:t>
            </w:r>
          </w:p>
        </w:tc>
        <w:tc>
          <w:tcPr>
            <w:tcW w:w="1160" w:type="dxa"/>
            <w:vAlign w:val="bottom"/>
            <w:tcBorders>
              <w:bottom w:val="single" w:sz="8" w:color="D8D7D7"/>
            </w:tcBorders>
          </w:tcPr>
          <w:p>
            <w:pPr>
              <w:jc w:val="right"/>
              <w:ind w:right="64"/>
              <w:spacing w:after="0"/>
              <w:rPr>
                <w:sz w:val="20"/>
                <w:szCs w:val="20"/>
                <w:color w:val="auto"/>
              </w:rPr>
            </w:pPr>
            <w:r>
              <w:rPr>
                <w:rFonts w:ascii="Arial" w:cs="Arial" w:eastAsia="Arial" w:hAnsi="Arial"/>
                <w:sz w:val="16"/>
                <w:szCs w:val="16"/>
                <w:color w:val="auto"/>
              </w:rPr>
              <w:t>12,772,607</w:t>
            </w:r>
          </w:p>
        </w:tc>
        <w:tc>
          <w:tcPr>
            <w:tcW w:w="1060" w:type="dxa"/>
            <w:vAlign w:val="bottom"/>
            <w:tcBorders>
              <w:bottom w:val="single" w:sz="8" w:color="D8D7D7"/>
            </w:tcBorders>
          </w:tcPr>
          <w:p>
            <w:pPr>
              <w:ind w:left="160"/>
              <w:spacing w:after="0"/>
              <w:rPr>
                <w:sz w:val="20"/>
                <w:szCs w:val="20"/>
                <w:color w:val="auto"/>
              </w:rPr>
            </w:pPr>
            <w:r>
              <w:rPr>
                <w:rFonts w:ascii="Arial" w:cs="Arial" w:eastAsia="Arial" w:hAnsi="Arial"/>
                <w:sz w:val="16"/>
                <w:szCs w:val="16"/>
                <w:color w:val="auto"/>
              </w:rPr>
              <w:t>20,502,315</w:t>
            </w:r>
          </w:p>
        </w:tc>
        <w:tc>
          <w:tcPr>
            <w:tcW w:w="1200" w:type="dxa"/>
            <w:vAlign w:val="bottom"/>
            <w:tcBorders>
              <w:bottom w:val="single" w:sz="8" w:color="D8D7D7"/>
            </w:tcBorders>
            <w:gridSpan w:val="2"/>
          </w:tcPr>
          <w:p>
            <w:pPr>
              <w:jc w:val="center"/>
              <w:ind w:left="639"/>
              <w:spacing w:after="0"/>
              <w:rPr>
                <w:sz w:val="20"/>
                <w:szCs w:val="20"/>
                <w:color w:val="auto"/>
              </w:rPr>
            </w:pPr>
            <w:r>
              <w:rPr>
                <w:rFonts w:ascii="Arial" w:cs="Arial" w:eastAsia="Arial" w:hAnsi="Arial"/>
                <w:sz w:val="16"/>
                <w:szCs w:val="16"/>
                <w:color w:val="auto"/>
              </w:rPr>
              <w:t>131</w:t>
            </w:r>
          </w:p>
        </w:tc>
        <w:tc>
          <w:tcPr>
            <w:tcW w:w="920" w:type="dxa"/>
            <w:vAlign w:val="bottom"/>
            <w:tcBorders>
              <w:bottom w:val="single" w:sz="8" w:color="D8D7D7"/>
            </w:tcBorders>
          </w:tcPr>
          <w:p>
            <w:pPr>
              <w:ind w:left="620"/>
              <w:spacing w:after="0"/>
              <w:rPr>
                <w:sz w:val="20"/>
                <w:szCs w:val="20"/>
                <w:color w:val="auto"/>
              </w:rPr>
            </w:pPr>
            <w:r>
              <w:rPr>
                <w:rFonts w:ascii="Arial" w:cs="Arial" w:eastAsia="Arial" w:hAnsi="Arial"/>
                <w:sz w:val="16"/>
                <w:szCs w:val="16"/>
                <w:color w:val="auto"/>
              </w:rPr>
              <w:t>121</w:t>
            </w:r>
          </w:p>
        </w:tc>
        <w:tc>
          <w:tcPr>
            <w:tcW w:w="900" w:type="dxa"/>
            <w:vAlign w:val="bottom"/>
            <w:tcBorders>
              <w:bottom w:val="single" w:sz="8" w:color="D8D7D7"/>
            </w:tcBorders>
          </w:tcPr>
          <w:p>
            <w:pPr>
              <w:jc w:val="right"/>
              <w:ind w:right="62"/>
              <w:spacing w:after="0"/>
              <w:rPr>
                <w:sz w:val="20"/>
                <w:szCs w:val="20"/>
                <w:color w:val="auto"/>
              </w:rPr>
            </w:pPr>
            <w:r>
              <w:rPr>
                <w:rFonts w:ascii="Arial" w:cs="Arial" w:eastAsia="Arial" w:hAnsi="Arial"/>
                <w:sz w:val="16"/>
                <w:szCs w:val="16"/>
                <w:color w:val="auto"/>
              </w:rPr>
              <w:t>5.963</w:t>
            </w:r>
          </w:p>
        </w:tc>
        <w:tc>
          <w:tcPr>
            <w:tcW w:w="860" w:type="dxa"/>
            <w:vAlign w:val="bottom"/>
            <w:tcBorders>
              <w:bottom w:val="single" w:sz="8" w:color="D8D7D7"/>
            </w:tcBorders>
          </w:tcPr>
          <w:p>
            <w:pPr>
              <w:jc w:val="right"/>
              <w:ind w:right="2"/>
              <w:spacing w:after="0"/>
              <w:rPr>
                <w:sz w:val="20"/>
                <w:szCs w:val="20"/>
                <w:color w:val="auto"/>
              </w:rPr>
            </w:pPr>
            <w:r>
              <w:rPr>
                <w:rFonts w:ascii="Arial" w:cs="Arial" w:eastAsia="Arial" w:hAnsi="Arial"/>
                <w:sz w:val="16"/>
                <w:szCs w:val="16"/>
                <w:color w:val="auto"/>
              </w:rPr>
              <w:t>14.934</w:t>
            </w:r>
          </w:p>
        </w:tc>
        <w:tc>
          <w:tcPr>
            <w:tcW w:w="0" w:type="dxa"/>
            <w:vAlign w:val="bottom"/>
          </w:tcPr>
          <w:p>
            <w:pPr>
              <w:spacing w:after="0"/>
              <w:rPr>
                <w:sz w:val="1"/>
                <w:szCs w:val="1"/>
                <w:color w:val="auto"/>
              </w:rPr>
            </w:pPr>
          </w:p>
        </w:tc>
      </w:tr>
      <w:tr>
        <w:trPr>
          <w:trHeight w:val="250"/>
        </w:trPr>
        <w:tc>
          <w:tcPr>
            <w:tcW w:w="600" w:type="dxa"/>
            <w:vAlign w:val="bottom"/>
            <w:tcBorders>
              <w:bottom w:val="single" w:sz="8" w:color="D8D7D7"/>
            </w:tcBorders>
          </w:tcPr>
          <w:p>
            <w:pPr>
              <w:jc w:val="right"/>
              <w:ind w:right="101"/>
              <w:spacing w:after="0"/>
              <w:rPr>
                <w:sz w:val="20"/>
                <w:szCs w:val="20"/>
                <w:color w:val="auto"/>
              </w:rPr>
            </w:pPr>
            <w:r>
              <w:rPr>
                <w:rFonts w:ascii="Arial" w:cs="Arial" w:eastAsia="Arial" w:hAnsi="Arial"/>
                <w:sz w:val="16"/>
                <w:szCs w:val="16"/>
                <w:color w:val="auto"/>
              </w:rPr>
              <w:t>2023</w:t>
            </w:r>
          </w:p>
        </w:tc>
        <w:tc>
          <w:tcPr>
            <w:tcW w:w="1200" w:type="dxa"/>
            <w:vAlign w:val="bottom"/>
            <w:tcBorders>
              <w:bottom w:val="single" w:sz="8" w:color="D8D7D7"/>
            </w:tcBorders>
          </w:tcPr>
          <w:p>
            <w:pPr>
              <w:jc w:val="center"/>
              <w:spacing w:after="0"/>
              <w:rPr>
                <w:sz w:val="20"/>
                <w:szCs w:val="20"/>
                <w:color w:val="auto"/>
              </w:rPr>
            </w:pPr>
            <w:r>
              <w:rPr>
                <w:rFonts w:ascii="Arial" w:cs="Arial" w:eastAsia="Arial" w:hAnsi="Arial"/>
                <w:sz w:val="16"/>
                <w:szCs w:val="16"/>
                <w:color w:val="auto"/>
                <w:w w:val="99"/>
              </w:rPr>
              <w:t>27,847,405</w:t>
            </w:r>
          </w:p>
        </w:tc>
        <w:tc>
          <w:tcPr>
            <w:tcW w:w="1180" w:type="dxa"/>
            <w:vAlign w:val="bottom"/>
            <w:tcBorders>
              <w:bottom w:val="single" w:sz="8" w:color="D8D7D7"/>
            </w:tcBorders>
          </w:tcPr>
          <w:p>
            <w:pPr>
              <w:jc w:val="right"/>
              <w:ind w:right="62"/>
              <w:spacing w:after="0"/>
              <w:rPr>
                <w:sz w:val="20"/>
                <w:szCs w:val="20"/>
                <w:color w:val="auto"/>
              </w:rPr>
            </w:pPr>
            <w:r>
              <w:rPr>
                <w:rFonts w:ascii="Arial" w:cs="Arial" w:eastAsia="Arial" w:hAnsi="Arial"/>
                <w:sz w:val="16"/>
                <w:szCs w:val="16"/>
                <w:color w:val="auto"/>
              </w:rPr>
              <w:t>21,715,743</w:t>
            </w:r>
          </w:p>
        </w:tc>
        <w:tc>
          <w:tcPr>
            <w:tcW w:w="1160" w:type="dxa"/>
            <w:vAlign w:val="bottom"/>
            <w:tcBorders>
              <w:bottom w:val="single" w:sz="8" w:color="D8D7D7"/>
            </w:tcBorders>
          </w:tcPr>
          <w:p>
            <w:pPr>
              <w:jc w:val="right"/>
              <w:ind w:right="64"/>
              <w:spacing w:after="0"/>
              <w:rPr>
                <w:sz w:val="20"/>
                <w:szCs w:val="20"/>
                <w:color w:val="auto"/>
              </w:rPr>
            </w:pPr>
            <w:r>
              <w:rPr>
                <w:rFonts w:ascii="Arial" w:cs="Arial" w:eastAsia="Arial" w:hAnsi="Arial"/>
                <w:sz w:val="16"/>
                <w:szCs w:val="16"/>
                <w:color w:val="auto"/>
              </w:rPr>
              <w:t>15,245,310</w:t>
            </w:r>
          </w:p>
        </w:tc>
        <w:tc>
          <w:tcPr>
            <w:tcW w:w="1060" w:type="dxa"/>
            <w:vAlign w:val="bottom"/>
            <w:tcBorders>
              <w:bottom w:val="single" w:sz="8" w:color="D8D7D7"/>
            </w:tcBorders>
          </w:tcPr>
          <w:p>
            <w:pPr>
              <w:ind w:left="160"/>
              <w:spacing w:after="0"/>
              <w:rPr>
                <w:sz w:val="20"/>
                <w:szCs w:val="20"/>
                <w:color w:val="auto"/>
              </w:rPr>
            </w:pPr>
            <w:r>
              <w:rPr>
                <w:rFonts w:ascii="Arial" w:cs="Arial" w:eastAsia="Arial" w:hAnsi="Arial"/>
                <w:sz w:val="16"/>
                <w:szCs w:val="16"/>
                <w:color w:val="auto"/>
              </w:rPr>
              <w:t>12,490,596</w:t>
            </w:r>
          </w:p>
        </w:tc>
        <w:tc>
          <w:tcPr>
            <w:tcW w:w="1200" w:type="dxa"/>
            <w:vAlign w:val="bottom"/>
            <w:tcBorders>
              <w:bottom w:val="single" w:sz="8" w:color="D8D7D7"/>
            </w:tcBorders>
            <w:gridSpan w:val="2"/>
          </w:tcPr>
          <w:p>
            <w:pPr>
              <w:jc w:val="center"/>
              <w:ind w:left="619"/>
              <w:spacing w:after="0"/>
              <w:rPr>
                <w:sz w:val="20"/>
                <w:szCs w:val="20"/>
                <w:color w:val="auto"/>
              </w:rPr>
            </w:pPr>
            <w:r>
              <w:rPr>
                <w:rFonts w:ascii="Arial" w:cs="Arial" w:eastAsia="Arial" w:hAnsi="Arial"/>
                <w:sz w:val="16"/>
                <w:szCs w:val="16"/>
                <w:color w:val="auto"/>
              </w:rPr>
              <w:t>88</w:t>
            </w:r>
          </w:p>
        </w:tc>
        <w:tc>
          <w:tcPr>
            <w:tcW w:w="920" w:type="dxa"/>
            <w:vAlign w:val="bottom"/>
            <w:tcBorders>
              <w:bottom w:val="single" w:sz="8" w:color="D8D7D7"/>
            </w:tcBorders>
          </w:tcPr>
          <w:p>
            <w:pPr>
              <w:ind w:left="620"/>
              <w:spacing w:after="0"/>
              <w:rPr>
                <w:sz w:val="20"/>
                <w:szCs w:val="20"/>
                <w:color w:val="auto"/>
              </w:rPr>
            </w:pPr>
            <w:r>
              <w:rPr>
                <w:rFonts w:ascii="Arial" w:cs="Arial" w:eastAsia="Arial" w:hAnsi="Arial"/>
                <w:sz w:val="16"/>
                <w:szCs w:val="16"/>
                <w:color w:val="auto"/>
              </w:rPr>
              <w:t>113</w:t>
            </w:r>
          </w:p>
        </w:tc>
        <w:tc>
          <w:tcPr>
            <w:tcW w:w="900" w:type="dxa"/>
            <w:vAlign w:val="bottom"/>
            <w:tcBorders>
              <w:bottom w:val="single" w:sz="8" w:color="D8D7D7"/>
            </w:tcBorders>
          </w:tcPr>
          <w:p>
            <w:pPr>
              <w:jc w:val="right"/>
              <w:ind w:right="82"/>
              <w:spacing w:after="0"/>
              <w:rPr>
                <w:sz w:val="20"/>
                <w:szCs w:val="20"/>
                <w:color w:val="auto"/>
              </w:rPr>
            </w:pPr>
            <w:r>
              <w:rPr>
                <w:rFonts w:ascii="Arial" w:cs="Arial" w:eastAsia="Arial" w:hAnsi="Arial"/>
                <w:sz w:val="16"/>
                <w:szCs w:val="16"/>
                <w:color w:val="auto"/>
              </w:rPr>
              <w:t>9.840</w:t>
            </w:r>
          </w:p>
        </w:tc>
        <w:tc>
          <w:tcPr>
            <w:tcW w:w="86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12.357</w:t>
            </w:r>
          </w:p>
        </w:tc>
        <w:tc>
          <w:tcPr>
            <w:tcW w:w="0" w:type="dxa"/>
            <w:vAlign w:val="bottom"/>
          </w:tcPr>
          <w:p>
            <w:pPr>
              <w:spacing w:after="0"/>
              <w:rPr>
                <w:sz w:val="1"/>
                <w:szCs w:val="1"/>
                <w:color w:val="auto"/>
              </w:rPr>
            </w:pPr>
          </w:p>
        </w:tc>
      </w:tr>
      <w:tr>
        <w:trPr>
          <w:trHeight w:val="250"/>
        </w:trPr>
        <w:tc>
          <w:tcPr>
            <w:tcW w:w="600" w:type="dxa"/>
            <w:vAlign w:val="bottom"/>
            <w:tcBorders>
              <w:bottom w:val="single" w:sz="8" w:color="D8D7D7"/>
            </w:tcBorders>
          </w:tcPr>
          <w:p>
            <w:pPr>
              <w:jc w:val="right"/>
              <w:ind w:right="101"/>
              <w:spacing w:after="0"/>
              <w:rPr>
                <w:sz w:val="20"/>
                <w:szCs w:val="20"/>
                <w:color w:val="auto"/>
              </w:rPr>
            </w:pPr>
            <w:r>
              <w:rPr>
                <w:rFonts w:ascii="Arial" w:cs="Arial" w:eastAsia="Arial" w:hAnsi="Arial"/>
                <w:sz w:val="16"/>
                <w:szCs w:val="16"/>
                <w:color w:val="auto"/>
              </w:rPr>
              <w:t>2022</w:t>
            </w:r>
          </w:p>
        </w:tc>
        <w:tc>
          <w:tcPr>
            <w:tcW w:w="1200" w:type="dxa"/>
            <w:vAlign w:val="bottom"/>
            <w:tcBorders>
              <w:bottom w:val="single" w:sz="8" w:color="D8D7D7"/>
            </w:tcBorders>
          </w:tcPr>
          <w:p>
            <w:pPr>
              <w:jc w:val="center"/>
              <w:spacing w:after="0"/>
              <w:rPr>
                <w:sz w:val="20"/>
                <w:szCs w:val="20"/>
                <w:color w:val="auto"/>
              </w:rPr>
            </w:pPr>
            <w:r>
              <w:rPr>
                <w:rFonts w:ascii="Arial" w:cs="Arial" w:eastAsia="Arial" w:hAnsi="Arial"/>
                <w:sz w:val="16"/>
                <w:szCs w:val="16"/>
                <w:color w:val="auto"/>
                <w:w w:val="99"/>
              </w:rPr>
              <w:t>28,979,570</w:t>
            </w:r>
          </w:p>
        </w:tc>
        <w:tc>
          <w:tcPr>
            <w:tcW w:w="1180" w:type="dxa"/>
            <w:vAlign w:val="bottom"/>
            <w:tcBorders>
              <w:bottom w:val="single" w:sz="8" w:color="D8D7D7"/>
            </w:tcBorders>
          </w:tcPr>
          <w:p>
            <w:pPr>
              <w:jc w:val="right"/>
              <w:ind w:right="2"/>
              <w:spacing w:after="0"/>
              <w:rPr>
                <w:sz w:val="20"/>
                <w:szCs w:val="20"/>
                <w:color w:val="auto"/>
              </w:rPr>
            </w:pPr>
            <w:r>
              <w:rPr>
                <w:rFonts w:ascii="Arial" w:cs="Arial" w:eastAsia="Arial" w:hAnsi="Arial"/>
                <w:sz w:val="16"/>
                <w:szCs w:val="16"/>
                <w:color w:val="auto"/>
              </w:rPr>
              <w:t>(16,991,516)</w:t>
            </w:r>
          </w:p>
        </w:tc>
        <w:tc>
          <w:tcPr>
            <w:tcW w:w="1160" w:type="dxa"/>
            <w:vAlign w:val="bottom"/>
            <w:tcBorders>
              <w:bottom w:val="single" w:sz="8" w:color="D8D7D7"/>
            </w:tcBorders>
          </w:tcPr>
          <w:p>
            <w:pPr>
              <w:ind w:left="180"/>
              <w:spacing w:after="0"/>
              <w:rPr>
                <w:sz w:val="20"/>
                <w:szCs w:val="20"/>
                <w:color w:val="auto"/>
              </w:rPr>
            </w:pPr>
            <w:r>
              <w:rPr>
                <w:rFonts w:ascii="Arial" w:cs="Arial" w:eastAsia="Arial" w:hAnsi="Arial"/>
                <w:sz w:val="16"/>
                <w:szCs w:val="16"/>
                <w:color w:val="auto"/>
              </w:rPr>
              <w:t>10,539,930</w:t>
            </w:r>
          </w:p>
        </w:tc>
        <w:tc>
          <w:tcPr>
            <w:tcW w:w="1060" w:type="dxa"/>
            <w:vAlign w:val="bottom"/>
            <w:tcBorders>
              <w:bottom w:val="single" w:sz="8" w:color="D8D7D7"/>
            </w:tcBorders>
          </w:tcPr>
          <w:p>
            <w:pPr>
              <w:ind w:left="180"/>
              <w:spacing w:after="0"/>
              <w:rPr>
                <w:sz w:val="20"/>
                <w:szCs w:val="20"/>
                <w:color w:val="auto"/>
              </w:rPr>
            </w:pPr>
            <w:r>
              <w:rPr>
                <w:rFonts w:ascii="Arial" w:cs="Arial" w:eastAsia="Arial" w:hAnsi="Arial"/>
                <w:sz w:val="16"/>
                <w:szCs w:val="16"/>
                <w:color w:val="auto"/>
              </w:rPr>
              <w:t>(2,724,335)</w:t>
            </w:r>
          </w:p>
        </w:tc>
        <w:tc>
          <w:tcPr>
            <w:tcW w:w="1200" w:type="dxa"/>
            <w:vAlign w:val="bottom"/>
            <w:tcBorders>
              <w:bottom w:val="single" w:sz="8" w:color="D8D7D7"/>
            </w:tcBorders>
            <w:gridSpan w:val="2"/>
          </w:tcPr>
          <w:p>
            <w:pPr>
              <w:ind w:left="900"/>
              <w:spacing w:after="0"/>
              <w:rPr>
                <w:sz w:val="20"/>
                <w:szCs w:val="20"/>
                <w:color w:val="auto"/>
              </w:rPr>
            </w:pPr>
            <w:r>
              <w:rPr>
                <w:rFonts w:ascii="Arial" w:cs="Arial" w:eastAsia="Arial" w:hAnsi="Arial"/>
                <w:sz w:val="16"/>
                <w:szCs w:val="16"/>
                <w:color w:val="auto"/>
              </w:rPr>
              <w:t>81</w:t>
            </w:r>
          </w:p>
        </w:tc>
        <w:tc>
          <w:tcPr>
            <w:tcW w:w="920" w:type="dxa"/>
            <w:vAlign w:val="bottom"/>
            <w:tcBorders>
              <w:bottom w:val="single" w:sz="8" w:color="D8D7D7"/>
            </w:tcBorders>
          </w:tcPr>
          <w:p>
            <w:pPr>
              <w:jc w:val="right"/>
              <w:ind w:right="22"/>
              <w:spacing w:after="0"/>
              <w:rPr>
                <w:sz w:val="20"/>
                <w:szCs w:val="20"/>
                <w:color w:val="auto"/>
              </w:rPr>
            </w:pPr>
            <w:r>
              <w:rPr>
                <w:rFonts w:ascii="Arial" w:cs="Arial" w:eastAsia="Arial" w:hAnsi="Arial"/>
                <w:sz w:val="16"/>
                <w:szCs w:val="16"/>
                <w:color w:val="auto"/>
              </w:rPr>
              <w:t>85</w:t>
            </w:r>
          </w:p>
        </w:tc>
        <w:tc>
          <w:tcPr>
            <w:tcW w:w="900" w:type="dxa"/>
            <w:vAlign w:val="bottom"/>
            <w:tcBorders>
              <w:bottom w:val="single" w:sz="8" w:color="D8D7D7"/>
            </w:tcBorders>
          </w:tcPr>
          <w:p>
            <w:pPr>
              <w:jc w:val="right"/>
              <w:ind w:right="62"/>
              <w:spacing w:after="0"/>
              <w:rPr>
                <w:sz w:val="20"/>
                <w:szCs w:val="20"/>
                <w:color w:val="auto"/>
              </w:rPr>
            </w:pPr>
            <w:r>
              <w:rPr>
                <w:rFonts w:ascii="Arial" w:cs="Arial" w:eastAsia="Arial" w:hAnsi="Arial"/>
                <w:sz w:val="16"/>
                <w:szCs w:val="16"/>
                <w:color w:val="auto"/>
              </w:rPr>
              <w:t>9.708</w:t>
            </w:r>
          </w:p>
        </w:tc>
        <w:tc>
          <w:tcPr>
            <w:tcW w:w="860" w:type="dxa"/>
            <w:vAlign w:val="bottom"/>
            <w:tcBorders>
              <w:bottom w:val="single" w:sz="8" w:color="D8D7D7"/>
            </w:tcBorders>
          </w:tcPr>
          <w:p>
            <w:pPr>
              <w:jc w:val="right"/>
              <w:ind w:right="2"/>
              <w:spacing w:after="0"/>
              <w:rPr>
                <w:sz w:val="20"/>
                <w:szCs w:val="20"/>
                <w:color w:val="auto"/>
              </w:rPr>
            </w:pPr>
            <w:r>
              <w:rPr>
                <w:rFonts w:ascii="Arial" w:cs="Arial" w:eastAsia="Arial" w:hAnsi="Arial"/>
                <w:sz w:val="16"/>
                <w:szCs w:val="16"/>
                <w:color w:val="auto"/>
              </w:rPr>
              <w:t>14.474</w:t>
            </w:r>
          </w:p>
        </w:tc>
        <w:tc>
          <w:tcPr>
            <w:tcW w:w="0" w:type="dxa"/>
            <w:vAlign w:val="bottom"/>
          </w:tcPr>
          <w:p>
            <w:pPr>
              <w:spacing w:after="0"/>
              <w:rPr>
                <w:sz w:val="1"/>
                <w:szCs w:val="1"/>
                <w:color w:val="auto"/>
              </w:rPr>
            </w:pPr>
          </w:p>
        </w:tc>
      </w:tr>
      <w:tr>
        <w:trPr>
          <w:trHeight w:val="250"/>
        </w:trPr>
        <w:tc>
          <w:tcPr>
            <w:tcW w:w="600" w:type="dxa"/>
            <w:vAlign w:val="bottom"/>
            <w:tcBorders>
              <w:bottom w:val="single" w:sz="8" w:color="0956FF"/>
            </w:tcBorders>
          </w:tcPr>
          <w:p>
            <w:pPr>
              <w:jc w:val="right"/>
              <w:ind w:right="101"/>
              <w:spacing w:after="0"/>
              <w:rPr>
                <w:sz w:val="20"/>
                <w:szCs w:val="20"/>
                <w:color w:val="auto"/>
              </w:rPr>
            </w:pPr>
            <w:r>
              <w:rPr>
                <w:rFonts w:ascii="Arial" w:cs="Arial" w:eastAsia="Arial" w:hAnsi="Arial"/>
                <w:sz w:val="16"/>
                <w:szCs w:val="16"/>
                <w:color w:val="auto"/>
              </w:rPr>
              <w:t>2021</w:t>
            </w:r>
          </w:p>
        </w:tc>
        <w:tc>
          <w:tcPr>
            <w:tcW w:w="1200" w:type="dxa"/>
            <w:vAlign w:val="bottom"/>
            <w:tcBorders>
              <w:bottom w:val="single" w:sz="8" w:color="0956FF"/>
            </w:tcBorders>
          </w:tcPr>
          <w:p>
            <w:pPr>
              <w:jc w:val="right"/>
              <w:ind w:right="84"/>
              <w:spacing w:after="0"/>
              <w:rPr>
                <w:sz w:val="20"/>
                <w:szCs w:val="20"/>
                <w:color w:val="auto"/>
              </w:rPr>
            </w:pPr>
            <w:r>
              <w:rPr>
                <w:rFonts w:ascii="Arial" w:cs="Arial" w:eastAsia="Arial" w:hAnsi="Arial"/>
                <w:sz w:val="16"/>
                <w:szCs w:val="16"/>
                <w:color w:val="auto"/>
              </w:rPr>
              <w:t>29,136,780</w:t>
            </w:r>
          </w:p>
        </w:tc>
        <w:tc>
          <w:tcPr>
            <w:tcW w:w="1180" w:type="dxa"/>
            <w:vAlign w:val="bottom"/>
            <w:tcBorders>
              <w:bottom w:val="single" w:sz="8" w:color="0956FF"/>
            </w:tcBorders>
          </w:tcPr>
          <w:p>
            <w:pPr>
              <w:jc w:val="center"/>
              <w:ind w:right="2"/>
              <w:spacing w:after="0"/>
              <w:rPr>
                <w:sz w:val="20"/>
                <w:szCs w:val="20"/>
                <w:color w:val="auto"/>
              </w:rPr>
            </w:pPr>
            <w:r>
              <w:rPr>
                <w:rFonts w:ascii="Arial" w:cs="Arial" w:eastAsia="Arial" w:hAnsi="Arial"/>
                <w:sz w:val="16"/>
                <w:szCs w:val="16"/>
                <w:color w:val="auto"/>
              </w:rPr>
              <w:t>76,096,506</w:t>
            </w:r>
          </w:p>
        </w:tc>
        <w:tc>
          <w:tcPr>
            <w:tcW w:w="1160" w:type="dxa"/>
            <w:vAlign w:val="bottom"/>
            <w:tcBorders>
              <w:bottom w:val="single" w:sz="8" w:color="0956FF"/>
            </w:tcBorders>
          </w:tcPr>
          <w:p>
            <w:pPr>
              <w:jc w:val="right"/>
              <w:ind w:right="84"/>
              <w:spacing w:after="0"/>
              <w:rPr>
                <w:sz w:val="20"/>
                <w:szCs w:val="20"/>
                <w:color w:val="auto"/>
              </w:rPr>
            </w:pPr>
            <w:r>
              <w:rPr>
                <w:rFonts w:ascii="Arial" w:cs="Arial" w:eastAsia="Arial" w:hAnsi="Arial"/>
                <w:sz w:val="16"/>
                <w:szCs w:val="16"/>
                <w:color w:val="auto"/>
              </w:rPr>
              <w:t>9,982,519</w:t>
            </w:r>
          </w:p>
        </w:tc>
        <w:tc>
          <w:tcPr>
            <w:tcW w:w="1060" w:type="dxa"/>
            <w:vAlign w:val="bottom"/>
            <w:tcBorders>
              <w:bottom w:val="single" w:sz="8" w:color="0956FF"/>
            </w:tcBorders>
          </w:tcPr>
          <w:p>
            <w:pPr>
              <w:ind w:left="160"/>
              <w:spacing w:after="0"/>
              <w:rPr>
                <w:sz w:val="20"/>
                <w:szCs w:val="20"/>
                <w:color w:val="auto"/>
              </w:rPr>
            </w:pPr>
            <w:r>
              <w:rPr>
                <w:rFonts w:ascii="Arial" w:cs="Arial" w:eastAsia="Arial" w:hAnsi="Arial"/>
                <w:sz w:val="16"/>
                <w:szCs w:val="16"/>
                <w:color w:val="auto"/>
              </w:rPr>
              <w:t>19,443,928</w:t>
            </w:r>
          </w:p>
        </w:tc>
        <w:tc>
          <w:tcPr>
            <w:tcW w:w="1200" w:type="dxa"/>
            <w:vAlign w:val="bottom"/>
            <w:tcBorders>
              <w:bottom w:val="single" w:sz="8" w:color="0956FF"/>
            </w:tcBorders>
            <w:gridSpan w:val="2"/>
          </w:tcPr>
          <w:p>
            <w:pPr>
              <w:jc w:val="center"/>
              <w:ind w:left="639"/>
              <w:spacing w:after="0"/>
              <w:rPr>
                <w:sz w:val="20"/>
                <w:szCs w:val="20"/>
                <w:color w:val="auto"/>
              </w:rPr>
            </w:pPr>
            <w:r>
              <w:rPr>
                <w:rFonts w:ascii="Arial" w:cs="Arial" w:eastAsia="Arial" w:hAnsi="Arial"/>
                <w:sz w:val="16"/>
                <w:szCs w:val="16"/>
                <w:color w:val="auto"/>
              </w:rPr>
              <w:t>141</w:t>
            </w:r>
          </w:p>
        </w:tc>
        <w:tc>
          <w:tcPr>
            <w:tcW w:w="920" w:type="dxa"/>
            <w:vAlign w:val="bottom"/>
            <w:tcBorders>
              <w:bottom w:val="single" w:sz="8" w:color="0956FF"/>
            </w:tcBorders>
          </w:tcPr>
          <w:p>
            <w:pPr>
              <w:jc w:val="right"/>
              <w:ind w:right="2"/>
              <w:spacing w:after="0"/>
              <w:rPr>
                <w:sz w:val="20"/>
                <w:szCs w:val="20"/>
                <w:color w:val="auto"/>
              </w:rPr>
            </w:pPr>
            <w:r>
              <w:rPr>
                <w:rFonts w:ascii="Arial" w:cs="Arial" w:eastAsia="Arial" w:hAnsi="Arial"/>
                <w:sz w:val="16"/>
                <w:szCs w:val="16"/>
                <w:color w:val="auto"/>
              </w:rPr>
              <w:t>125</w:t>
            </w:r>
          </w:p>
        </w:tc>
        <w:tc>
          <w:tcPr>
            <w:tcW w:w="900" w:type="dxa"/>
            <w:vAlign w:val="bottom"/>
            <w:tcBorders>
              <w:bottom w:val="single" w:sz="8" w:color="0956FF"/>
            </w:tcBorders>
          </w:tcPr>
          <w:p>
            <w:pPr>
              <w:jc w:val="right"/>
              <w:ind w:right="82"/>
              <w:spacing w:after="0"/>
              <w:rPr>
                <w:sz w:val="20"/>
                <w:szCs w:val="20"/>
                <w:color w:val="auto"/>
              </w:rPr>
            </w:pPr>
            <w:r>
              <w:rPr>
                <w:rFonts w:ascii="Arial" w:cs="Arial" w:eastAsia="Arial" w:hAnsi="Arial"/>
                <w:sz w:val="16"/>
                <w:szCs w:val="16"/>
                <w:color w:val="auto"/>
              </w:rPr>
              <w:t>9.945</w:t>
            </w:r>
          </w:p>
        </w:tc>
        <w:tc>
          <w:tcPr>
            <w:tcW w:w="860" w:type="dxa"/>
            <w:vAlign w:val="bottom"/>
            <w:tcBorders>
              <w:bottom w:val="single" w:sz="8" w:color="0956FF"/>
            </w:tcBorders>
          </w:tcPr>
          <w:p>
            <w:pPr>
              <w:jc w:val="right"/>
              <w:ind w:right="2"/>
              <w:spacing w:after="0"/>
              <w:rPr>
                <w:sz w:val="20"/>
                <w:szCs w:val="20"/>
                <w:color w:val="auto"/>
              </w:rPr>
            </w:pPr>
            <w:r>
              <w:rPr>
                <w:rFonts w:ascii="Arial" w:cs="Arial" w:eastAsia="Arial" w:hAnsi="Arial"/>
                <w:sz w:val="16"/>
                <w:szCs w:val="16"/>
                <w:color w:val="auto"/>
              </w:rPr>
              <w:t>14.295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00" w:hanging="192"/>
        <w:spacing w:after="0"/>
        <w:tabs>
          <w:tab w:leader="none" w:pos="200"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Ms. Barra served as our CEO in all years presented above.</w:t>
      </w:r>
    </w:p>
    <w:p>
      <w:pPr>
        <w:spacing w:after="0" w:line="52" w:lineRule="exact"/>
        <w:rPr>
          <w:rFonts w:ascii="Arial" w:cs="Arial" w:eastAsia="Arial" w:hAnsi="Arial"/>
          <w:sz w:val="19"/>
          <w:szCs w:val="19"/>
          <w:color w:val="auto"/>
          <w:vertAlign w:val="superscript"/>
        </w:rPr>
      </w:pPr>
    </w:p>
    <w:p>
      <w:pPr>
        <w:ind w:left="200" w:hanging="192"/>
        <w:spacing w:after="0" w:line="273" w:lineRule="auto"/>
        <w:tabs>
          <w:tab w:leader="none" w:pos="200"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Non-CEO NEOs in 2025 included Messrs. Jacobson, Reuss, Anderson, and Harvey. Non-CEO NEOs in 2024 included Messrs. Jacobson, Reuss, Abbott (former Executive Vice President, Software), Glidden (Former Executive Vice President), and Harvey. Non-CEO NEOs in 2023 included Messrs. Jacobson, Reuss, Abbott, and Glidden. Non-CEO NEOs in 2022 and 2021 included Messrs. Jacobson, Reuss, Parks (former Executive Vice President, Global Product Development, Purchasing and Supply Chain), and Carlisle (former Executive Vice President and President, North America).</w:t>
      </w:r>
    </w:p>
    <w:p>
      <w:pPr>
        <w:spacing w:after="0" w:line="3"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Reflects CAP values computed in accordance with Item 402(v) of Regulation S-K and FASB ASC Topic 718.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Borders>
              <w:bottom w:val="single" w:sz="8" w:color="ECEBEB"/>
            </w:tcBorders>
            <w:shd w:val="clear" w:color="auto" w:fill="ECEBEB"/>
          </w:tcPr>
          <w:p>
            <w:pPr>
              <w:spacing w:after="0"/>
              <w:rPr>
                <w:sz w:val="19"/>
                <w:szCs w:val="19"/>
                <w:color w:val="auto"/>
              </w:rPr>
            </w:pPr>
          </w:p>
        </w:tc>
        <w:tc>
          <w:tcPr>
            <w:tcW w:w="1580" w:type="dxa"/>
            <w:vAlign w:val="bottom"/>
            <w:tcBorders>
              <w:bottom w:val="single" w:sz="8" w:color="0956FF"/>
            </w:tcBorders>
            <w:gridSpan w:val="2"/>
            <w:shd w:val="clear" w:color="auto" w:fill="ECEBEB"/>
          </w:tcPr>
          <w:p>
            <w:pPr>
              <w:jc w:val="right"/>
              <w:ind w:right="597"/>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ECEBEB"/>
            </w:tcBorders>
            <w:shd w:val="clear" w:color="auto" w:fill="ECEBEB"/>
          </w:tcPr>
          <w:p>
            <w:pPr>
              <w:spacing w:after="0"/>
              <w:rPr>
                <w:sz w:val="19"/>
                <w:szCs w:val="19"/>
                <w:color w:val="auto"/>
              </w:rPr>
            </w:pPr>
          </w:p>
        </w:tc>
        <w:tc>
          <w:tcPr>
            <w:tcW w:w="1580" w:type="dxa"/>
            <w:vAlign w:val="bottom"/>
            <w:tcBorders>
              <w:bottom w:val="single" w:sz="8" w:color="0956FF"/>
            </w:tcBorders>
            <w:gridSpan w:val="2"/>
            <w:shd w:val="clear" w:color="auto" w:fill="ECEBEB"/>
          </w:tcPr>
          <w:p>
            <w:pPr>
              <w:jc w:val="right"/>
              <w:ind w:right="61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ECEBEB"/>
            </w:tcBorders>
            <w:shd w:val="clear" w:color="auto" w:fill="ECEBEB"/>
          </w:tcPr>
          <w:p>
            <w:pPr>
              <w:spacing w:after="0"/>
              <w:rPr>
                <w:sz w:val="19"/>
                <w:szCs w:val="19"/>
                <w:color w:val="auto"/>
              </w:rPr>
            </w:pPr>
          </w:p>
        </w:tc>
        <w:tc>
          <w:tcPr>
            <w:tcW w:w="1600" w:type="dxa"/>
            <w:vAlign w:val="bottom"/>
            <w:tcBorders>
              <w:bottom w:val="single" w:sz="8" w:color="0956FF"/>
            </w:tcBorders>
            <w:gridSpan w:val="2"/>
            <w:shd w:val="clear" w:color="auto" w:fill="ECEBEB"/>
          </w:tcPr>
          <w:p>
            <w:pPr>
              <w:jc w:val="right"/>
              <w:ind w:right="61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ECEBEB"/>
            </w:tcBorders>
            <w:shd w:val="clear" w:color="auto" w:fill="ECEBEB"/>
          </w:tcPr>
          <w:p>
            <w:pPr>
              <w:spacing w:after="0"/>
              <w:rPr>
                <w:sz w:val="19"/>
                <w:szCs w:val="19"/>
                <w:color w:val="auto"/>
              </w:rPr>
            </w:pPr>
          </w:p>
        </w:tc>
        <w:tc>
          <w:tcPr>
            <w:tcW w:w="1580" w:type="dxa"/>
            <w:vAlign w:val="bottom"/>
            <w:tcBorders>
              <w:bottom w:val="single" w:sz="8" w:color="0956FF"/>
            </w:tcBorders>
            <w:gridSpan w:val="2"/>
            <w:shd w:val="clear" w:color="auto" w:fill="ECEBEB"/>
          </w:tcPr>
          <w:p>
            <w:pPr>
              <w:jc w:val="right"/>
              <w:ind w:right="597"/>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ECEBEB"/>
            </w:tcBorders>
            <w:shd w:val="clear" w:color="auto" w:fill="ECEBEB"/>
          </w:tcPr>
          <w:p>
            <w:pPr>
              <w:spacing w:after="0"/>
              <w:rPr>
                <w:sz w:val="19"/>
                <w:szCs w:val="19"/>
                <w:color w:val="auto"/>
              </w:rPr>
            </w:pPr>
          </w:p>
        </w:tc>
        <w:tc>
          <w:tcPr>
            <w:tcW w:w="1540" w:type="dxa"/>
            <w:vAlign w:val="bottom"/>
            <w:tcBorders>
              <w:bottom w:val="single" w:sz="8" w:color="0956FF"/>
            </w:tcBorders>
            <w:gridSpan w:val="2"/>
            <w:shd w:val="clear" w:color="auto" w:fill="ECEBEB"/>
          </w:tcPr>
          <w:p>
            <w:pPr>
              <w:jc w:val="right"/>
              <w:ind w:right="577"/>
              <w:spacing w:after="0"/>
              <w:rPr>
                <w:sz w:val="20"/>
                <w:szCs w:val="20"/>
                <w:color w:val="auto"/>
              </w:rPr>
            </w:pPr>
            <w:r>
              <w:rPr>
                <w:rFonts w:ascii="Arial" w:cs="Arial" w:eastAsia="Arial" w:hAnsi="Arial"/>
                <w:sz w:val="13"/>
                <w:szCs w:val="13"/>
                <w:b w:val="1"/>
                <w:bCs w:val="1"/>
                <w:color w:val="auto"/>
              </w:rPr>
              <w:t>2021</w:t>
            </w:r>
          </w:p>
        </w:tc>
      </w:tr>
      <w:tr>
        <w:trPr>
          <w:trHeight w:val="138"/>
        </w:trPr>
        <w:tc>
          <w:tcPr>
            <w:tcW w:w="960" w:type="dxa"/>
            <w:vAlign w:val="bottom"/>
            <w:shd w:val="clear" w:color="auto" w:fill="ECEBEB"/>
          </w:tcPr>
          <w:p>
            <w:pPr>
              <w:spacing w:after="0"/>
              <w:rPr>
                <w:sz w:val="11"/>
                <w:szCs w:val="11"/>
                <w:color w:val="auto"/>
              </w:rPr>
            </w:pPr>
          </w:p>
        </w:tc>
        <w:tc>
          <w:tcPr>
            <w:tcW w:w="820" w:type="dxa"/>
            <w:vAlign w:val="bottom"/>
            <w:shd w:val="clear" w:color="auto" w:fill="ECEBEB"/>
          </w:tcPr>
          <w:p>
            <w:pPr>
              <w:spacing w:after="0"/>
              <w:rPr>
                <w:sz w:val="11"/>
                <w:szCs w:val="11"/>
                <w:color w:val="auto"/>
              </w:rPr>
            </w:pPr>
          </w:p>
        </w:tc>
        <w:tc>
          <w:tcPr>
            <w:tcW w:w="760" w:type="dxa"/>
            <w:vAlign w:val="bottom"/>
            <w:shd w:val="clear" w:color="auto" w:fill="ECEBEB"/>
          </w:tcPr>
          <w:p>
            <w:pPr>
              <w:jc w:val="right"/>
              <w:spacing w:after="0" w:line="138" w:lineRule="exact"/>
              <w:rPr>
                <w:sz w:val="20"/>
                <w:szCs w:val="20"/>
                <w:color w:val="auto"/>
              </w:rPr>
            </w:pPr>
            <w:r>
              <w:rPr>
                <w:rFonts w:ascii="Arial" w:cs="Arial" w:eastAsia="Arial" w:hAnsi="Arial"/>
                <w:sz w:val="13"/>
                <w:szCs w:val="13"/>
                <w:b w:val="1"/>
                <w:bCs w:val="1"/>
                <w:color w:val="auto"/>
              </w:rPr>
              <w:t>Average</w:t>
            </w:r>
          </w:p>
        </w:tc>
        <w:tc>
          <w:tcPr>
            <w:tcW w:w="60" w:type="dxa"/>
            <w:vAlign w:val="bottom"/>
            <w:shd w:val="clear" w:color="auto" w:fill="ECEBEB"/>
          </w:tcPr>
          <w:p>
            <w:pPr>
              <w:spacing w:after="0"/>
              <w:rPr>
                <w:sz w:val="11"/>
                <w:szCs w:val="11"/>
                <w:color w:val="auto"/>
              </w:rPr>
            </w:pPr>
          </w:p>
        </w:tc>
        <w:tc>
          <w:tcPr>
            <w:tcW w:w="860" w:type="dxa"/>
            <w:vAlign w:val="bottom"/>
            <w:shd w:val="clear" w:color="auto" w:fill="ECEBEB"/>
          </w:tcPr>
          <w:p>
            <w:pPr>
              <w:spacing w:after="0"/>
              <w:rPr>
                <w:sz w:val="11"/>
                <w:szCs w:val="11"/>
                <w:color w:val="auto"/>
              </w:rPr>
            </w:pPr>
          </w:p>
        </w:tc>
        <w:tc>
          <w:tcPr>
            <w:tcW w:w="720" w:type="dxa"/>
            <w:vAlign w:val="bottom"/>
            <w:shd w:val="clear" w:color="auto" w:fill="ECEBEB"/>
          </w:tcPr>
          <w:p>
            <w:pPr>
              <w:jc w:val="right"/>
              <w:spacing w:after="0" w:line="138" w:lineRule="exact"/>
              <w:rPr>
                <w:sz w:val="20"/>
                <w:szCs w:val="20"/>
                <w:color w:val="auto"/>
              </w:rPr>
            </w:pPr>
            <w:r>
              <w:rPr>
                <w:rFonts w:ascii="Arial" w:cs="Arial" w:eastAsia="Arial" w:hAnsi="Arial"/>
                <w:sz w:val="13"/>
                <w:szCs w:val="13"/>
                <w:b w:val="1"/>
                <w:bCs w:val="1"/>
                <w:color w:val="auto"/>
              </w:rPr>
              <w:t>Average</w:t>
            </w:r>
          </w:p>
        </w:tc>
        <w:tc>
          <w:tcPr>
            <w:tcW w:w="60" w:type="dxa"/>
            <w:vAlign w:val="bottom"/>
            <w:shd w:val="clear" w:color="auto" w:fill="ECEBEB"/>
          </w:tcPr>
          <w:p>
            <w:pPr>
              <w:spacing w:after="0"/>
              <w:rPr>
                <w:sz w:val="11"/>
                <w:szCs w:val="11"/>
                <w:color w:val="auto"/>
              </w:rPr>
            </w:pPr>
          </w:p>
        </w:tc>
        <w:tc>
          <w:tcPr>
            <w:tcW w:w="840" w:type="dxa"/>
            <w:vAlign w:val="bottom"/>
            <w:shd w:val="clear" w:color="auto" w:fill="ECEBEB"/>
          </w:tcPr>
          <w:p>
            <w:pPr>
              <w:spacing w:after="0"/>
              <w:rPr>
                <w:sz w:val="11"/>
                <w:szCs w:val="11"/>
                <w:color w:val="auto"/>
              </w:rPr>
            </w:pPr>
          </w:p>
        </w:tc>
        <w:tc>
          <w:tcPr>
            <w:tcW w:w="760" w:type="dxa"/>
            <w:vAlign w:val="bottom"/>
            <w:shd w:val="clear" w:color="auto" w:fill="ECEBEB"/>
          </w:tcPr>
          <w:p>
            <w:pPr>
              <w:jc w:val="right"/>
              <w:spacing w:after="0" w:line="138" w:lineRule="exact"/>
              <w:rPr>
                <w:sz w:val="20"/>
                <w:szCs w:val="20"/>
                <w:color w:val="auto"/>
              </w:rPr>
            </w:pPr>
            <w:r>
              <w:rPr>
                <w:rFonts w:ascii="Arial" w:cs="Arial" w:eastAsia="Arial" w:hAnsi="Arial"/>
                <w:sz w:val="13"/>
                <w:szCs w:val="13"/>
                <w:b w:val="1"/>
                <w:bCs w:val="1"/>
                <w:color w:val="auto"/>
              </w:rPr>
              <w:t>Average</w:t>
            </w:r>
          </w:p>
        </w:tc>
        <w:tc>
          <w:tcPr>
            <w:tcW w:w="60" w:type="dxa"/>
            <w:vAlign w:val="bottom"/>
            <w:shd w:val="clear" w:color="auto" w:fill="ECEBEB"/>
          </w:tcPr>
          <w:p>
            <w:pPr>
              <w:spacing w:after="0"/>
              <w:rPr>
                <w:sz w:val="11"/>
                <w:szCs w:val="11"/>
                <w:color w:val="auto"/>
              </w:rPr>
            </w:pPr>
          </w:p>
        </w:tc>
        <w:tc>
          <w:tcPr>
            <w:tcW w:w="840" w:type="dxa"/>
            <w:vAlign w:val="bottom"/>
            <w:shd w:val="clear" w:color="auto" w:fill="ECEBEB"/>
          </w:tcPr>
          <w:p>
            <w:pPr>
              <w:spacing w:after="0"/>
              <w:rPr>
                <w:sz w:val="11"/>
                <w:szCs w:val="11"/>
                <w:color w:val="auto"/>
              </w:rPr>
            </w:pPr>
          </w:p>
        </w:tc>
        <w:tc>
          <w:tcPr>
            <w:tcW w:w="740" w:type="dxa"/>
            <w:vAlign w:val="bottom"/>
            <w:shd w:val="clear" w:color="auto" w:fill="ECEBEB"/>
          </w:tcPr>
          <w:p>
            <w:pPr>
              <w:jc w:val="right"/>
              <w:spacing w:after="0" w:line="138" w:lineRule="exact"/>
              <w:rPr>
                <w:sz w:val="20"/>
                <w:szCs w:val="20"/>
                <w:color w:val="auto"/>
              </w:rPr>
            </w:pPr>
            <w:r>
              <w:rPr>
                <w:rFonts w:ascii="Arial" w:cs="Arial" w:eastAsia="Arial" w:hAnsi="Arial"/>
                <w:sz w:val="13"/>
                <w:szCs w:val="13"/>
                <w:b w:val="1"/>
                <w:bCs w:val="1"/>
                <w:color w:val="auto"/>
              </w:rPr>
              <w:t>Average</w:t>
            </w:r>
          </w:p>
        </w:tc>
        <w:tc>
          <w:tcPr>
            <w:tcW w:w="60" w:type="dxa"/>
            <w:vAlign w:val="bottom"/>
            <w:shd w:val="clear" w:color="auto" w:fill="ECEBEB"/>
          </w:tcPr>
          <w:p>
            <w:pPr>
              <w:spacing w:after="0"/>
              <w:rPr>
                <w:sz w:val="11"/>
                <w:szCs w:val="11"/>
                <w:color w:val="auto"/>
              </w:rPr>
            </w:pPr>
          </w:p>
        </w:tc>
        <w:tc>
          <w:tcPr>
            <w:tcW w:w="820" w:type="dxa"/>
            <w:vAlign w:val="bottom"/>
            <w:shd w:val="clear" w:color="auto" w:fill="ECEBEB"/>
          </w:tcPr>
          <w:p>
            <w:pPr>
              <w:spacing w:after="0"/>
              <w:rPr>
                <w:sz w:val="11"/>
                <w:szCs w:val="11"/>
                <w:color w:val="auto"/>
              </w:rPr>
            </w:pPr>
          </w:p>
        </w:tc>
        <w:tc>
          <w:tcPr>
            <w:tcW w:w="720" w:type="dxa"/>
            <w:vAlign w:val="bottom"/>
            <w:shd w:val="clear" w:color="auto" w:fill="ECEBEB"/>
          </w:tcPr>
          <w:p>
            <w:pPr>
              <w:jc w:val="right"/>
              <w:spacing w:after="0" w:line="138" w:lineRule="exact"/>
              <w:rPr>
                <w:sz w:val="20"/>
                <w:szCs w:val="20"/>
                <w:color w:val="auto"/>
              </w:rPr>
            </w:pPr>
            <w:r>
              <w:rPr>
                <w:rFonts w:ascii="Arial" w:cs="Arial" w:eastAsia="Arial" w:hAnsi="Arial"/>
                <w:sz w:val="13"/>
                <w:szCs w:val="13"/>
                <w:b w:val="1"/>
                <w:bCs w:val="1"/>
                <w:color w:val="auto"/>
              </w:rPr>
              <w:t>Average</w:t>
            </w:r>
          </w:p>
        </w:tc>
      </w:tr>
      <w:tr>
        <w:trPr>
          <w:trHeight w:val="162"/>
        </w:trPr>
        <w:tc>
          <w:tcPr>
            <w:tcW w:w="960" w:type="dxa"/>
            <w:vAlign w:val="bottom"/>
            <w:shd w:val="clear" w:color="auto" w:fill="ECEBEB"/>
          </w:tcPr>
          <w:p>
            <w:pPr>
              <w:spacing w:after="0"/>
              <w:rPr>
                <w:sz w:val="14"/>
                <w:szCs w:val="14"/>
                <w:color w:val="auto"/>
              </w:rPr>
            </w:pPr>
          </w:p>
        </w:tc>
        <w:tc>
          <w:tcPr>
            <w:tcW w:w="820" w:type="dxa"/>
            <w:vAlign w:val="bottom"/>
            <w:shd w:val="clear" w:color="auto" w:fill="ECEBEB"/>
          </w:tcPr>
          <w:p>
            <w:pPr>
              <w:spacing w:after="0"/>
              <w:rPr>
                <w:sz w:val="14"/>
                <w:szCs w:val="14"/>
                <w:color w:val="auto"/>
              </w:rPr>
            </w:pPr>
          </w:p>
        </w:tc>
        <w:tc>
          <w:tcPr>
            <w:tcW w:w="820" w:type="dxa"/>
            <w:vAlign w:val="bottom"/>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Non-CEO</w:t>
            </w:r>
          </w:p>
        </w:tc>
        <w:tc>
          <w:tcPr>
            <w:tcW w:w="860" w:type="dxa"/>
            <w:vAlign w:val="bottom"/>
            <w:shd w:val="clear" w:color="auto" w:fill="ECEBEB"/>
          </w:tcPr>
          <w:p>
            <w:pPr>
              <w:spacing w:after="0"/>
              <w:rPr>
                <w:sz w:val="14"/>
                <w:szCs w:val="14"/>
                <w:color w:val="auto"/>
              </w:rPr>
            </w:pPr>
          </w:p>
        </w:tc>
        <w:tc>
          <w:tcPr>
            <w:tcW w:w="780" w:type="dxa"/>
            <w:vAlign w:val="bottom"/>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Non-CEO</w:t>
            </w:r>
          </w:p>
        </w:tc>
        <w:tc>
          <w:tcPr>
            <w:tcW w:w="840" w:type="dxa"/>
            <w:vAlign w:val="bottom"/>
            <w:shd w:val="clear" w:color="auto" w:fill="ECEBEB"/>
          </w:tcPr>
          <w:p>
            <w:pPr>
              <w:spacing w:after="0"/>
              <w:rPr>
                <w:sz w:val="14"/>
                <w:szCs w:val="14"/>
                <w:color w:val="auto"/>
              </w:rPr>
            </w:pPr>
          </w:p>
        </w:tc>
        <w:tc>
          <w:tcPr>
            <w:tcW w:w="820" w:type="dxa"/>
            <w:vAlign w:val="bottom"/>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Non-CEO</w:t>
            </w:r>
          </w:p>
        </w:tc>
        <w:tc>
          <w:tcPr>
            <w:tcW w:w="840" w:type="dxa"/>
            <w:vAlign w:val="bottom"/>
            <w:shd w:val="clear" w:color="auto" w:fill="ECEBEB"/>
          </w:tcPr>
          <w:p>
            <w:pPr>
              <w:spacing w:after="0"/>
              <w:rPr>
                <w:sz w:val="14"/>
                <w:szCs w:val="14"/>
                <w:color w:val="auto"/>
              </w:rPr>
            </w:pPr>
          </w:p>
        </w:tc>
        <w:tc>
          <w:tcPr>
            <w:tcW w:w="800" w:type="dxa"/>
            <w:vAlign w:val="bottom"/>
            <w:gridSpan w:val="2"/>
            <w:shd w:val="clear" w:color="auto" w:fill="ECEBEB"/>
          </w:tcPr>
          <w:p>
            <w:pPr>
              <w:jc w:val="right"/>
              <w:ind w:right="80"/>
              <w:spacing w:after="0"/>
              <w:rPr>
                <w:sz w:val="20"/>
                <w:szCs w:val="20"/>
                <w:color w:val="auto"/>
              </w:rPr>
            </w:pPr>
            <w:r>
              <w:rPr>
                <w:rFonts w:ascii="Arial" w:cs="Arial" w:eastAsia="Arial" w:hAnsi="Arial"/>
                <w:sz w:val="13"/>
                <w:szCs w:val="13"/>
                <w:b w:val="1"/>
                <w:bCs w:val="1"/>
                <w:color w:val="auto"/>
              </w:rPr>
              <w:t>Non-CEO</w:t>
            </w:r>
          </w:p>
        </w:tc>
        <w:tc>
          <w:tcPr>
            <w:tcW w:w="820" w:type="dxa"/>
            <w:vAlign w:val="bottom"/>
            <w:shd w:val="clear" w:color="auto" w:fill="ECEBEB"/>
          </w:tcPr>
          <w:p>
            <w:pPr>
              <w:spacing w:after="0"/>
              <w:rPr>
                <w:sz w:val="14"/>
                <w:szCs w:val="14"/>
                <w:color w:val="auto"/>
              </w:rPr>
            </w:pPr>
          </w:p>
        </w:tc>
        <w:tc>
          <w:tcPr>
            <w:tcW w:w="720" w:type="dxa"/>
            <w:vAlign w:val="bottom"/>
            <w:shd w:val="clear" w:color="auto" w:fill="ECEBEB"/>
          </w:tcPr>
          <w:p>
            <w:pPr>
              <w:jc w:val="right"/>
              <w:spacing w:after="0"/>
              <w:rPr>
                <w:sz w:val="20"/>
                <w:szCs w:val="20"/>
                <w:color w:val="auto"/>
              </w:rPr>
            </w:pPr>
            <w:r>
              <w:rPr>
                <w:rFonts w:ascii="Arial" w:cs="Arial" w:eastAsia="Arial" w:hAnsi="Arial"/>
                <w:sz w:val="13"/>
                <w:szCs w:val="13"/>
                <w:b w:val="1"/>
                <w:bCs w:val="1"/>
                <w:color w:val="auto"/>
              </w:rPr>
              <w:t>Non-CEO</w:t>
            </w:r>
          </w:p>
        </w:tc>
      </w:tr>
      <w:tr>
        <w:trPr>
          <w:trHeight w:val="176"/>
        </w:trPr>
        <w:tc>
          <w:tcPr>
            <w:tcW w:w="960" w:type="dxa"/>
            <w:vAlign w:val="bottom"/>
            <w:tcBorders>
              <w:bottom w:val="single" w:sz="8" w:color="0956FF"/>
            </w:tcBorders>
            <w:shd w:val="clear" w:color="auto" w:fill="ECEBEB"/>
          </w:tcPr>
          <w:p>
            <w:pPr>
              <w:spacing w:after="0"/>
              <w:rPr>
                <w:sz w:val="15"/>
                <w:szCs w:val="15"/>
                <w:color w:val="auto"/>
              </w:rPr>
            </w:pPr>
          </w:p>
        </w:tc>
        <w:tc>
          <w:tcPr>
            <w:tcW w:w="82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CEO</w:t>
            </w:r>
          </w:p>
        </w:tc>
        <w:tc>
          <w:tcPr>
            <w:tcW w:w="820" w:type="dxa"/>
            <w:vAlign w:val="bottom"/>
            <w:tcBorders>
              <w:bottom w:val="single" w:sz="8" w:color="0956FF"/>
            </w:tcBorders>
            <w:gridSpan w:val="2"/>
            <w:shd w:val="clear" w:color="auto" w:fill="ECEBEB"/>
          </w:tcPr>
          <w:p>
            <w:pPr>
              <w:jc w:val="right"/>
              <w:ind w:right="80"/>
              <w:spacing w:after="0"/>
              <w:rPr>
                <w:sz w:val="20"/>
                <w:szCs w:val="20"/>
                <w:color w:val="auto"/>
              </w:rPr>
            </w:pPr>
            <w:r>
              <w:rPr>
                <w:rFonts w:ascii="Arial" w:cs="Arial" w:eastAsia="Arial" w:hAnsi="Arial"/>
                <w:sz w:val="13"/>
                <w:szCs w:val="13"/>
                <w:b w:val="1"/>
                <w:bCs w:val="1"/>
                <w:color w:val="auto"/>
              </w:rPr>
              <w:t>NEOs</w:t>
            </w:r>
          </w:p>
        </w:tc>
        <w:tc>
          <w:tcPr>
            <w:tcW w:w="860" w:type="dxa"/>
            <w:vAlign w:val="bottom"/>
            <w:tcBorders>
              <w:bottom w:val="single" w:sz="8" w:color="0956FF"/>
            </w:tcBorders>
            <w:shd w:val="clear" w:color="auto" w:fill="ECEBEB"/>
          </w:tcPr>
          <w:p>
            <w:pPr>
              <w:jc w:val="right"/>
              <w:ind w:right="17"/>
              <w:spacing w:after="0"/>
              <w:rPr>
                <w:sz w:val="20"/>
                <w:szCs w:val="20"/>
                <w:color w:val="auto"/>
              </w:rPr>
            </w:pPr>
            <w:r>
              <w:rPr>
                <w:rFonts w:ascii="Arial" w:cs="Arial" w:eastAsia="Arial" w:hAnsi="Arial"/>
                <w:sz w:val="13"/>
                <w:szCs w:val="13"/>
                <w:b w:val="1"/>
                <w:bCs w:val="1"/>
                <w:color w:val="auto"/>
              </w:rPr>
              <w:t>CEO</w:t>
            </w:r>
          </w:p>
        </w:tc>
        <w:tc>
          <w:tcPr>
            <w:tcW w:w="780" w:type="dxa"/>
            <w:vAlign w:val="bottom"/>
            <w:tcBorders>
              <w:bottom w:val="single" w:sz="8" w:color="0956FF"/>
            </w:tcBorders>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NEOs</w:t>
            </w:r>
          </w:p>
        </w:tc>
        <w:tc>
          <w:tcPr>
            <w:tcW w:w="8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CEO</w:t>
            </w:r>
          </w:p>
        </w:tc>
        <w:tc>
          <w:tcPr>
            <w:tcW w:w="820" w:type="dxa"/>
            <w:vAlign w:val="bottom"/>
            <w:tcBorders>
              <w:bottom w:val="single" w:sz="8" w:color="0956FF"/>
            </w:tcBorders>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NEOs</w:t>
            </w:r>
          </w:p>
        </w:tc>
        <w:tc>
          <w:tcPr>
            <w:tcW w:w="8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CEO</w:t>
            </w:r>
          </w:p>
        </w:tc>
        <w:tc>
          <w:tcPr>
            <w:tcW w:w="800" w:type="dxa"/>
            <w:vAlign w:val="bottom"/>
            <w:tcBorders>
              <w:bottom w:val="single" w:sz="8" w:color="0956FF"/>
            </w:tcBorders>
            <w:gridSpan w:val="2"/>
            <w:shd w:val="clear" w:color="auto" w:fill="ECEBEB"/>
          </w:tcPr>
          <w:p>
            <w:pPr>
              <w:ind w:left="360"/>
              <w:spacing w:after="0"/>
              <w:rPr>
                <w:sz w:val="20"/>
                <w:szCs w:val="20"/>
                <w:color w:val="auto"/>
              </w:rPr>
            </w:pPr>
            <w:r>
              <w:rPr>
                <w:rFonts w:ascii="Arial" w:cs="Arial" w:eastAsia="Arial" w:hAnsi="Arial"/>
                <w:sz w:val="13"/>
                <w:szCs w:val="13"/>
                <w:b w:val="1"/>
                <w:bCs w:val="1"/>
                <w:color w:val="auto"/>
              </w:rPr>
              <w:t>NEOs</w:t>
            </w:r>
          </w:p>
        </w:tc>
        <w:tc>
          <w:tcPr>
            <w:tcW w:w="82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CEO</w:t>
            </w:r>
          </w:p>
        </w:tc>
        <w:tc>
          <w:tcPr>
            <w:tcW w:w="72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NEOs</w:t>
            </w:r>
          </w:p>
        </w:tc>
      </w:tr>
      <w:tr>
        <w:trPr>
          <w:trHeight w:val="186"/>
        </w:trPr>
        <w:tc>
          <w:tcPr>
            <w:tcW w:w="960" w:type="dxa"/>
            <w:vAlign w:val="bottom"/>
            <w:tcBorders>
              <w:bottom w:val="single" w:sz="8" w:color="D8D7D7"/>
            </w:tcBorders>
          </w:tcPr>
          <w:p>
            <w:pPr>
              <w:ind w:left="60"/>
              <w:spacing w:after="0"/>
              <w:rPr>
                <w:sz w:val="20"/>
                <w:szCs w:val="20"/>
                <w:color w:val="auto"/>
              </w:rPr>
            </w:pPr>
            <w:r>
              <w:rPr>
                <w:rFonts w:ascii="Arial" w:cs="Arial" w:eastAsia="Arial" w:hAnsi="Arial"/>
                <w:sz w:val="13"/>
                <w:szCs w:val="13"/>
                <w:color w:val="auto"/>
              </w:rPr>
              <w:t>SCT Total</w:t>
            </w:r>
          </w:p>
        </w:tc>
        <w:tc>
          <w:tcPr>
            <w:tcW w:w="820" w:type="dxa"/>
            <w:vAlign w:val="bottom"/>
            <w:tcBorders>
              <w:bottom w:val="single" w:sz="8" w:color="D8D7D7"/>
            </w:tcBorders>
          </w:tcPr>
          <w:p>
            <w:pPr>
              <w:jc w:val="right"/>
              <w:ind w:right="57"/>
              <w:spacing w:after="0"/>
              <w:rPr>
                <w:sz w:val="20"/>
                <w:szCs w:val="20"/>
                <w:color w:val="auto"/>
              </w:rPr>
            </w:pPr>
            <w:r>
              <w:rPr>
                <w:rFonts w:ascii="Arial" w:cs="Arial" w:eastAsia="Arial" w:hAnsi="Arial"/>
                <w:sz w:val="13"/>
                <w:szCs w:val="13"/>
                <w:color w:val="auto"/>
              </w:rPr>
              <w:t>29,895,868</w:t>
            </w:r>
          </w:p>
        </w:tc>
        <w:tc>
          <w:tcPr>
            <w:tcW w:w="760" w:type="dxa"/>
            <w:vAlign w:val="bottom"/>
            <w:tcBorders>
              <w:bottom w:val="single" w:sz="8" w:color="D8D7D7"/>
            </w:tcBorders>
          </w:tcPr>
          <w:p>
            <w:pPr>
              <w:jc w:val="right"/>
              <w:ind w:right="37"/>
              <w:spacing w:after="0"/>
              <w:rPr>
                <w:sz w:val="20"/>
                <w:szCs w:val="20"/>
                <w:color w:val="auto"/>
              </w:rPr>
            </w:pPr>
            <w:r>
              <w:rPr>
                <w:rFonts w:ascii="Arial" w:cs="Arial" w:eastAsia="Arial" w:hAnsi="Arial"/>
                <w:sz w:val="13"/>
                <w:szCs w:val="13"/>
                <w:color w:val="auto"/>
                <w:w w:val="98"/>
              </w:rPr>
              <w:t>20,806,506</w:t>
            </w:r>
          </w:p>
        </w:tc>
        <w:tc>
          <w:tcPr>
            <w:tcW w:w="60" w:type="dxa"/>
            <w:vAlign w:val="bottom"/>
            <w:tcBorders>
              <w:bottom w:val="single" w:sz="8" w:color="D8D7D7"/>
            </w:tcBorders>
          </w:tcPr>
          <w:p>
            <w:pPr>
              <w:spacing w:after="0"/>
              <w:rPr>
                <w:sz w:val="16"/>
                <w:szCs w:val="16"/>
                <w:color w:val="auto"/>
              </w:rPr>
            </w:pPr>
          </w:p>
        </w:tc>
        <w:tc>
          <w:tcPr>
            <w:tcW w:w="860" w:type="dxa"/>
            <w:vAlign w:val="bottom"/>
            <w:tcBorders>
              <w:bottom w:val="single" w:sz="8" w:color="D8D7D7"/>
            </w:tcBorders>
          </w:tcPr>
          <w:p>
            <w:pPr>
              <w:jc w:val="right"/>
              <w:ind w:right="77"/>
              <w:spacing w:after="0"/>
              <w:rPr>
                <w:sz w:val="20"/>
                <w:szCs w:val="20"/>
                <w:color w:val="auto"/>
              </w:rPr>
            </w:pPr>
            <w:r>
              <w:rPr>
                <w:rFonts w:ascii="Arial" w:cs="Arial" w:eastAsia="Arial" w:hAnsi="Arial"/>
                <w:sz w:val="13"/>
                <w:szCs w:val="13"/>
                <w:color w:val="auto"/>
              </w:rPr>
              <w:t>29,496,637</w:t>
            </w:r>
          </w:p>
        </w:tc>
        <w:tc>
          <w:tcPr>
            <w:tcW w:w="7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12,772,607</w:t>
            </w:r>
          </w:p>
        </w:tc>
        <w:tc>
          <w:tcPr>
            <w:tcW w:w="60" w:type="dxa"/>
            <w:vAlign w:val="bottom"/>
            <w:tcBorders>
              <w:bottom w:val="single" w:sz="8" w:color="D8D7D7"/>
            </w:tcBorders>
          </w:tcPr>
          <w:p>
            <w:pPr>
              <w:spacing w:after="0"/>
              <w:rPr>
                <w:sz w:val="16"/>
                <w:szCs w:val="16"/>
                <w:color w:val="auto"/>
              </w:rPr>
            </w:pPr>
          </w:p>
        </w:tc>
        <w:tc>
          <w:tcPr>
            <w:tcW w:w="840" w:type="dxa"/>
            <w:vAlign w:val="bottom"/>
            <w:tcBorders>
              <w:bottom w:val="single" w:sz="8" w:color="D8D7D7"/>
            </w:tcBorders>
          </w:tcPr>
          <w:p>
            <w:pPr>
              <w:jc w:val="right"/>
              <w:ind w:right="77"/>
              <w:spacing w:after="0"/>
              <w:rPr>
                <w:sz w:val="20"/>
                <w:szCs w:val="20"/>
                <w:color w:val="auto"/>
              </w:rPr>
            </w:pPr>
            <w:r>
              <w:rPr>
                <w:rFonts w:ascii="Arial" w:cs="Arial" w:eastAsia="Arial" w:hAnsi="Arial"/>
                <w:sz w:val="13"/>
                <w:szCs w:val="13"/>
                <w:color w:val="auto"/>
              </w:rPr>
              <w:t>27,847,405</w:t>
            </w:r>
          </w:p>
        </w:tc>
        <w:tc>
          <w:tcPr>
            <w:tcW w:w="76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15,245,310</w:t>
            </w:r>
          </w:p>
        </w:tc>
        <w:tc>
          <w:tcPr>
            <w:tcW w:w="60" w:type="dxa"/>
            <w:vAlign w:val="bottom"/>
            <w:tcBorders>
              <w:bottom w:val="single" w:sz="8" w:color="D8D7D7"/>
            </w:tcBorders>
          </w:tcPr>
          <w:p>
            <w:pPr>
              <w:spacing w:after="0"/>
              <w:rPr>
                <w:sz w:val="16"/>
                <w:szCs w:val="16"/>
                <w:color w:val="auto"/>
              </w:rPr>
            </w:pPr>
          </w:p>
        </w:tc>
        <w:tc>
          <w:tcPr>
            <w:tcW w:w="840" w:type="dxa"/>
            <w:vAlign w:val="bottom"/>
            <w:tcBorders>
              <w:bottom w:val="single" w:sz="8" w:color="D8D7D7"/>
            </w:tcBorders>
          </w:tcPr>
          <w:p>
            <w:pPr>
              <w:jc w:val="right"/>
              <w:ind w:right="37"/>
              <w:spacing w:after="0"/>
              <w:rPr>
                <w:sz w:val="20"/>
                <w:szCs w:val="20"/>
                <w:color w:val="auto"/>
              </w:rPr>
            </w:pPr>
            <w:r>
              <w:rPr>
                <w:rFonts w:ascii="Arial" w:cs="Arial" w:eastAsia="Arial" w:hAnsi="Arial"/>
                <w:sz w:val="13"/>
                <w:szCs w:val="13"/>
                <w:color w:val="auto"/>
              </w:rPr>
              <w:t>28,979,570</w:t>
            </w:r>
          </w:p>
        </w:tc>
        <w:tc>
          <w:tcPr>
            <w:tcW w:w="74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10,539,930</w:t>
            </w:r>
          </w:p>
        </w:tc>
        <w:tc>
          <w:tcPr>
            <w:tcW w:w="60" w:type="dxa"/>
            <w:vAlign w:val="bottom"/>
            <w:tcBorders>
              <w:bottom w:val="single" w:sz="8" w:color="D8D7D7"/>
            </w:tcBorders>
          </w:tcPr>
          <w:p>
            <w:pPr>
              <w:spacing w:after="0"/>
              <w:rPr>
                <w:sz w:val="16"/>
                <w:szCs w:val="16"/>
                <w:color w:val="auto"/>
              </w:rPr>
            </w:pPr>
          </w:p>
        </w:tc>
        <w:tc>
          <w:tcPr>
            <w:tcW w:w="820" w:type="dxa"/>
            <w:vAlign w:val="bottom"/>
            <w:tcBorders>
              <w:bottom w:val="single" w:sz="8" w:color="D8D7D7"/>
            </w:tcBorders>
          </w:tcPr>
          <w:p>
            <w:pPr>
              <w:jc w:val="right"/>
              <w:ind w:right="37"/>
              <w:spacing w:after="0"/>
              <w:rPr>
                <w:sz w:val="20"/>
                <w:szCs w:val="20"/>
                <w:color w:val="auto"/>
              </w:rPr>
            </w:pPr>
            <w:r>
              <w:rPr>
                <w:rFonts w:ascii="Arial" w:cs="Arial" w:eastAsia="Arial" w:hAnsi="Arial"/>
                <w:sz w:val="13"/>
                <w:szCs w:val="13"/>
                <w:color w:val="auto"/>
              </w:rPr>
              <w:t>29,136,780</w:t>
            </w:r>
          </w:p>
        </w:tc>
        <w:tc>
          <w:tcPr>
            <w:tcW w:w="720" w:type="dxa"/>
            <w:vAlign w:val="bottom"/>
            <w:tcBorders>
              <w:bottom w:val="single" w:sz="8" w:color="D8D7D7"/>
            </w:tcBorders>
          </w:tcPr>
          <w:p>
            <w:pPr>
              <w:jc w:val="right"/>
              <w:spacing w:after="0"/>
              <w:rPr>
                <w:sz w:val="20"/>
                <w:szCs w:val="20"/>
                <w:color w:val="auto"/>
              </w:rPr>
            </w:pPr>
            <w:r>
              <w:rPr>
                <w:rFonts w:ascii="Arial" w:cs="Arial" w:eastAsia="Arial" w:hAnsi="Arial"/>
                <w:sz w:val="13"/>
                <w:szCs w:val="13"/>
                <w:color w:val="auto"/>
              </w:rPr>
              <w:t>9,982,519</w:t>
            </w: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Less: Change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(52,463)</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(5,554)</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in Actuarial</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Present Value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Reported in</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the “Change in</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Pension Value</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and NQ</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Deferred</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Compensation</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Earnings”</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Column of the</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3"/>
        </w:trPr>
        <w:tc>
          <w:tcPr>
            <w:tcW w:w="960" w:type="dxa"/>
            <w:vAlign w:val="bottom"/>
            <w:tcBorders>
              <w:bottom w:val="single" w:sz="8" w:color="D8D7D7"/>
            </w:tcBorders>
          </w:tcPr>
          <w:p>
            <w:pPr>
              <w:ind w:left="60"/>
              <w:spacing w:after="0"/>
              <w:rPr>
                <w:sz w:val="20"/>
                <w:szCs w:val="20"/>
                <w:color w:val="auto"/>
              </w:rPr>
            </w:pPr>
            <w:r>
              <w:rPr>
                <w:rFonts w:ascii="Arial" w:cs="Arial" w:eastAsia="Arial" w:hAnsi="Arial"/>
                <w:sz w:val="13"/>
                <w:szCs w:val="13"/>
                <w:color w:val="auto"/>
              </w:rPr>
              <w:t>SCT</w:t>
            </w:r>
          </w:p>
        </w:tc>
        <w:tc>
          <w:tcPr>
            <w:tcW w:w="820" w:type="dxa"/>
            <w:vAlign w:val="bottom"/>
            <w:tcBorders>
              <w:bottom w:val="single" w:sz="8" w:color="D8D7D7"/>
            </w:tcBorders>
          </w:tcPr>
          <w:p>
            <w:pPr>
              <w:spacing w:after="0"/>
              <w:rPr>
                <w:sz w:val="15"/>
                <w:szCs w:val="15"/>
                <w:color w:val="auto"/>
              </w:rPr>
            </w:pPr>
          </w:p>
        </w:tc>
        <w:tc>
          <w:tcPr>
            <w:tcW w:w="760" w:type="dxa"/>
            <w:vAlign w:val="bottom"/>
            <w:tcBorders>
              <w:bottom w:val="single" w:sz="8" w:color="D8D7D7"/>
            </w:tcBorders>
          </w:tcPr>
          <w:p>
            <w:pPr>
              <w:spacing w:after="0"/>
              <w:rPr>
                <w:sz w:val="15"/>
                <w:szCs w:val="15"/>
                <w:color w:val="auto"/>
              </w:rPr>
            </w:pPr>
          </w:p>
        </w:tc>
        <w:tc>
          <w:tcPr>
            <w:tcW w:w="60" w:type="dxa"/>
            <w:vAlign w:val="bottom"/>
            <w:tcBorders>
              <w:bottom w:val="single" w:sz="8" w:color="D8D7D7"/>
            </w:tcBorders>
          </w:tcPr>
          <w:p>
            <w:pPr>
              <w:spacing w:after="0"/>
              <w:rPr>
                <w:sz w:val="15"/>
                <w:szCs w:val="15"/>
                <w:color w:val="auto"/>
              </w:rPr>
            </w:pPr>
          </w:p>
        </w:tc>
        <w:tc>
          <w:tcPr>
            <w:tcW w:w="860" w:type="dxa"/>
            <w:vAlign w:val="bottom"/>
            <w:tcBorders>
              <w:bottom w:val="single" w:sz="8" w:color="D8D7D7"/>
            </w:tcBorders>
          </w:tcPr>
          <w:p>
            <w:pPr>
              <w:spacing w:after="0"/>
              <w:rPr>
                <w:sz w:val="15"/>
                <w:szCs w:val="15"/>
                <w:color w:val="auto"/>
              </w:rPr>
            </w:pPr>
          </w:p>
        </w:tc>
        <w:tc>
          <w:tcPr>
            <w:tcW w:w="720" w:type="dxa"/>
            <w:vAlign w:val="bottom"/>
            <w:tcBorders>
              <w:bottom w:val="single" w:sz="8" w:color="D8D7D7"/>
            </w:tcBorders>
          </w:tcPr>
          <w:p>
            <w:pPr>
              <w:spacing w:after="0"/>
              <w:rPr>
                <w:sz w:val="15"/>
                <w:szCs w:val="15"/>
                <w:color w:val="auto"/>
              </w:rPr>
            </w:pPr>
          </w:p>
        </w:tc>
        <w:tc>
          <w:tcPr>
            <w:tcW w:w="60" w:type="dxa"/>
            <w:vAlign w:val="bottom"/>
            <w:tcBorders>
              <w:bottom w:val="single" w:sz="8" w:color="D8D7D7"/>
            </w:tcBorders>
          </w:tcPr>
          <w:p>
            <w:pPr>
              <w:spacing w:after="0"/>
              <w:rPr>
                <w:sz w:val="15"/>
                <w:szCs w:val="15"/>
                <w:color w:val="auto"/>
              </w:rPr>
            </w:pPr>
          </w:p>
        </w:tc>
        <w:tc>
          <w:tcPr>
            <w:tcW w:w="840" w:type="dxa"/>
            <w:vAlign w:val="bottom"/>
            <w:tcBorders>
              <w:bottom w:val="single" w:sz="8" w:color="D8D7D7"/>
            </w:tcBorders>
          </w:tcPr>
          <w:p>
            <w:pPr>
              <w:spacing w:after="0"/>
              <w:rPr>
                <w:sz w:val="15"/>
                <w:szCs w:val="15"/>
                <w:color w:val="auto"/>
              </w:rPr>
            </w:pPr>
          </w:p>
        </w:tc>
        <w:tc>
          <w:tcPr>
            <w:tcW w:w="760" w:type="dxa"/>
            <w:vAlign w:val="bottom"/>
            <w:tcBorders>
              <w:bottom w:val="single" w:sz="8" w:color="D8D7D7"/>
            </w:tcBorders>
          </w:tcPr>
          <w:p>
            <w:pPr>
              <w:spacing w:after="0"/>
              <w:rPr>
                <w:sz w:val="15"/>
                <w:szCs w:val="15"/>
                <w:color w:val="auto"/>
              </w:rPr>
            </w:pPr>
          </w:p>
        </w:tc>
        <w:tc>
          <w:tcPr>
            <w:tcW w:w="60" w:type="dxa"/>
            <w:vAlign w:val="bottom"/>
            <w:tcBorders>
              <w:bottom w:val="single" w:sz="8" w:color="D8D7D7"/>
            </w:tcBorders>
          </w:tcPr>
          <w:p>
            <w:pPr>
              <w:spacing w:after="0"/>
              <w:rPr>
                <w:sz w:val="15"/>
                <w:szCs w:val="15"/>
                <w:color w:val="auto"/>
              </w:rPr>
            </w:pPr>
          </w:p>
        </w:tc>
        <w:tc>
          <w:tcPr>
            <w:tcW w:w="840" w:type="dxa"/>
            <w:vAlign w:val="bottom"/>
            <w:tcBorders>
              <w:bottom w:val="single" w:sz="8" w:color="D8D7D7"/>
            </w:tcBorders>
          </w:tcPr>
          <w:p>
            <w:pPr>
              <w:spacing w:after="0"/>
              <w:rPr>
                <w:sz w:val="15"/>
                <w:szCs w:val="15"/>
                <w:color w:val="auto"/>
              </w:rPr>
            </w:pPr>
          </w:p>
        </w:tc>
        <w:tc>
          <w:tcPr>
            <w:tcW w:w="740" w:type="dxa"/>
            <w:vAlign w:val="bottom"/>
            <w:tcBorders>
              <w:bottom w:val="single" w:sz="8" w:color="D8D7D7"/>
            </w:tcBorders>
          </w:tcPr>
          <w:p>
            <w:pPr>
              <w:spacing w:after="0"/>
              <w:rPr>
                <w:sz w:val="15"/>
                <w:szCs w:val="15"/>
                <w:color w:val="auto"/>
              </w:rPr>
            </w:pPr>
          </w:p>
        </w:tc>
        <w:tc>
          <w:tcPr>
            <w:tcW w:w="60" w:type="dxa"/>
            <w:vAlign w:val="bottom"/>
            <w:tcBorders>
              <w:bottom w:val="single" w:sz="8" w:color="D8D7D7"/>
            </w:tcBorders>
          </w:tcPr>
          <w:p>
            <w:pPr>
              <w:spacing w:after="0"/>
              <w:rPr>
                <w:sz w:val="15"/>
                <w:szCs w:val="15"/>
                <w:color w:val="auto"/>
              </w:rPr>
            </w:pPr>
          </w:p>
        </w:tc>
        <w:tc>
          <w:tcPr>
            <w:tcW w:w="820" w:type="dxa"/>
            <w:vAlign w:val="bottom"/>
            <w:tcBorders>
              <w:bottom w:val="single" w:sz="8" w:color="D8D7D7"/>
            </w:tcBorders>
          </w:tcPr>
          <w:p>
            <w:pPr>
              <w:spacing w:after="0"/>
              <w:rPr>
                <w:sz w:val="15"/>
                <w:szCs w:val="15"/>
                <w:color w:val="auto"/>
              </w:rPr>
            </w:pPr>
          </w:p>
        </w:tc>
        <w:tc>
          <w:tcPr>
            <w:tcW w:w="720" w:type="dxa"/>
            <w:vAlign w:val="bottom"/>
            <w:tcBorders>
              <w:bottom w:val="single" w:sz="8" w:color="D8D7D7"/>
            </w:tcBorders>
          </w:tcPr>
          <w:p>
            <w:pPr>
              <w:spacing w:after="0"/>
              <w:rPr>
                <w:sz w:val="15"/>
                <w:szCs w:val="15"/>
                <w:color w:val="auto"/>
              </w:rPr>
            </w:pPr>
          </w:p>
        </w:tc>
      </w:tr>
      <w:tr>
        <w:trPr>
          <w:trHeight w:val="171"/>
        </w:trPr>
        <w:tc>
          <w:tcPr>
            <w:tcW w:w="960" w:type="dxa"/>
            <w:vAlign w:val="bottom"/>
          </w:tcPr>
          <w:p>
            <w:pPr>
              <w:ind w:left="60"/>
              <w:spacing w:after="0"/>
              <w:rPr>
                <w:sz w:val="20"/>
                <w:szCs w:val="20"/>
                <w:color w:val="auto"/>
              </w:rPr>
            </w:pPr>
            <w:r>
              <w:rPr>
                <w:rFonts w:ascii="Arial" w:cs="Arial" w:eastAsia="Arial" w:hAnsi="Arial"/>
                <w:sz w:val="13"/>
                <w:szCs w:val="13"/>
                <w:color w:val="auto"/>
              </w:rPr>
              <w:t>Plus: Service</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Cost for</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Pension Plans</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8"/>
        </w:trPr>
        <w:tc>
          <w:tcPr>
            <w:tcW w:w="960" w:type="dxa"/>
            <w:vAlign w:val="bottom"/>
            <w:tcBorders>
              <w:bottom w:val="single" w:sz="8" w:color="D8D7D7"/>
            </w:tcBorders>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6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6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6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2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Less: Amount</w:t>
            </w:r>
          </w:p>
        </w:tc>
        <w:tc>
          <w:tcPr>
            <w:tcW w:w="820" w:type="dxa"/>
            <w:vAlign w:val="bottom"/>
          </w:tcPr>
          <w:p>
            <w:pPr>
              <w:jc w:val="right"/>
              <w:spacing w:after="0"/>
              <w:rPr>
                <w:sz w:val="20"/>
                <w:szCs w:val="20"/>
                <w:color w:val="auto"/>
              </w:rPr>
            </w:pPr>
            <w:r>
              <w:rPr>
                <w:rFonts w:ascii="Arial" w:cs="Arial" w:eastAsia="Arial" w:hAnsi="Arial"/>
                <w:sz w:val="13"/>
                <w:szCs w:val="13"/>
                <w:color w:val="auto"/>
              </w:rPr>
              <w:t>(21,623,970)</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(16,980,455)</w:t>
            </w:r>
          </w:p>
        </w:tc>
        <w:tc>
          <w:tcPr>
            <w:tcW w:w="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(19,500,028)</w:t>
            </w:r>
          </w:p>
        </w:tc>
        <w:tc>
          <w:tcPr>
            <w:tcW w:w="720" w:type="dxa"/>
            <w:vAlign w:val="bottom"/>
          </w:tcPr>
          <w:p>
            <w:pPr>
              <w:jc w:val="right"/>
              <w:spacing w:after="0"/>
              <w:rPr>
                <w:sz w:val="20"/>
                <w:szCs w:val="20"/>
                <w:color w:val="auto"/>
              </w:rPr>
            </w:pPr>
            <w:r>
              <w:rPr>
                <w:rFonts w:ascii="Arial" w:cs="Arial" w:eastAsia="Arial" w:hAnsi="Arial"/>
                <w:sz w:val="13"/>
                <w:szCs w:val="13"/>
                <w:color w:val="auto"/>
              </w:rPr>
              <w:t>(9,735,018)</w:t>
            </w:r>
          </w:p>
        </w:tc>
        <w:tc>
          <w:tcPr>
            <w:tcW w:w="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(14,625,000)</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(10,139,445)</w:t>
            </w:r>
          </w:p>
        </w:tc>
        <w:tc>
          <w:tcPr>
            <w:tcW w:w="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(14,625,000)</w:t>
            </w:r>
          </w:p>
        </w:tc>
        <w:tc>
          <w:tcPr>
            <w:tcW w:w="740" w:type="dxa"/>
            <w:vAlign w:val="bottom"/>
          </w:tcPr>
          <w:p>
            <w:pPr>
              <w:jc w:val="right"/>
              <w:spacing w:after="0"/>
              <w:rPr>
                <w:sz w:val="20"/>
                <w:szCs w:val="20"/>
                <w:color w:val="auto"/>
              </w:rPr>
            </w:pPr>
            <w:r>
              <w:rPr>
                <w:rFonts w:ascii="Arial" w:cs="Arial" w:eastAsia="Arial" w:hAnsi="Arial"/>
                <w:sz w:val="13"/>
                <w:szCs w:val="13"/>
                <w:color w:val="auto"/>
              </w:rPr>
              <w:t>(5,470,294)</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(14,582,198)</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(5,069,059)</w:t>
            </w: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Reported in</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the “Stock</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Awards”</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Column of the</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6"/>
        </w:trPr>
        <w:tc>
          <w:tcPr>
            <w:tcW w:w="960" w:type="dxa"/>
            <w:vAlign w:val="bottom"/>
            <w:tcBorders>
              <w:bottom w:val="single" w:sz="8" w:color="D8D7D7"/>
            </w:tcBorders>
          </w:tcPr>
          <w:p>
            <w:pPr>
              <w:ind w:left="60"/>
              <w:spacing w:after="0"/>
              <w:rPr>
                <w:sz w:val="20"/>
                <w:szCs w:val="20"/>
                <w:color w:val="auto"/>
              </w:rPr>
            </w:pPr>
            <w:r>
              <w:rPr>
                <w:rFonts w:ascii="Arial" w:cs="Arial" w:eastAsia="Arial" w:hAnsi="Arial"/>
                <w:sz w:val="13"/>
                <w:szCs w:val="13"/>
                <w:color w:val="auto"/>
              </w:rPr>
              <w:t>SCT</w:t>
            </w:r>
          </w:p>
        </w:tc>
        <w:tc>
          <w:tcPr>
            <w:tcW w:w="820" w:type="dxa"/>
            <w:vAlign w:val="bottom"/>
            <w:tcBorders>
              <w:bottom w:val="single" w:sz="8" w:color="D8D7D7"/>
            </w:tcBorders>
          </w:tcPr>
          <w:p>
            <w:pPr>
              <w:spacing w:after="0"/>
              <w:rPr>
                <w:sz w:val="14"/>
                <w:szCs w:val="14"/>
                <w:color w:val="auto"/>
              </w:rPr>
            </w:pPr>
          </w:p>
        </w:tc>
        <w:tc>
          <w:tcPr>
            <w:tcW w:w="760" w:type="dxa"/>
            <w:vAlign w:val="bottom"/>
            <w:tcBorders>
              <w:bottom w:val="single" w:sz="8" w:color="D8D7D7"/>
            </w:tcBorders>
          </w:tcPr>
          <w:p>
            <w:pPr>
              <w:spacing w:after="0"/>
              <w:rPr>
                <w:sz w:val="14"/>
                <w:szCs w:val="14"/>
                <w:color w:val="auto"/>
              </w:rPr>
            </w:pPr>
          </w:p>
        </w:tc>
        <w:tc>
          <w:tcPr>
            <w:tcW w:w="60" w:type="dxa"/>
            <w:vAlign w:val="bottom"/>
            <w:tcBorders>
              <w:bottom w:val="single" w:sz="8" w:color="D8D7D7"/>
            </w:tcBorders>
          </w:tcPr>
          <w:p>
            <w:pPr>
              <w:spacing w:after="0"/>
              <w:rPr>
                <w:sz w:val="14"/>
                <w:szCs w:val="14"/>
                <w:color w:val="auto"/>
              </w:rPr>
            </w:pPr>
          </w:p>
        </w:tc>
        <w:tc>
          <w:tcPr>
            <w:tcW w:w="860" w:type="dxa"/>
            <w:vAlign w:val="bottom"/>
            <w:tcBorders>
              <w:bottom w:val="single" w:sz="8" w:color="D8D7D7"/>
            </w:tcBorders>
          </w:tcPr>
          <w:p>
            <w:pPr>
              <w:spacing w:after="0"/>
              <w:rPr>
                <w:sz w:val="14"/>
                <w:szCs w:val="14"/>
                <w:color w:val="auto"/>
              </w:rPr>
            </w:pPr>
          </w:p>
        </w:tc>
        <w:tc>
          <w:tcPr>
            <w:tcW w:w="720" w:type="dxa"/>
            <w:vAlign w:val="bottom"/>
            <w:tcBorders>
              <w:bottom w:val="single" w:sz="8" w:color="D8D7D7"/>
            </w:tcBorders>
          </w:tcPr>
          <w:p>
            <w:pPr>
              <w:spacing w:after="0"/>
              <w:rPr>
                <w:sz w:val="14"/>
                <w:szCs w:val="14"/>
                <w:color w:val="auto"/>
              </w:rPr>
            </w:pPr>
          </w:p>
        </w:tc>
        <w:tc>
          <w:tcPr>
            <w:tcW w:w="60" w:type="dxa"/>
            <w:vAlign w:val="bottom"/>
            <w:tcBorders>
              <w:bottom w:val="single" w:sz="8" w:color="D8D7D7"/>
            </w:tcBorders>
          </w:tcPr>
          <w:p>
            <w:pPr>
              <w:spacing w:after="0"/>
              <w:rPr>
                <w:sz w:val="14"/>
                <w:szCs w:val="14"/>
                <w:color w:val="auto"/>
              </w:rPr>
            </w:pPr>
          </w:p>
        </w:tc>
        <w:tc>
          <w:tcPr>
            <w:tcW w:w="840" w:type="dxa"/>
            <w:vAlign w:val="bottom"/>
            <w:tcBorders>
              <w:bottom w:val="single" w:sz="8" w:color="D8D7D7"/>
            </w:tcBorders>
          </w:tcPr>
          <w:p>
            <w:pPr>
              <w:spacing w:after="0"/>
              <w:rPr>
                <w:sz w:val="14"/>
                <w:szCs w:val="14"/>
                <w:color w:val="auto"/>
              </w:rPr>
            </w:pPr>
          </w:p>
        </w:tc>
        <w:tc>
          <w:tcPr>
            <w:tcW w:w="760" w:type="dxa"/>
            <w:vAlign w:val="bottom"/>
            <w:tcBorders>
              <w:bottom w:val="single" w:sz="8" w:color="D8D7D7"/>
            </w:tcBorders>
          </w:tcPr>
          <w:p>
            <w:pPr>
              <w:spacing w:after="0"/>
              <w:rPr>
                <w:sz w:val="14"/>
                <w:szCs w:val="14"/>
                <w:color w:val="auto"/>
              </w:rPr>
            </w:pPr>
          </w:p>
        </w:tc>
        <w:tc>
          <w:tcPr>
            <w:tcW w:w="60" w:type="dxa"/>
            <w:vAlign w:val="bottom"/>
            <w:tcBorders>
              <w:bottom w:val="single" w:sz="8" w:color="D8D7D7"/>
            </w:tcBorders>
          </w:tcPr>
          <w:p>
            <w:pPr>
              <w:spacing w:after="0"/>
              <w:rPr>
                <w:sz w:val="14"/>
                <w:szCs w:val="14"/>
                <w:color w:val="auto"/>
              </w:rPr>
            </w:pPr>
          </w:p>
        </w:tc>
        <w:tc>
          <w:tcPr>
            <w:tcW w:w="840" w:type="dxa"/>
            <w:vAlign w:val="bottom"/>
            <w:tcBorders>
              <w:bottom w:val="single" w:sz="8" w:color="D8D7D7"/>
            </w:tcBorders>
          </w:tcPr>
          <w:p>
            <w:pPr>
              <w:spacing w:after="0"/>
              <w:rPr>
                <w:sz w:val="14"/>
                <w:szCs w:val="14"/>
                <w:color w:val="auto"/>
              </w:rPr>
            </w:pPr>
          </w:p>
        </w:tc>
        <w:tc>
          <w:tcPr>
            <w:tcW w:w="740" w:type="dxa"/>
            <w:vAlign w:val="bottom"/>
            <w:tcBorders>
              <w:bottom w:val="single" w:sz="8" w:color="D8D7D7"/>
            </w:tcBorders>
          </w:tcPr>
          <w:p>
            <w:pPr>
              <w:spacing w:after="0"/>
              <w:rPr>
                <w:sz w:val="14"/>
                <w:szCs w:val="14"/>
                <w:color w:val="auto"/>
              </w:rPr>
            </w:pPr>
          </w:p>
        </w:tc>
        <w:tc>
          <w:tcPr>
            <w:tcW w:w="60" w:type="dxa"/>
            <w:vAlign w:val="bottom"/>
            <w:tcBorders>
              <w:bottom w:val="single" w:sz="8" w:color="D8D7D7"/>
            </w:tcBorders>
          </w:tcPr>
          <w:p>
            <w:pPr>
              <w:spacing w:after="0"/>
              <w:rPr>
                <w:sz w:val="14"/>
                <w:szCs w:val="14"/>
                <w:color w:val="auto"/>
              </w:rPr>
            </w:pPr>
          </w:p>
        </w:tc>
        <w:tc>
          <w:tcPr>
            <w:tcW w:w="820" w:type="dxa"/>
            <w:vAlign w:val="bottom"/>
            <w:tcBorders>
              <w:bottom w:val="single" w:sz="8" w:color="D8D7D7"/>
            </w:tcBorders>
          </w:tcPr>
          <w:p>
            <w:pPr>
              <w:spacing w:after="0"/>
              <w:rPr>
                <w:sz w:val="14"/>
                <w:szCs w:val="14"/>
                <w:color w:val="auto"/>
              </w:rPr>
            </w:pPr>
          </w:p>
        </w:tc>
        <w:tc>
          <w:tcPr>
            <w:tcW w:w="720" w:type="dxa"/>
            <w:vAlign w:val="bottom"/>
            <w:tcBorders>
              <w:bottom w:val="single" w:sz="8" w:color="D8D7D7"/>
            </w:tcBorders>
          </w:tcPr>
          <w:p>
            <w:pPr>
              <w:spacing w:after="0"/>
              <w:rPr>
                <w:sz w:val="14"/>
                <w:szCs w:val="14"/>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Plus: Year-end</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41,260,346</w:t>
            </w:r>
          </w:p>
        </w:tc>
        <w:tc>
          <w:tcPr>
            <w:tcW w:w="760" w:type="dxa"/>
            <w:vAlign w:val="bottom"/>
          </w:tcPr>
          <w:p>
            <w:pPr>
              <w:jc w:val="right"/>
              <w:spacing w:after="0"/>
              <w:rPr>
                <w:sz w:val="20"/>
                <w:szCs w:val="20"/>
                <w:color w:val="auto"/>
              </w:rPr>
            </w:pPr>
            <w:r>
              <w:rPr>
                <w:rFonts w:ascii="Arial" w:cs="Arial" w:eastAsia="Arial" w:hAnsi="Arial"/>
                <w:sz w:val="13"/>
                <w:szCs w:val="13"/>
                <w:color w:val="auto"/>
              </w:rPr>
              <w:t>31,270,186</w:t>
            </w:r>
          </w:p>
        </w:tc>
        <w:tc>
          <w:tcPr>
            <w:tcW w:w="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31,206,150</w:t>
            </w:r>
          </w:p>
        </w:tc>
        <w:tc>
          <w:tcPr>
            <w:tcW w:w="720" w:type="dxa"/>
            <w:vAlign w:val="bottom"/>
          </w:tcPr>
          <w:p>
            <w:pPr>
              <w:jc w:val="right"/>
              <w:spacing w:after="0"/>
              <w:rPr>
                <w:sz w:val="20"/>
                <w:szCs w:val="20"/>
                <w:color w:val="auto"/>
              </w:rPr>
            </w:pPr>
            <w:r>
              <w:rPr>
                <w:rFonts w:ascii="Arial" w:cs="Arial" w:eastAsia="Arial" w:hAnsi="Arial"/>
                <w:sz w:val="13"/>
                <w:szCs w:val="13"/>
                <w:color w:val="auto"/>
                <w:w w:val="98"/>
              </w:rPr>
              <w:t>11,962,345</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11,941,185</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8,866,850</w:t>
            </w:r>
          </w:p>
        </w:tc>
        <w:tc>
          <w:tcPr>
            <w:tcW w:w="6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8,629,590</w:t>
            </w:r>
          </w:p>
        </w:tc>
        <w:tc>
          <w:tcPr>
            <w:tcW w:w="740" w:type="dxa"/>
            <w:vAlign w:val="bottom"/>
          </w:tcPr>
          <w:p>
            <w:pPr>
              <w:jc w:val="right"/>
              <w:spacing w:after="0"/>
              <w:rPr>
                <w:sz w:val="20"/>
                <w:szCs w:val="20"/>
                <w:color w:val="auto"/>
              </w:rPr>
            </w:pPr>
            <w:r>
              <w:rPr>
                <w:rFonts w:ascii="Arial" w:cs="Arial" w:eastAsia="Arial" w:hAnsi="Arial"/>
                <w:sz w:val="13"/>
                <w:szCs w:val="13"/>
                <w:color w:val="auto"/>
              </w:rPr>
              <w:t>3,227,799</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18,914,281</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6,574,982</w:t>
            </w: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Fair Value of</w:t>
            </w: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Outstanding</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ind w:left="60"/>
        <w:spacing w:after="0"/>
        <w:rPr>
          <w:sz w:val="20"/>
          <w:szCs w:val="20"/>
          <w:color w:val="auto"/>
        </w:rPr>
      </w:pPr>
      <w:r>
        <w:rPr>
          <w:rFonts w:ascii="Arial" w:cs="Arial" w:eastAsia="Arial" w:hAnsi="Arial"/>
          <w:sz w:val="13"/>
          <w:szCs w:val="13"/>
          <w:color w:val="auto"/>
        </w:rPr>
        <w:t>and Unvested</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Stock Awards</w:t>
      </w:r>
    </w:p>
    <w:p>
      <w:pPr>
        <w:ind w:left="60"/>
        <w:spacing w:after="0"/>
        <w:rPr>
          <w:sz w:val="20"/>
          <w:szCs w:val="20"/>
          <w:color w:val="auto"/>
        </w:rPr>
      </w:pPr>
      <w:r>
        <w:rPr>
          <w:rFonts w:ascii="Arial" w:cs="Arial" w:eastAsia="Arial" w:hAnsi="Arial"/>
          <w:sz w:val="13"/>
          <w:szCs w:val="13"/>
          <w:color w:val="auto"/>
        </w:rPr>
        <w:t>Granted in the</w:t>
      </w:r>
    </w:p>
    <w:p>
      <w:pPr>
        <w:ind w:left="60"/>
        <w:spacing w:after="0"/>
        <w:rPr>
          <w:sz w:val="20"/>
          <w:szCs w:val="20"/>
          <w:color w:val="auto"/>
        </w:rPr>
      </w:pPr>
      <w:r>
        <w:rPr>
          <w:rFonts w:ascii="Arial" w:cs="Arial" w:eastAsia="Arial" w:hAnsi="Arial"/>
          <w:sz w:val="13"/>
          <w:szCs w:val="13"/>
          <w:color w:val="auto"/>
        </w:rPr>
        <w:t>Covered Year</w:t>
      </w:r>
    </w:p>
    <w:p>
      <w:pPr>
        <w:sectPr>
          <w:pgSz w:w="11900" w:h="16838" w:orient="portrait"/>
          <w:cols w:equalWidth="0" w:num="1">
            <w:col w:w="9120"/>
          </w:cols>
          <w:pgMar w:left="1400" w:top="657" w:right="13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74</w:t>
      </w:r>
    </w:p>
    <w:p>
      <w:pPr>
        <w:sectPr>
          <w:pgSz w:w="11900" w:h="16838" w:orient="portrait"/>
          <w:cols w:equalWidth="0" w:num="1">
            <w:col w:w="9120"/>
          </w:cols>
          <w:pgMar w:left="1400" w:top="657" w:right="137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Borders>
              <w:bottom w:val="single" w:sz="8" w:color="ECEBEB"/>
            </w:tcBorders>
            <w:shd w:val="clear" w:color="auto" w:fill="ECEBEB"/>
          </w:tcPr>
          <w:p>
            <w:pPr>
              <w:spacing w:after="0"/>
              <w:rPr>
                <w:sz w:val="19"/>
                <w:szCs w:val="19"/>
                <w:color w:val="auto"/>
              </w:rPr>
            </w:pPr>
          </w:p>
        </w:tc>
        <w:tc>
          <w:tcPr>
            <w:tcW w:w="1580" w:type="dxa"/>
            <w:vAlign w:val="bottom"/>
            <w:tcBorders>
              <w:bottom w:val="single" w:sz="8" w:color="0956FF"/>
            </w:tcBorders>
            <w:gridSpan w:val="2"/>
            <w:shd w:val="clear" w:color="auto" w:fill="ECEBEB"/>
          </w:tcPr>
          <w:p>
            <w:pPr>
              <w:jc w:val="right"/>
              <w:ind w:right="597"/>
              <w:spacing w:after="0"/>
              <w:rPr>
                <w:sz w:val="20"/>
                <w:szCs w:val="20"/>
                <w:color w:val="auto"/>
              </w:rPr>
            </w:pPr>
            <w:r>
              <w:rPr>
                <w:rFonts w:ascii="Arial" w:cs="Arial" w:eastAsia="Arial" w:hAnsi="Arial"/>
                <w:sz w:val="13"/>
                <w:szCs w:val="13"/>
                <w:b w:val="1"/>
                <w:bCs w:val="1"/>
                <w:color w:val="auto"/>
              </w:rPr>
              <w:t>2025</w:t>
            </w:r>
          </w:p>
        </w:tc>
        <w:tc>
          <w:tcPr>
            <w:tcW w:w="60" w:type="dxa"/>
            <w:vAlign w:val="bottom"/>
            <w:tcBorders>
              <w:bottom w:val="single" w:sz="8" w:color="ECEBEB"/>
            </w:tcBorders>
            <w:shd w:val="clear" w:color="auto" w:fill="ECEBEB"/>
          </w:tcPr>
          <w:p>
            <w:pPr>
              <w:spacing w:after="0"/>
              <w:rPr>
                <w:sz w:val="19"/>
                <w:szCs w:val="19"/>
                <w:color w:val="auto"/>
              </w:rPr>
            </w:pPr>
          </w:p>
        </w:tc>
        <w:tc>
          <w:tcPr>
            <w:tcW w:w="1580" w:type="dxa"/>
            <w:vAlign w:val="bottom"/>
            <w:tcBorders>
              <w:bottom w:val="single" w:sz="8" w:color="0956FF"/>
            </w:tcBorders>
            <w:gridSpan w:val="2"/>
            <w:shd w:val="clear" w:color="auto" w:fill="ECEBEB"/>
          </w:tcPr>
          <w:p>
            <w:pPr>
              <w:jc w:val="right"/>
              <w:ind w:right="617"/>
              <w:spacing w:after="0"/>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ECEBEB"/>
            </w:tcBorders>
            <w:shd w:val="clear" w:color="auto" w:fill="ECEBEB"/>
          </w:tcPr>
          <w:p>
            <w:pPr>
              <w:spacing w:after="0"/>
              <w:rPr>
                <w:sz w:val="19"/>
                <w:szCs w:val="19"/>
                <w:color w:val="auto"/>
              </w:rPr>
            </w:pPr>
          </w:p>
        </w:tc>
        <w:tc>
          <w:tcPr>
            <w:tcW w:w="1600" w:type="dxa"/>
            <w:vAlign w:val="bottom"/>
            <w:tcBorders>
              <w:bottom w:val="single" w:sz="8" w:color="0956FF"/>
            </w:tcBorders>
            <w:gridSpan w:val="2"/>
            <w:shd w:val="clear" w:color="auto" w:fill="ECEBEB"/>
          </w:tcPr>
          <w:p>
            <w:pPr>
              <w:jc w:val="right"/>
              <w:ind w:right="61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ECEBEB"/>
            </w:tcBorders>
            <w:shd w:val="clear" w:color="auto" w:fill="ECEBEB"/>
          </w:tcPr>
          <w:p>
            <w:pPr>
              <w:spacing w:after="0"/>
              <w:rPr>
                <w:sz w:val="19"/>
                <w:szCs w:val="19"/>
                <w:color w:val="auto"/>
              </w:rPr>
            </w:pPr>
          </w:p>
        </w:tc>
        <w:tc>
          <w:tcPr>
            <w:tcW w:w="1580" w:type="dxa"/>
            <w:vAlign w:val="bottom"/>
            <w:tcBorders>
              <w:bottom w:val="single" w:sz="8" w:color="0956FF"/>
            </w:tcBorders>
            <w:gridSpan w:val="2"/>
            <w:shd w:val="clear" w:color="auto" w:fill="ECEBEB"/>
          </w:tcPr>
          <w:p>
            <w:pPr>
              <w:jc w:val="right"/>
              <w:ind w:right="597"/>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ECEBEB"/>
            </w:tcBorders>
            <w:shd w:val="clear" w:color="auto" w:fill="ECEBEB"/>
          </w:tcPr>
          <w:p>
            <w:pPr>
              <w:spacing w:after="0"/>
              <w:rPr>
                <w:sz w:val="19"/>
                <w:szCs w:val="19"/>
                <w:color w:val="auto"/>
              </w:rPr>
            </w:pPr>
          </w:p>
        </w:tc>
        <w:tc>
          <w:tcPr>
            <w:tcW w:w="1540" w:type="dxa"/>
            <w:vAlign w:val="bottom"/>
            <w:tcBorders>
              <w:bottom w:val="single" w:sz="8" w:color="0956FF"/>
            </w:tcBorders>
            <w:gridSpan w:val="2"/>
            <w:shd w:val="clear" w:color="auto" w:fill="ECEBEB"/>
          </w:tcPr>
          <w:p>
            <w:pPr>
              <w:jc w:val="right"/>
              <w:ind w:right="577"/>
              <w:spacing w:after="0"/>
              <w:rPr>
                <w:sz w:val="20"/>
                <w:szCs w:val="20"/>
                <w:color w:val="auto"/>
              </w:rPr>
            </w:pPr>
            <w:r>
              <w:rPr>
                <w:rFonts w:ascii="Arial" w:cs="Arial" w:eastAsia="Arial" w:hAnsi="Arial"/>
                <w:sz w:val="13"/>
                <w:szCs w:val="13"/>
                <w:b w:val="1"/>
                <w:bCs w:val="1"/>
                <w:color w:val="auto"/>
              </w:rPr>
              <w:t>2021</w:t>
            </w:r>
          </w:p>
        </w:tc>
      </w:tr>
      <w:tr>
        <w:trPr>
          <w:trHeight w:val="138"/>
        </w:trPr>
        <w:tc>
          <w:tcPr>
            <w:tcW w:w="960" w:type="dxa"/>
            <w:vAlign w:val="bottom"/>
            <w:shd w:val="clear" w:color="auto" w:fill="ECEBEB"/>
          </w:tcPr>
          <w:p>
            <w:pPr>
              <w:spacing w:after="0"/>
              <w:rPr>
                <w:sz w:val="11"/>
                <w:szCs w:val="11"/>
                <w:color w:val="auto"/>
              </w:rPr>
            </w:pPr>
          </w:p>
        </w:tc>
        <w:tc>
          <w:tcPr>
            <w:tcW w:w="840" w:type="dxa"/>
            <w:vAlign w:val="bottom"/>
            <w:shd w:val="clear" w:color="auto" w:fill="ECEBEB"/>
          </w:tcPr>
          <w:p>
            <w:pPr>
              <w:spacing w:after="0"/>
              <w:rPr>
                <w:sz w:val="11"/>
                <w:szCs w:val="11"/>
                <w:color w:val="auto"/>
              </w:rPr>
            </w:pPr>
          </w:p>
        </w:tc>
        <w:tc>
          <w:tcPr>
            <w:tcW w:w="740" w:type="dxa"/>
            <w:vAlign w:val="bottom"/>
            <w:shd w:val="clear" w:color="auto" w:fill="ECEBEB"/>
          </w:tcPr>
          <w:p>
            <w:pPr>
              <w:jc w:val="right"/>
              <w:spacing w:after="0" w:line="138" w:lineRule="exact"/>
              <w:rPr>
                <w:sz w:val="20"/>
                <w:szCs w:val="20"/>
                <w:color w:val="auto"/>
              </w:rPr>
            </w:pPr>
            <w:r>
              <w:rPr>
                <w:rFonts w:ascii="Arial" w:cs="Arial" w:eastAsia="Arial" w:hAnsi="Arial"/>
                <w:sz w:val="13"/>
                <w:szCs w:val="13"/>
                <w:b w:val="1"/>
                <w:bCs w:val="1"/>
                <w:color w:val="auto"/>
              </w:rPr>
              <w:t>Average</w:t>
            </w:r>
          </w:p>
        </w:tc>
        <w:tc>
          <w:tcPr>
            <w:tcW w:w="60" w:type="dxa"/>
            <w:vAlign w:val="bottom"/>
            <w:shd w:val="clear" w:color="auto" w:fill="ECEBEB"/>
          </w:tcPr>
          <w:p>
            <w:pPr>
              <w:spacing w:after="0"/>
              <w:rPr>
                <w:sz w:val="11"/>
                <w:szCs w:val="11"/>
                <w:color w:val="auto"/>
              </w:rPr>
            </w:pPr>
          </w:p>
        </w:tc>
        <w:tc>
          <w:tcPr>
            <w:tcW w:w="840" w:type="dxa"/>
            <w:vAlign w:val="bottom"/>
            <w:shd w:val="clear" w:color="auto" w:fill="ECEBEB"/>
          </w:tcPr>
          <w:p>
            <w:pPr>
              <w:spacing w:after="0"/>
              <w:rPr>
                <w:sz w:val="11"/>
                <w:szCs w:val="11"/>
                <w:color w:val="auto"/>
              </w:rPr>
            </w:pPr>
          </w:p>
        </w:tc>
        <w:tc>
          <w:tcPr>
            <w:tcW w:w="740" w:type="dxa"/>
            <w:vAlign w:val="bottom"/>
            <w:shd w:val="clear" w:color="auto" w:fill="ECEBEB"/>
          </w:tcPr>
          <w:p>
            <w:pPr>
              <w:jc w:val="right"/>
              <w:spacing w:after="0" w:line="138" w:lineRule="exact"/>
              <w:rPr>
                <w:sz w:val="20"/>
                <w:szCs w:val="20"/>
                <w:color w:val="auto"/>
              </w:rPr>
            </w:pPr>
            <w:r>
              <w:rPr>
                <w:rFonts w:ascii="Arial" w:cs="Arial" w:eastAsia="Arial" w:hAnsi="Arial"/>
                <w:sz w:val="13"/>
                <w:szCs w:val="13"/>
                <w:b w:val="1"/>
                <w:bCs w:val="1"/>
                <w:color w:val="auto"/>
              </w:rPr>
              <w:t>Average</w:t>
            </w:r>
          </w:p>
        </w:tc>
        <w:tc>
          <w:tcPr>
            <w:tcW w:w="60" w:type="dxa"/>
            <w:vAlign w:val="bottom"/>
            <w:shd w:val="clear" w:color="auto" w:fill="ECEBEB"/>
          </w:tcPr>
          <w:p>
            <w:pPr>
              <w:spacing w:after="0"/>
              <w:rPr>
                <w:sz w:val="11"/>
                <w:szCs w:val="11"/>
                <w:color w:val="auto"/>
              </w:rPr>
            </w:pPr>
          </w:p>
        </w:tc>
        <w:tc>
          <w:tcPr>
            <w:tcW w:w="840" w:type="dxa"/>
            <w:vAlign w:val="bottom"/>
            <w:shd w:val="clear" w:color="auto" w:fill="ECEBEB"/>
          </w:tcPr>
          <w:p>
            <w:pPr>
              <w:spacing w:after="0"/>
              <w:rPr>
                <w:sz w:val="11"/>
                <w:szCs w:val="11"/>
                <w:color w:val="auto"/>
              </w:rPr>
            </w:pPr>
          </w:p>
        </w:tc>
        <w:tc>
          <w:tcPr>
            <w:tcW w:w="760" w:type="dxa"/>
            <w:vAlign w:val="bottom"/>
            <w:shd w:val="clear" w:color="auto" w:fill="ECEBEB"/>
          </w:tcPr>
          <w:p>
            <w:pPr>
              <w:jc w:val="right"/>
              <w:spacing w:after="0" w:line="138" w:lineRule="exact"/>
              <w:rPr>
                <w:sz w:val="20"/>
                <w:szCs w:val="20"/>
                <w:color w:val="auto"/>
              </w:rPr>
            </w:pPr>
            <w:r>
              <w:rPr>
                <w:rFonts w:ascii="Arial" w:cs="Arial" w:eastAsia="Arial" w:hAnsi="Arial"/>
                <w:sz w:val="13"/>
                <w:szCs w:val="13"/>
                <w:b w:val="1"/>
                <w:bCs w:val="1"/>
                <w:color w:val="auto"/>
              </w:rPr>
              <w:t>Average</w:t>
            </w:r>
          </w:p>
        </w:tc>
        <w:tc>
          <w:tcPr>
            <w:tcW w:w="60" w:type="dxa"/>
            <w:vAlign w:val="bottom"/>
            <w:shd w:val="clear" w:color="auto" w:fill="ECEBEB"/>
          </w:tcPr>
          <w:p>
            <w:pPr>
              <w:spacing w:after="0"/>
              <w:rPr>
                <w:sz w:val="11"/>
                <w:szCs w:val="11"/>
                <w:color w:val="auto"/>
              </w:rPr>
            </w:pPr>
          </w:p>
        </w:tc>
        <w:tc>
          <w:tcPr>
            <w:tcW w:w="860" w:type="dxa"/>
            <w:vAlign w:val="bottom"/>
            <w:shd w:val="clear" w:color="auto" w:fill="ECEBEB"/>
          </w:tcPr>
          <w:p>
            <w:pPr>
              <w:spacing w:after="0"/>
              <w:rPr>
                <w:sz w:val="11"/>
                <w:szCs w:val="11"/>
                <w:color w:val="auto"/>
              </w:rPr>
            </w:pPr>
          </w:p>
        </w:tc>
        <w:tc>
          <w:tcPr>
            <w:tcW w:w="720" w:type="dxa"/>
            <w:vAlign w:val="bottom"/>
            <w:shd w:val="clear" w:color="auto" w:fill="ECEBEB"/>
          </w:tcPr>
          <w:p>
            <w:pPr>
              <w:jc w:val="right"/>
              <w:spacing w:after="0" w:line="138" w:lineRule="exact"/>
              <w:rPr>
                <w:sz w:val="20"/>
                <w:szCs w:val="20"/>
                <w:color w:val="auto"/>
              </w:rPr>
            </w:pPr>
            <w:r>
              <w:rPr>
                <w:rFonts w:ascii="Arial" w:cs="Arial" w:eastAsia="Arial" w:hAnsi="Arial"/>
                <w:sz w:val="13"/>
                <w:szCs w:val="13"/>
                <w:b w:val="1"/>
                <w:bCs w:val="1"/>
                <w:color w:val="auto"/>
              </w:rPr>
              <w:t>Average</w:t>
            </w:r>
          </w:p>
        </w:tc>
        <w:tc>
          <w:tcPr>
            <w:tcW w:w="60" w:type="dxa"/>
            <w:vAlign w:val="bottom"/>
            <w:shd w:val="clear" w:color="auto" w:fill="ECEBEB"/>
          </w:tcPr>
          <w:p>
            <w:pPr>
              <w:spacing w:after="0"/>
              <w:rPr>
                <w:sz w:val="11"/>
                <w:szCs w:val="11"/>
                <w:color w:val="auto"/>
              </w:rPr>
            </w:pPr>
          </w:p>
        </w:tc>
        <w:tc>
          <w:tcPr>
            <w:tcW w:w="800" w:type="dxa"/>
            <w:vAlign w:val="bottom"/>
            <w:shd w:val="clear" w:color="auto" w:fill="ECEBEB"/>
          </w:tcPr>
          <w:p>
            <w:pPr>
              <w:spacing w:after="0"/>
              <w:rPr>
                <w:sz w:val="11"/>
                <w:szCs w:val="11"/>
                <w:color w:val="auto"/>
              </w:rPr>
            </w:pPr>
          </w:p>
        </w:tc>
        <w:tc>
          <w:tcPr>
            <w:tcW w:w="740" w:type="dxa"/>
            <w:vAlign w:val="bottom"/>
            <w:shd w:val="clear" w:color="auto" w:fill="ECEBEB"/>
          </w:tcPr>
          <w:p>
            <w:pPr>
              <w:jc w:val="center"/>
              <w:ind w:left="77"/>
              <w:spacing w:after="0" w:line="138" w:lineRule="exact"/>
              <w:rPr>
                <w:sz w:val="20"/>
                <w:szCs w:val="20"/>
                <w:color w:val="auto"/>
              </w:rPr>
            </w:pPr>
            <w:r>
              <w:rPr>
                <w:rFonts w:ascii="Arial" w:cs="Arial" w:eastAsia="Arial" w:hAnsi="Arial"/>
                <w:sz w:val="13"/>
                <w:szCs w:val="13"/>
                <w:b w:val="1"/>
                <w:bCs w:val="1"/>
                <w:color w:val="auto"/>
                <w:w w:val="93"/>
              </w:rPr>
              <w:t>Average</w:t>
            </w:r>
          </w:p>
        </w:tc>
      </w:tr>
      <w:tr>
        <w:trPr>
          <w:trHeight w:val="162"/>
        </w:trPr>
        <w:tc>
          <w:tcPr>
            <w:tcW w:w="960" w:type="dxa"/>
            <w:vAlign w:val="bottom"/>
            <w:shd w:val="clear" w:color="auto" w:fill="ECEBEB"/>
          </w:tcPr>
          <w:p>
            <w:pPr>
              <w:spacing w:after="0"/>
              <w:rPr>
                <w:sz w:val="14"/>
                <w:szCs w:val="14"/>
                <w:color w:val="auto"/>
              </w:rPr>
            </w:pPr>
          </w:p>
        </w:tc>
        <w:tc>
          <w:tcPr>
            <w:tcW w:w="840" w:type="dxa"/>
            <w:vAlign w:val="bottom"/>
            <w:shd w:val="clear" w:color="auto" w:fill="ECEBEB"/>
          </w:tcPr>
          <w:p>
            <w:pPr>
              <w:spacing w:after="0"/>
              <w:rPr>
                <w:sz w:val="14"/>
                <w:szCs w:val="14"/>
                <w:color w:val="auto"/>
              </w:rPr>
            </w:pPr>
          </w:p>
        </w:tc>
        <w:tc>
          <w:tcPr>
            <w:tcW w:w="800" w:type="dxa"/>
            <w:vAlign w:val="bottom"/>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Non-CEO</w:t>
            </w:r>
          </w:p>
        </w:tc>
        <w:tc>
          <w:tcPr>
            <w:tcW w:w="840" w:type="dxa"/>
            <w:vAlign w:val="bottom"/>
            <w:shd w:val="clear" w:color="auto" w:fill="ECEBEB"/>
          </w:tcPr>
          <w:p>
            <w:pPr>
              <w:spacing w:after="0"/>
              <w:rPr>
                <w:sz w:val="14"/>
                <w:szCs w:val="14"/>
                <w:color w:val="auto"/>
              </w:rPr>
            </w:pPr>
          </w:p>
        </w:tc>
        <w:tc>
          <w:tcPr>
            <w:tcW w:w="800" w:type="dxa"/>
            <w:vAlign w:val="bottom"/>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Non-CEO</w:t>
            </w:r>
          </w:p>
        </w:tc>
        <w:tc>
          <w:tcPr>
            <w:tcW w:w="840" w:type="dxa"/>
            <w:vAlign w:val="bottom"/>
            <w:shd w:val="clear" w:color="auto" w:fill="ECEBEB"/>
          </w:tcPr>
          <w:p>
            <w:pPr>
              <w:spacing w:after="0"/>
              <w:rPr>
                <w:sz w:val="14"/>
                <w:szCs w:val="14"/>
                <w:color w:val="auto"/>
              </w:rPr>
            </w:pPr>
          </w:p>
        </w:tc>
        <w:tc>
          <w:tcPr>
            <w:tcW w:w="820" w:type="dxa"/>
            <w:vAlign w:val="bottom"/>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Non-CEO</w:t>
            </w:r>
          </w:p>
        </w:tc>
        <w:tc>
          <w:tcPr>
            <w:tcW w:w="860" w:type="dxa"/>
            <w:vAlign w:val="bottom"/>
            <w:shd w:val="clear" w:color="auto" w:fill="ECEBEB"/>
          </w:tcPr>
          <w:p>
            <w:pPr>
              <w:spacing w:after="0"/>
              <w:rPr>
                <w:sz w:val="14"/>
                <w:szCs w:val="14"/>
                <w:color w:val="auto"/>
              </w:rPr>
            </w:pPr>
          </w:p>
        </w:tc>
        <w:tc>
          <w:tcPr>
            <w:tcW w:w="780" w:type="dxa"/>
            <w:vAlign w:val="bottom"/>
            <w:gridSpan w:val="2"/>
            <w:shd w:val="clear" w:color="auto" w:fill="ECEBEB"/>
          </w:tcPr>
          <w:p>
            <w:pPr>
              <w:jc w:val="right"/>
              <w:ind w:right="80"/>
              <w:spacing w:after="0"/>
              <w:rPr>
                <w:sz w:val="20"/>
                <w:szCs w:val="20"/>
                <w:color w:val="auto"/>
              </w:rPr>
            </w:pPr>
            <w:r>
              <w:rPr>
                <w:rFonts w:ascii="Arial" w:cs="Arial" w:eastAsia="Arial" w:hAnsi="Arial"/>
                <w:sz w:val="13"/>
                <w:szCs w:val="13"/>
                <w:b w:val="1"/>
                <w:bCs w:val="1"/>
                <w:color w:val="auto"/>
              </w:rPr>
              <w:t>Non-CEO</w:t>
            </w:r>
          </w:p>
        </w:tc>
        <w:tc>
          <w:tcPr>
            <w:tcW w:w="800" w:type="dxa"/>
            <w:vAlign w:val="bottom"/>
            <w:shd w:val="clear" w:color="auto" w:fill="ECEBEB"/>
          </w:tcPr>
          <w:p>
            <w:pPr>
              <w:spacing w:after="0"/>
              <w:rPr>
                <w:sz w:val="14"/>
                <w:szCs w:val="14"/>
                <w:color w:val="auto"/>
              </w:rPr>
            </w:pPr>
          </w:p>
        </w:tc>
        <w:tc>
          <w:tcPr>
            <w:tcW w:w="740" w:type="dxa"/>
            <w:vAlign w:val="bottom"/>
            <w:shd w:val="clear" w:color="auto" w:fill="ECEBEB"/>
          </w:tcPr>
          <w:p>
            <w:pPr>
              <w:jc w:val="center"/>
              <w:ind w:left="37"/>
              <w:spacing w:after="0"/>
              <w:rPr>
                <w:sz w:val="20"/>
                <w:szCs w:val="20"/>
                <w:color w:val="auto"/>
              </w:rPr>
            </w:pPr>
            <w:r>
              <w:rPr>
                <w:rFonts w:ascii="Arial" w:cs="Arial" w:eastAsia="Arial" w:hAnsi="Arial"/>
                <w:sz w:val="13"/>
                <w:szCs w:val="13"/>
                <w:b w:val="1"/>
                <w:bCs w:val="1"/>
                <w:color w:val="auto"/>
                <w:w w:val="96"/>
              </w:rPr>
              <w:t>Non-CEO</w:t>
            </w:r>
          </w:p>
        </w:tc>
      </w:tr>
      <w:tr>
        <w:trPr>
          <w:trHeight w:val="176"/>
        </w:trPr>
        <w:tc>
          <w:tcPr>
            <w:tcW w:w="960" w:type="dxa"/>
            <w:vAlign w:val="bottom"/>
            <w:tcBorders>
              <w:bottom w:val="single" w:sz="8" w:color="0956FF"/>
            </w:tcBorders>
            <w:shd w:val="clear" w:color="auto" w:fill="ECEBEB"/>
          </w:tcPr>
          <w:p>
            <w:pPr>
              <w:spacing w:after="0"/>
              <w:rPr>
                <w:sz w:val="15"/>
                <w:szCs w:val="15"/>
                <w:color w:val="auto"/>
              </w:rPr>
            </w:pPr>
          </w:p>
        </w:tc>
        <w:tc>
          <w:tcPr>
            <w:tcW w:w="840" w:type="dxa"/>
            <w:vAlign w:val="bottom"/>
            <w:tcBorders>
              <w:bottom w:val="single" w:sz="8" w:color="0956FF"/>
            </w:tcBorders>
            <w:shd w:val="clear" w:color="auto" w:fill="ECEBEB"/>
          </w:tcPr>
          <w:p>
            <w:pPr>
              <w:jc w:val="right"/>
              <w:ind w:right="17"/>
              <w:spacing w:after="0"/>
              <w:rPr>
                <w:sz w:val="20"/>
                <w:szCs w:val="20"/>
                <w:color w:val="auto"/>
              </w:rPr>
            </w:pPr>
            <w:r>
              <w:rPr>
                <w:rFonts w:ascii="Arial" w:cs="Arial" w:eastAsia="Arial" w:hAnsi="Arial"/>
                <w:sz w:val="13"/>
                <w:szCs w:val="13"/>
                <w:b w:val="1"/>
                <w:bCs w:val="1"/>
                <w:color w:val="auto"/>
              </w:rPr>
              <w:t>CEO</w:t>
            </w:r>
          </w:p>
        </w:tc>
        <w:tc>
          <w:tcPr>
            <w:tcW w:w="800" w:type="dxa"/>
            <w:vAlign w:val="bottom"/>
            <w:tcBorders>
              <w:bottom w:val="single" w:sz="8" w:color="0956FF"/>
            </w:tcBorders>
            <w:gridSpan w:val="2"/>
            <w:shd w:val="clear" w:color="auto" w:fill="ECEBEB"/>
          </w:tcPr>
          <w:p>
            <w:pPr>
              <w:jc w:val="right"/>
              <w:ind w:right="80"/>
              <w:spacing w:after="0"/>
              <w:rPr>
                <w:sz w:val="20"/>
                <w:szCs w:val="20"/>
                <w:color w:val="auto"/>
              </w:rPr>
            </w:pPr>
            <w:r>
              <w:rPr>
                <w:rFonts w:ascii="Arial" w:cs="Arial" w:eastAsia="Arial" w:hAnsi="Arial"/>
                <w:sz w:val="13"/>
                <w:szCs w:val="13"/>
                <w:b w:val="1"/>
                <w:bCs w:val="1"/>
                <w:color w:val="auto"/>
              </w:rPr>
              <w:t>NEOs</w:t>
            </w:r>
          </w:p>
        </w:tc>
        <w:tc>
          <w:tcPr>
            <w:tcW w:w="8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CEO</w:t>
            </w:r>
          </w:p>
        </w:tc>
        <w:tc>
          <w:tcPr>
            <w:tcW w:w="800" w:type="dxa"/>
            <w:vAlign w:val="bottom"/>
            <w:tcBorders>
              <w:bottom w:val="single" w:sz="8" w:color="0956FF"/>
            </w:tcBorders>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NEOs</w:t>
            </w:r>
          </w:p>
        </w:tc>
        <w:tc>
          <w:tcPr>
            <w:tcW w:w="8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CEO</w:t>
            </w:r>
          </w:p>
        </w:tc>
        <w:tc>
          <w:tcPr>
            <w:tcW w:w="820" w:type="dxa"/>
            <w:vAlign w:val="bottom"/>
            <w:tcBorders>
              <w:bottom w:val="single" w:sz="8" w:color="0956FF"/>
            </w:tcBorders>
            <w:gridSpan w:val="2"/>
            <w:shd w:val="clear" w:color="auto" w:fill="ECEBEB"/>
          </w:tcPr>
          <w:p>
            <w:pPr>
              <w:jc w:val="right"/>
              <w:ind w:right="100"/>
              <w:spacing w:after="0"/>
              <w:rPr>
                <w:sz w:val="20"/>
                <w:szCs w:val="20"/>
                <w:color w:val="auto"/>
              </w:rPr>
            </w:pPr>
            <w:r>
              <w:rPr>
                <w:rFonts w:ascii="Arial" w:cs="Arial" w:eastAsia="Arial" w:hAnsi="Arial"/>
                <w:sz w:val="13"/>
                <w:szCs w:val="13"/>
                <w:b w:val="1"/>
                <w:bCs w:val="1"/>
                <w:color w:val="auto"/>
              </w:rPr>
              <w:t>NEOs</w:t>
            </w:r>
          </w:p>
        </w:tc>
        <w:tc>
          <w:tcPr>
            <w:tcW w:w="860" w:type="dxa"/>
            <w:vAlign w:val="bottom"/>
            <w:tcBorders>
              <w:bottom w:val="single" w:sz="8" w:color="0956FF"/>
            </w:tcBorders>
            <w:shd w:val="clear" w:color="auto" w:fill="ECEBEB"/>
          </w:tcPr>
          <w:p>
            <w:pPr>
              <w:jc w:val="right"/>
              <w:ind w:right="17"/>
              <w:spacing w:after="0"/>
              <w:rPr>
                <w:sz w:val="20"/>
                <w:szCs w:val="20"/>
                <w:color w:val="auto"/>
              </w:rPr>
            </w:pPr>
            <w:r>
              <w:rPr>
                <w:rFonts w:ascii="Arial" w:cs="Arial" w:eastAsia="Arial" w:hAnsi="Arial"/>
                <w:sz w:val="13"/>
                <w:szCs w:val="13"/>
                <w:b w:val="1"/>
                <w:bCs w:val="1"/>
                <w:color w:val="auto"/>
              </w:rPr>
              <w:t>CEO</w:t>
            </w:r>
          </w:p>
        </w:tc>
        <w:tc>
          <w:tcPr>
            <w:tcW w:w="780" w:type="dxa"/>
            <w:vAlign w:val="bottom"/>
            <w:tcBorders>
              <w:bottom w:val="single" w:sz="8" w:color="0956FF"/>
            </w:tcBorders>
            <w:gridSpan w:val="2"/>
            <w:shd w:val="clear" w:color="auto" w:fill="ECEBEB"/>
          </w:tcPr>
          <w:p>
            <w:pPr>
              <w:jc w:val="right"/>
              <w:ind w:right="80"/>
              <w:spacing w:after="0"/>
              <w:rPr>
                <w:sz w:val="20"/>
                <w:szCs w:val="20"/>
                <w:color w:val="auto"/>
              </w:rPr>
            </w:pPr>
            <w:r>
              <w:rPr>
                <w:rFonts w:ascii="Arial" w:cs="Arial" w:eastAsia="Arial" w:hAnsi="Arial"/>
                <w:sz w:val="13"/>
                <w:szCs w:val="13"/>
                <w:b w:val="1"/>
                <w:bCs w:val="1"/>
                <w:color w:val="auto"/>
              </w:rPr>
              <w:t>NEOs</w:t>
            </w:r>
          </w:p>
        </w:tc>
        <w:tc>
          <w:tcPr>
            <w:tcW w:w="80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CEO</w:t>
            </w:r>
          </w:p>
        </w:tc>
        <w:tc>
          <w:tcPr>
            <w:tcW w:w="7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3"/>
                <w:szCs w:val="13"/>
                <w:b w:val="1"/>
                <w:bCs w:val="1"/>
                <w:color w:val="auto"/>
              </w:rPr>
              <w:t>NEOs</w:t>
            </w:r>
          </w:p>
        </w:tc>
      </w:tr>
      <w:tr>
        <w:trPr>
          <w:trHeight w:val="169"/>
        </w:trPr>
        <w:tc>
          <w:tcPr>
            <w:tcW w:w="960" w:type="dxa"/>
            <w:vAlign w:val="bottom"/>
          </w:tcPr>
          <w:p>
            <w:pPr>
              <w:ind w:left="60"/>
              <w:spacing w:after="0"/>
              <w:rPr>
                <w:sz w:val="20"/>
                <w:szCs w:val="20"/>
                <w:color w:val="auto"/>
              </w:rPr>
            </w:pPr>
            <w:r>
              <w:rPr>
                <w:rFonts w:ascii="Arial" w:cs="Arial" w:eastAsia="Arial" w:hAnsi="Arial"/>
                <w:sz w:val="13"/>
                <w:szCs w:val="13"/>
                <w:color w:val="auto"/>
              </w:rPr>
              <w:t>Change in Fair</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38,037,422</w:t>
            </w:r>
          </w:p>
        </w:tc>
        <w:tc>
          <w:tcPr>
            <w:tcW w:w="740" w:type="dxa"/>
            <w:vAlign w:val="bottom"/>
          </w:tcPr>
          <w:p>
            <w:pPr>
              <w:jc w:val="right"/>
              <w:spacing w:after="0"/>
              <w:rPr>
                <w:sz w:val="20"/>
                <w:szCs w:val="20"/>
                <w:color w:val="auto"/>
              </w:rPr>
            </w:pPr>
            <w:r>
              <w:rPr>
                <w:rFonts w:ascii="Arial" w:cs="Arial" w:eastAsia="Arial" w:hAnsi="Arial"/>
                <w:sz w:val="13"/>
                <w:szCs w:val="13"/>
                <w:color w:val="auto"/>
              </w:rPr>
              <w:t>14,469,725</w:t>
            </w:r>
          </w:p>
        </w:tc>
        <w:tc>
          <w:tcPr>
            <w:tcW w:w="6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20,123,276</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7,028,593</w:t>
            </w:r>
          </w:p>
        </w:tc>
        <w:tc>
          <w:tcPr>
            <w:tcW w:w="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(5,416,604)</w:t>
            </w:r>
          </w:p>
        </w:tc>
        <w:tc>
          <w:tcPr>
            <w:tcW w:w="1680" w:type="dxa"/>
            <w:vAlign w:val="bottom"/>
            <w:gridSpan w:val="3"/>
          </w:tcPr>
          <w:p>
            <w:pPr>
              <w:jc w:val="right"/>
              <w:ind w:right="37"/>
              <w:spacing w:after="0"/>
              <w:rPr>
                <w:sz w:val="20"/>
                <w:szCs w:val="20"/>
                <w:color w:val="auto"/>
              </w:rPr>
            </w:pPr>
            <w:r>
              <w:rPr>
                <w:rFonts w:ascii="Arial" w:cs="Arial" w:eastAsia="Arial" w:hAnsi="Arial"/>
                <w:sz w:val="13"/>
                <w:szCs w:val="13"/>
                <w:color w:val="auto"/>
              </w:rPr>
              <w:t>(1,411,612) (25,258,220)</w:t>
            </w:r>
          </w:p>
        </w:tc>
        <w:tc>
          <w:tcPr>
            <w:tcW w:w="720" w:type="dxa"/>
            <w:vAlign w:val="bottom"/>
          </w:tcPr>
          <w:p>
            <w:pPr>
              <w:jc w:val="right"/>
              <w:spacing w:after="0"/>
              <w:rPr>
                <w:sz w:val="20"/>
                <w:szCs w:val="20"/>
                <w:color w:val="auto"/>
              </w:rPr>
            </w:pPr>
            <w:r>
              <w:rPr>
                <w:rFonts w:ascii="Arial" w:cs="Arial" w:eastAsia="Arial" w:hAnsi="Arial"/>
                <w:sz w:val="13"/>
                <w:szCs w:val="13"/>
                <w:color w:val="auto"/>
                <w:w w:val="99"/>
              </w:rPr>
              <w:t>(7,683,634)</w:t>
            </w:r>
          </w:p>
        </w:tc>
        <w:tc>
          <w:tcPr>
            <w:tcW w:w="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25,646,494</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5,307,302</w:t>
            </w: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Value of</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Outstanding</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and Unvested</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Stock Awards</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Granted in</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Prior Years</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8"/>
        </w:trPr>
        <w:tc>
          <w:tcPr>
            <w:tcW w:w="9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6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6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Change in Fair</w:t>
            </w: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(1,598,390)</w:t>
            </w:r>
          </w:p>
        </w:tc>
        <w:tc>
          <w:tcPr>
            <w:tcW w:w="740" w:type="dxa"/>
            <w:vAlign w:val="bottom"/>
          </w:tcPr>
          <w:p>
            <w:pPr>
              <w:jc w:val="right"/>
              <w:spacing w:after="0"/>
              <w:rPr>
                <w:sz w:val="20"/>
                <w:szCs w:val="20"/>
                <w:color w:val="auto"/>
              </w:rPr>
            </w:pPr>
            <w:r>
              <w:rPr>
                <w:rFonts w:ascii="Arial" w:cs="Arial" w:eastAsia="Arial" w:hAnsi="Arial"/>
                <w:sz w:val="13"/>
                <w:szCs w:val="13"/>
                <w:color w:val="auto"/>
              </w:rPr>
              <w:t>(409,103)</w:t>
            </w:r>
          </w:p>
        </w:tc>
        <w:tc>
          <w:tcPr>
            <w:tcW w:w="6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465,889</w:t>
            </w:r>
          </w:p>
        </w:tc>
        <w:tc>
          <w:tcPr>
            <w:tcW w:w="740" w:type="dxa"/>
            <w:vAlign w:val="bottom"/>
          </w:tcPr>
          <w:p>
            <w:pPr>
              <w:jc w:val="right"/>
              <w:spacing w:after="0"/>
              <w:rPr>
                <w:sz w:val="20"/>
                <w:szCs w:val="20"/>
                <w:color w:val="auto"/>
              </w:rPr>
            </w:pPr>
            <w:r>
              <w:rPr>
                <w:rFonts w:ascii="Arial" w:cs="Arial" w:eastAsia="Arial" w:hAnsi="Arial"/>
                <w:sz w:val="13"/>
                <w:szCs w:val="13"/>
                <w:color w:val="auto"/>
              </w:rPr>
              <w:t>557,210</w:t>
            </w:r>
          </w:p>
        </w:tc>
        <w:tc>
          <w:tcPr>
            <w:tcW w:w="6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3,397,165</w:t>
            </w:r>
          </w:p>
        </w:tc>
        <w:tc>
          <w:tcPr>
            <w:tcW w:w="760" w:type="dxa"/>
            <w:vAlign w:val="bottom"/>
          </w:tcPr>
          <w:p>
            <w:pPr>
              <w:jc w:val="right"/>
              <w:spacing w:after="0"/>
              <w:rPr>
                <w:sz w:val="20"/>
                <w:szCs w:val="20"/>
                <w:color w:val="auto"/>
              </w:rPr>
            </w:pPr>
            <w:r>
              <w:rPr>
                <w:rFonts w:ascii="Arial" w:cs="Arial" w:eastAsia="Arial" w:hAnsi="Arial"/>
                <w:sz w:val="13"/>
                <w:szCs w:val="13"/>
                <w:color w:val="auto"/>
              </w:rPr>
              <w:t>583,155</w:t>
            </w:r>
          </w:p>
        </w:tc>
        <w:tc>
          <w:tcPr>
            <w:tcW w:w="6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(4,942,601)</w:t>
            </w:r>
          </w:p>
        </w:tc>
        <w:tc>
          <w:tcPr>
            <w:tcW w:w="720" w:type="dxa"/>
            <w:vAlign w:val="bottom"/>
          </w:tcPr>
          <w:p>
            <w:pPr>
              <w:jc w:val="right"/>
              <w:spacing w:after="0"/>
              <w:rPr>
                <w:sz w:val="20"/>
                <w:szCs w:val="20"/>
                <w:color w:val="auto"/>
              </w:rPr>
            </w:pPr>
            <w:r>
              <w:rPr>
                <w:rFonts w:ascii="Arial" w:cs="Arial" w:eastAsia="Arial" w:hAnsi="Arial"/>
                <w:sz w:val="13"/>
                <w:szCs w:val="13"/>
                <w:color w:val="auto"/>
              </w:rPr>
              <w:t>(732,230)</w:t>
            </w:r>
          </w:p>
        </w:tc>
        <w:tc>
          <w:tcPr>
            <w:tcW w:w="60" w:type="dxa"/>
            <w:vAlign w:val="bottom"/>
          </w:tcPr>
          <w:p>
            <w:pPr>
              <w:spacing w:after="0"/>
              <w:rPr>
                <w:sz w:val="14"/>
                <w:szCs w:val="1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5,626,432</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646,960</w:t>
            </w: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Value of Stock</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Awards that</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Vested in the</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Covered Year</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1"/>
        </w:trPr>
        <w:tc>
          <w:tcPr>
            <w:tcW w:w="960" w:type="dxa"/>
            <w:vAlign w:val="bottom"/>
            <w:tcBorders>
              <w:bottom w:val="single" w:sz="8" w:color="D8D7D7"/>
            </w:tcBorders>
          </w:tcPr>
          <w:p>
            <w:pPr>
              <w:spacing w:after="0"/>
              <w:rPr>
                <w:sz w:val="3"/>
                <w:szCs w:val="3"/>
                <w:color w:val="auto"/>
              </w:rPr>
            </w:pPr>
          </w:p>
        </w:tc>
        <w:tc>
          <w:tcPr>
            <w:tcW w:w="840" w:type="dxa"/>
            <w:vAlign w:val="bottom"/>
            <w:tcBorders>
              <w:bottom w:val="single" w:sz="8" w:color="D8D7D7"/>
            </w:tcBorders>
          </w:tcPr>
          <w:p>
            <w:pPr>
              <w:spacing w:after="0"/>
              <w:rPr>
                <w:sz w:val="3"/>
                <w:szCs w:val="3"/>
                <w:color w:val="auto"/>
              </w:rPr>
            </w:pPr>
          </w:p>
        </w:tc>
        <w:tc>
          <w:tcPr>
            <w:tcW w:w="740" w:type="dxa"/>
            <w:vAlign w:val="bottom"/>
            <w:tcBorders>
              <w:bottom w:val="single" w:sz="8" w:color="D8D7D7"/>
            </w:tcBorders>
          </w:tcPr>
          <w:p>
            <w:pPr>
              <w:spacing w:after="0"/>
              <w:rPr>
                <w:sz w:val="3"/>
                <w:szCs w:val="3"/>
                <w:color w:val="auto"/>
              </w:rPr>
            </w:pPr>
          </w:p>
        </w:tc>
        <w:tc>
          <w:tcPr>
            <w:tcW w:w="60" w:type="dxa"/>
            <w:vAlign w:val="bottom"/>
            <w:tcBorders>
              <w:bottom w:val="single" w:sz="8" w:color="D8D7D7"/>
            </w:tcBorders>
          </w:tcPr>
          <w:p>
            <w:pPr>
              <w:spacing w:after="0"/>
              <w:rPr>
                <w:sz w:val="3"/>
                <w:szCs w:val="3"/>
                <w:color w:val="auto"/>
              </w:rPr>
            </w:pPr>
          </w:p>
        </w:tc>
        <w:tc>
          <w:tcPr>
            <w:tcW w:w="840" w:type="dxa"/>
            <w:vAlign w:val="bottom"/>
            <w:tcBorders>
              <w:bottom w:val="single" w:sz="8" w:color="D8D7D7"/>
            </w:tcBorders>
          </w:tcPr>
          <w:p>
            <w:pPr>
              <w:spacing w:after="0"/>
              <w:rPr>
                <w:sz w:val="3"/>
                <w:szCs w:val="3"/>
                <w:color w:val="auto"/>
              </w:rPr>
            </w:pPr>
          </w:p>
        </w:tc>
        <w:tc>
          <w:tcPr>
            <w:tcW w:w="740" w:type="dxa"/>
            <w:vAlign w:val="bottom"/>
            <w:tcBorders>
              <w:bottom w:val="single" w:sz="8" w:color="D8D7D7"/>
            </w:tcBorders>
          </w:tcPr>
          <w:p>
            <w:pPr>
              <w:spacing w:after="0"/>
              <w:rPr>
                <w:sz w:val="3"/>
                <w:szCs w:val="3"/>
                <w:color w:val="auto"/>
              </w:rPr>
            </w:pPr>
          </w:p>
        </w:tc>
        <w:tc>
          <w:tcPr>
            <w:tcW w:w="60" w:type="dxa"/>
            <w:vAlign w:val="bottom"/>
            <w:tcBorders>
              <w:bottom w:val="single" w:sz="8" w:color="D8D7D7"/>
            </w:tcBorders>
          </w:tcPr>
          <w:p>
            <w:pPr>
              <w:spacing w:after="0"/>
              <w:rPr>
                <w:sz w:val="3"/>
                <w:szCs w:val="3"/>
                <w:color w:val="auto"/>
              </w:rPr>
            </w:pPr>
          </w:p>
        </w:tc>
        <w:tc>
          <w:tcPr>
            <w:tcW w:w="840" w:type="dxa"/>
            <w:vAlign w:val="bottom"/>
            <w:tcBorders>
              <w:bottom w:val="single" w:sz="8" w:color="D8D7D7"/>
            </w:tcBorders>
          </w:tcPr>
          <w:p>
            <w:pPr>
              <w:spacing w:after="0"/>
              <w:rPr>
                <w:sz w:val="3"/>
                <w:szCs w:val="3"/>
                <w:color w:val="auto"/>
              </w:rPr>
            </w:pPr>
          </w:p>
        </w:tc>
        <w:tc>
          <w:tcPr>
            <w:tcW w:w="760" w:type="dxa"/>
            <w:vAlign w:val="bottom"/>
            <w:tcBorders>
              <w:bottom w:val="single" w:sz="8" w:color="D8D7D7"/>
            </w:tcBorders>
          </w:tcPr>
          <w:p>
            <w:pPr>
              <w:spacing w:after="0"/>
              <w:rPr>
                <w:sz w:val="3"/>
                <w:szCs w:val="3"/>
                <w:color w:val="auto"/>
              </w:rPr>
            </w:pPr>
          </w:p>
        </w:tc>
        <w:tc>
          <w:tcPr>
            <w:tcW w:w="60" w:type="dxa"/>
            <w:vAlign w:val="bottom"/>
            <w:tcBorders>
              <w:bottom w:val="single" w:sz="8" w:color="D8D7D7"/>
            </w:tcBorders>
          </w:tcPr>
          <w:p>
            <w:pPr>
              <w:spacing w:after="0"/>
              <w:rPr>
                <w:sz w:val="3"/>
                <w:szCs w:val="3"/>
                <w:color w:val="auto"/>
              </w:rPr>
            </w:pPr>
          </w:p>
        </w:tc>
        <w:tc>
          <w:tcPr>
            <w:tcW w:w="860" w:type="dxa"/>
            <w:vAlign w:val="bottom"/>
            <w:tcBorders>
              <w:bottom w:val="single" w:sz="8" w:color="D8D7D7"/>
            </w:tcBorders>
          </w:tcPr>
          <w:p>
            <w:pPr>
              <w:spacing w:after="0"/>
              <w:rPr>
                <w:sz w:val="3"/>
                <w:szCs w:val="3"/>
                <w:color w:val="auto"/>
              </w:rPr>
            </w:pPr>
          </w:p>
        </w:tc>
        <w:tc>
          <w:tcPr>
            <w:tcW w:w="720" w:type="dxa"/>
            <w:vAlign w:val="bottom"/>
            <w:tcBorders>
              <w:bottom w:val="single" w:sz="8" w:color="D8D7D7"/>
            </w:tcBorders>
          </w:tcPr>
          <w:p>
            <w:pPr>
              <w:spacing w:after="0"/>
              <w:rPr>
                <w:sz w:val="3"/>
                <w:szCs w:val="3"/>
                <w:color w:val="auto"/>
              </w:rPr>
            </w:pPr>
          </w:p>
        </w:tc>
        <w:tc>
          <w:tcPr>
            <w:tcW w:w="60" w:type="dxa"/>
            <w:vAlign w:val="bottom"/>
            <w:tcBorders>
              <w:bottom w:val="single" w:sz="8" w:color="D8D7D7"/>
            </w:tcBorders>
          </w:tcPr>
          <w:p>
            <w:pPr>
              <w:spacing w:after="0"/>
              <w:rPr>
                <w:sz w:val="3"/>
                <w:szCs w:val="3"/>
                <w:color w:val="auto"/>
              </w:rPr>
            </w:pPr>
          </w:p>
        </w:tc>
        <w:tc>
          <w:tcPr>
            <w:tcW w:w="800" w:type="dxa"/>
            <w:vAlign w:val="bottom"/>
            <w:tcBorders>
              <w:bottom w:val="single" w:sz="8" w:color="D8D7D7"/>
            </w:tcBorders>
          </w:tcPr>
          <w:p>
            <w:pPr>
              <w:spacing w:after="0"/>
              <w:rPr>
                <w:sz w:val="3"/>
                <w:szCs w:val="3"/>
                <w:color w:val="auto"/>
              </w:rPr>
            </w:pPr>
          </w:p>
        </w:tc>
        <w:tc>
          <w:tcPr>
            <w:tcW w:w="740" w:type="dxa"/>
            <w:vAlign w:val="bottom"/>
            <w:tcBorders>
              <w:bottom w:val="single" w:sz="8" w:color="D8D7D7"/>
            </w:tcBorders>
          </w:tcPr>
          <w:p>
            <w:pPr>
              <w:spacing w:after="0"/>
              <w:rPr>
                <w:sz w:val="3"/>
                <w:szCs w:val="3"/>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Less: Fair</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(3,150,411)</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Value of Stock</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Awards</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Forfeited</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During the</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Covered Year</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8"/>
        </w:trPr>
        <w:tc>
          <w:tcPr>
            <w:tcW w:w="9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6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6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Less: Amount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(4,875,013)</w:t>
            </w:r>
          </w:p>
        </w:tc>
        <w:tc>
          <w:tcPr>
            <w:tcW w:w="760" w:type="dxa"/>
            <w:vAlign w:val="bottom"/>
          </w:tcPr>
          <w:p>
            <w:pPr>
              <w:jc w:val="right"/>
              <w:spacing w:after="0"/>
              <w:rPr>
                <w:sz w:val="20"/>
                <w:szCs w:val="20"/>
                <w:color w:val="auto"/>
              </w:rPr>
            </w:pPr>
            <w:r>
              <w:rPr>
                <w:rFonts w:ascii="Arial" w:cs="Arial" w:eastAsia="Arial" w:hAnsi="Arial"/>
                <w:sz w:val="13"/>
                <w:szCs w:val="13"/>
                <w:color w:val="auto"/>
              </w:rPr>
              <w:t>(1,796,486)</w:t>
            </w:r>
          </w:p>
        </w:tc>
        <w:tc>
          <w:tcPr>
            <w:tcW w:w="6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(4,875,010)</w:t>
            </w:r>
          </w:p>
        </w:tc>
        <w:tc>
          <w:tcPr>
            <w:tcW w:w="720" w:type="dxa"/>
            <w:vAlign w:val="bottom"/>
          </w:tcPr>
          <w:p>
            <w:pPr>
              <w:jc w:val="right"/>
              <w:spacing w:after="0"/>
              <w:rPr>
                <w:sz w:val="20"/>
                <w:szCs w:val="20"/>
                <w:color w:val="auto"/>
              </w:rPr>
            </w:pPr>
            <w:r>
              <w:rPr>
                <w:rFonts w:ascii="Arial" w:cs="Arial" w:eastAsia="Arial" w:hAnsi="Arial"/>
                <w:sz w:val="13"/>
                <w:szCs w:val="13"/>
                <w:color w:val="auto"/>
              </w:rPr>
              <w:t>(1,823,438)</w:t>
            </w: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(3,937,507)</w:t>
            </w:r>
          </w:p>
        </w:tc>
        <w:tc>
          <w:tcPr>
            <w:tcW w:w="740" w:type="dxa"/>
            <w:vAlign w:val="bottom"/>
          </w:tcPr>
          <w:p>
            <w:pPr>
              <w:jc w:val="right"/>
              <w:spacing w:after="0"/>
              <w:rPr>
                <w:sz w:val="20"/>
                <w:szCs w:val="20"/>
                <w:color w:val="auto"/>
              </w:rPr>
            </w:pPr>
            <w:r>
              <w:rPr>
                <w:rFonts w:ascii="Arial" w:cs="Arial" w:eastAsia="Arial" w:hAnsi="Arial"/>
                <w:sz w:val="13"/>
                <w:szCs w:val="13"/>
                <w:color w:val="auto"/>
              </w:rPr>
              <w:t>(1,368,752)</w:t>
            </w: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Reported in</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the “Option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Awards”</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Column of the</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SCT</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8"/>
        </w:trPr>
        <w:tc>
          <w:tcPr>
            <w:tcW w:w="9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6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6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Plus: Year-end</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3,155,717</w:t>
            </w:r>
          </w:p>
        </w:tc>
        <w:tc>
          <w:tcPr>
            <w:tcW w:w="760" w:type="dxa"/>
            <w:vAlign w:val="bottom"/>
          </w:tcPr>
          <w:p>
            <w:pPr>
              <w:jc w:val="right"/>
              <w:spacing w:after="0"/>
              <w:rPr>
                <w:sz w:val="20"/>
                <w:szCs w:val="20"/>
                <w:color w:val="auto"/>
              </w:rPr>
            </w:pPr>
            <w:r>
              <w:rPr>
                <w:rFonts w:ascii="Arial" w:cs="Arial" w:eastAsia="Arial" w:hAnsi="Arial"/>
                <w:sz w:val="13"/>
                <w:szCs w:val="13"/>
                <w:color w:val="auto"/>
              </w:rPr>
              <w:t>1,162,910</w:t>
            </w:r>
          </w:p>
        </w:tc>
        <w:tc>
          <w:tcPr>
            <w:tcW w:w="6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2,584,980</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966,880</w:t>
            </w:r>
          </w:p>
        </w:tc>
        <w:tc>
          <w:tcPr>
            <w:tcW w:w="6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3,694,210</w:t>
            </w:r>
          </w:p>
        </w:tc>
        <w:tc>
          <w:tcPr>
            <w:tcW w:w="740" w:type="dxa"/>
            <w:vAlign w:val="bottom"/>
          </w:tcPr>
          <w:p>
            <w:pPr>
              <w:jc w:val="center"/>
              <w:ind w:left="77"/>
              <w:spacing w:after="0"/>
              <w:rPr>
                <w:sz w:val="20"/>
                <w:szCs w:val="20"/>
                <w:color w:val="auto"/>
              </w:rPr>
            </w:pPr>
            <w:r>
              <w:rPr>
                <w:rFonts w:ascii="Arial" w:cs="Arial" w:eastAsia="Arial" w:hAnsi="Arial"/>
                <w:sz w:val="13"/>
                <w:szCs w:val="13"/>
                <w:color w:val="auto"/>
                <w:w w:val="96"/>
              </w:rPr>
              <w:t>1,284,177</w:t>
            </w: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Fair Value of</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Outstanding</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and Unvested</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Option Awards</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Granted in the</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Covered Year</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8"/>
        </w:trPr>
        <w:tc>
          <w:tcPr>
            <w:tcW w:w="9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6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6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Change in Fair</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2,619,355</w:t>
            </w:r>
          </w:p>
        </w:tc>
        <w:tc>
          <w:tcPr>
            <w:tcW w:w="740" w:type="dxa"/>
            <w:vAlign w:val="bottom"/>
          </w:tcPr>
          <w:p>
            <w:pPr>
              <w:jc w:val="right"/>
              <w:spacing w:after="0"/>
              <w:rPr>
                <w:sz w:val="20"/>
                <w:szCs w:val="20"/>
                <w:color w:val="auto"/>
              </w:rPr>
            </w:pPr>
            <w:r>
              <w:rPr>
                <w:rFonts w:ascii="Arial" w:cs="Arial" w:eastAsia="Arial" w:hAnsi="Arial"/>
                <w:sz w:val="13"/>
                <w:szCs w:val="13"/>
                <w:color w:val="auto"/>
              </w:rPr>
              <w:t>776,147</w:t>
            </w:r>
          </w:p>
        </w:tc>
        <w:tc>
          <w:tcPr>
            <w:tcW w:w="6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3,374,009</w:t>
            </w:r>
          </w:p>
        </w:tc>
        <w:tc>
          <w:tcPr>
            <w:tcW w:w="740" w:type="dxa"/>
            <w:vAlign w:val="bottom"/>
          </w:tcPr>
          <w:p>
            <w:pPr>
              <w:jc w:val="right"/>
              <w:spacing w:after="0"/>
              <w:rPr>
                <w:sz w:val="20"/>
                <w:szCs w:val="20"/>
                <w:color w:val="auto"/>
              </w:rPr>
            </w:pPr>
            <w:r>
              <w:rPr>
                <w:rFonts w:ascii="Arial" w:cs="Arial" w:eastAsia="Arial" w:hAnsi="Arial"/>
                <w:sz w:val="13"/>
                <w:szCs w:val="13"/>
                <w:color w:val="auto"/>
              </w:rPr>
              <w:t>973,138</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(774,417)</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(213,916)</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(5,055,582)</w:t>
            </w:r>
          </w:p>
        </w:tc>
        <w:tc>
          <w:tcPr>
            <w:tcW w:w="720" w:type="dxa"/>
            <w:vAlign w:val="bottom"/>
          </w:tcPr>
          <w:p>
            <w:pPr>
              <w:jc w:val="right"/>
              <w:spacing w:after="0"/>
              <w:rPr>
                <w:sz w:val="20"/>
                <w:szCs w:val="20"/>
                <w:color w:val="auto"/>
              </w:rPr>
            </w:pPr>
            <w:r>
              <w:rPr>
                <w:rFonts w:ascii="Arial" w:cs="Arial" w:eastAsia="Arial" w:hAnsi="Arial"/>
                <w:sz w:val="13"/>
                <w:szCs w:val="13"/>
                <w:color w:val="auto"/>
              </w:rPr>
              <w:t>(1,267,702)</w:t>
            </w:r>
          </w:p>
        </w:tc>
        <w:tc>
          <w:tcPr>
            <w:tcW w:w="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6,628,520</w:t>
            </w:r>
          </w:p>
        </w:tc>
        <w:tc>
          <w:tcPr>
            <w:tcW w:w="740" w:type="dxa"/>
            <w:vAlign w:val="bottom"/>
          </w:tcPr>
          <w:p>
            <w:pPr>
              <w:jc w:val="right"/>
              <w:spacing w:after="0"/>
              <w:rPr>
                <w:sz w:val="20"/>
                <w:szCs w:val="20"/>
                <w:color w:val="auto"/>
              </w:rPr>
            </w:pPr>
            <w:r>
              <w:rPr>
                <w:rFonts w:ascii="Arial" w:cs="Arial" w:eastAsia="Arial" w:hAnsi="Arial"/>
                <w:sz w:val="13"/>
                <w:szCs w:val="13"/>
                <w:color w:val="auto"/>
              </w:rPr>
              <w:t>1,281,139</w:t>
            </w: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Value of</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Outstanding</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and Unvested</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Option Awards</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Granted in</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Prior Years</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8"/>
        </w:trPr>
        <w:tc>
          <w:tcPr>
            <w:tcW w:w="9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6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6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Change in Fair</w:t>
            </w:r>
          </w:p>
        </w:tc>
        <w:tc>
          <w:tcPr>
            <w:tcW w:w="840" w:type="dxa"/>
            <w:vAlign w:val="bottom"/>
          </w:tcPr>
          <w:p>
            <w:pPr>
              <w:jc w:val="right"/>
              <w:spacing w:after="0"/>
              <w:rPr>
                <w:sz w:val="20"/>
                <w:szCs w:val="20"/>
                <w:color w:val="auto"/>
              </w:rPr>
            </w:pPr>
            <w:r>
              <w:rPr>
                <w:rFonts w:ascii="Arial" w:cs="Arial" w:eastAsia="Arial" w:hAnsi="Arial"/>
                <w:sz w:val="13"/>
                <w:szCs w:val="13"/>
                <w:color w:val="auto"/>
              </w:rPr>
              <w:t>(807,631)</w:t>
            </w:r>
          </w:p>
        </w:tc>
        <w:tc>
          <w:tcPr>
            <w:tcW w:w="740" w:type="dxa"/>
            <w:vAlign w:val="bottom"/>
          </w:tcPr>
          <w:p>
            <w:pPr>
              <w:jc w:val="right"/>
              <w:spacing w:after="0"/>
              <w:rPr>
                <w:sz w:val="20"/>
                <w:szCs w:val="20"/>
                <w:color w:val="auto"/>
              </w:rPr>
            </w:pPr>
            <w:r>
              <w:rPr>
                <w:rFonts w:ascii="Arial" w:cs="Arial" w:eastAsia="Arial" w:hAnsi="Arial"/>
                <w:sz w:val="13"/>
                <w:szCs w:val="13"/>
                <w:color w:val="auto"/>
              </w:rPr>
              <w:t>(218,845)</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353,131</w:t>
            </w:r>
          </w:p>
        </w:tc>
        <w:tc>
          <w:tcPr>
            <w:tcW w:w="740" w:type="dxa"/>
            <w:vAlign w:val="bottom"/>
          </w:tcPr>
          <w:p>
            <w:pPr>
              <w:jc w:val="right"/>
              <w:spacing w:after="0"/>
              <w:rPr>
                <w:sz w:val="20"/>
                <w:szCs w:val="20"/>
                <w:color w:val="auto"/>
              </w:rPr>
            </w:pPr>
            <w:r>
              <w:rPr>
                <w:rFonts w:ascii="Arial" w:cs="Arial" w:eastAsia="Arial" w:hAnsi="Arial"/>
                <w:sz w:val="13"/>
                <w:szCs w:val="13"/>
                <w:color w:val="auto"/>
              </w:rPr>
              <w:t>93,851</w:t>
            </w:r>
          </w:p>
        </w:tc>
        <w:tc>
          <w:tcPr>
            <w:tcW w:w="6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1,065,305</w:t>
            </w:r>
          </w:p>
        </w:tc>
        <w:tc>
          <w:tcPr>
            <w:tcW w:w="760" w:type="dxa"/>
            <w:vAlign w:val="bottom"/>
          </w:tcPr>
          <w:p>
            <w:pPr>
              <w:jc w:val="right"/>
              <w:spacing w:after="0"/>
              <w:rPr>
                <w:sz w:val="20"/>
                <w:szCs w:val="20"/>
                <w:color w:val="auto"/>
              </w:rPr>
            </w:pPr>
            <w:r>
              <w:rPr>
                <w:rFonts w:ascii="Arial" w:cs="Arial" w:eastAsia="Arial" w:hAnsi="Arial"/>
                <w:sz w:val="13"/>
                <w:szCs w:val="13"/>
                <w:color w:val="auto"/>
              </w:rPr>
              <w:t>199,384</w:t>
            </w:r>
          </w:p>
        </w:tc>
        <w:tc>
          <w:tcPr>
            <w:tcW w:w="6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(2,429,243)</w:t>
            </w:r>
          </w:p>
        </w:tc>
        <w:tc>
          <w:tcPr>
            <w:tcW w:w="720" w:type="dxa"/>
            <w:vAlign w:val="bottom"/>
          </w:tcPr>
          <w:p>
            <w:pPr>
              <w:jc w:val="right"/>
              <w:spacing w:after="0"/>
              <w:rPr>
                <w:sz w:val="20"/>
                <w:szCs w:val="20"/>
                <w:color w:val="auto"/>
              </w:rPr>
            </w:pPr>
            <w:r>
              <w:rPr>
                <w:rFonts w:ascii="Arial" w:cs="Arial" w:eastAsia="Arial" w:hAnsi="Arial"/>
                <w:sz w:val="13"/>
                <w:szCs w:val="13"/>
                <w:color w:val="auto"/>
              </w:rPr>
              <w:t>(481,646)</w:t>
            </w:r>
          </w:p>
        </w:tc>
        <w:tc>
          <w:tcPr>
            <w:tcW w:w="6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4,969,494</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804,660</w:t>
            </w: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Value of</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Option Awards</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that Vested in</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the Covered</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Year</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8"/>
        </w:trPr>
        <w:tc>
          <w:tcPr>
            <w:tcW w:w="9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6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60" w:type="dxa"/>
            <w:vAlign w:val="bottom"/>
            <w:tcBorders>
              <w:bottom w:val="single" w:sz="8" w:color="D8D7D7"/>
            </w:tcBorders>
          </w:tcPr>
          <w:p>
            <w:pPr>
              <w:spacing w:after="0"/>
              <w:rPr>
                <w:sz w:val="2"/>
                <w:szCs w:val="2"/>
                <w:color w:val="auto"/>
              </w:rPr>
            </w:pPr>
          </w:p>
        </w:tc>
        <w:tc>
          <w:tcPr>
            <w:tcW w:w="72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r>
      <w:tr>
        <w:trPr>
          <w:trHeight w:val="165"/>
        </w:trPr>
        <w:tc>
          <w:tcPr>
            <w:tcW w:w="960" w:type="dxa"/>
            <w:vAlign w:val="bottom"/>
          </w:tcPr>
          <w:p>
            <w:pPr>
              <w:ind w:left="60"/>
              <w:spacing w:after="0"/>
              <w:rPr>
                <w:sz w:val="20"/>
                <w:szCs w:val="20"/>
                <w:color w:val="auto"/>
              </w:rPr>
            </w:pPr>
            <w:r>
              <w:rPr>
                <w:rFonts w:ascii="Arial" w:cs="Arial" w:eastAsia="Arial" w:hAnsi="Arial"/>
                <w:sz w:val="13"/>
                <w:szCs w:val="13"/>
                <w:color w:val="auto"/>
              </w:rPr>
              <w:t>Less: Fair</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Value of</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2"/>
        </w:trPr>
        <w:tc>
          <w:tcPr>
            <w:tcW w:w="960" w:type="dxa"/>
            <w:vAlign w:val="bottom"/>
          </w:tcPr>
          <w:p>
            <w:pPr>
              <w:ind w:left="60"/>
              <w:spacing w:after="0"/>
              <w:rPr>
                <w:sz w:val="20"/>
                <w:szCs w:val="20"/>
                <w:color w:val="auto"/>
              </w:rPr>
            </w:pPr>
            <w:r>
              <w:rPr>
                <w:rFonts w:ascii="Arial" w:cs="Arial" w:eastAsia="Arial" w:hAnsi="Arial"/>
                <w:sz w:val="13"/>
                <w:szCs w:val="13"/>
                <w:color w:val="auto"/>
              </w:rPr>
              <w:t>Option Awards</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8"/>
        </w:trPr>
        <w:tc>
          <w:tcPr>
            <w:tcW w:w="960" w:type="dxa"/>
            <w:vAlign w:val="bottom"/>
          </w:tcPr>
          <w:p>
            <w:pPr>
              <w:ind w:left="60"/>
              <w:spacing w:after="0"/>
              <w:rPr>
                <w:sz w:val="20"/>
                <w:szCs w:val="20"/>
                <w:color w:val="auto"/>
              </w:rPr>
            </w:pPr>
            <w:r>
              <w:rPr>
                <w:rFonts w:ascii="Arial" w:cs="Arial" w:eastAsia="Arial" w:hAnsi="Arial"/>
                <w:sz w:val="13"/>
                <w:szCs w:val="13"/>
                <w:color w:val="auto"/>
              </w:rPr>
              <w:t>Forfeited</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960" w:type="dxa"/>
            <w:vAlign w:val="bottom"/>
          </w:tcPr>
          <w:p>
            <w:pPr>
              <w:ind w:left="60"/>
              <w:spacing w:after="0"/>
              <w:rPr>
                <w:sz w:val="20"/>
                <w:szCs w:val="20"/>
                <w:color w:val="auto"/>
              </w:rPr>
            </w:pPr>
            <w:r>
              <w:rPr>
                <w:rFonts w:ascii="Arial" w:cs="Arial" w:eastAsia="Arial" w:hAnsi="Arial"/>
                <w:sz w:val="13"/>
                <w:szCs w:val="13"/>
                <w:color w:val="auto"/>
              </w:rPr>
              <w:t>During the</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6"/>
        </w:trPr>
        <w:tc>
          <w:tcPr>
            <w:tcW w:w="960" w:type="dxa"/>
            <w:vAlign w:val="bottom"/>
          </w:tcPr>
          <w:p>
            <w:pPr>
              <w:ind w:left="60"/>
              <w:spacing w:after="0"/>
              <w:rPr>
                <w:sz w:val="20"/>
                <w:szCs w:val="20"/>
                <w:color w:val="auto"/>
              </w:rPr>
            </w:pPr>
            <w:r>
              <w:rPr>
                <w:rFonts w:ascii="Arial" w:cs="Arial" w:eastAsia="Arial" w:hAnsi="Arial"/>
                <w:sz w:val="13"/>
                <w:szCs w:val="13"/>
                <w:color w:val="auto"/>
              </w:rPr>
              <w:t>Covered Year</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8"/>
        </w:trPr>
        <w:tc>
          <w:tcPr>
            <w:tcW w:w="9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40" w:type="dxa"/>
            <w:vAlign w:val="bottom"/>
            <w:tcBorders>
              <w:bottom w:val="single" w:sz="8" w:color="D8D7D7"/>
            </w:tcBorders>
          </w:tcPr>
          <w:p>
            <w:pPr>
              <w:spacing w:after="0"/>
              <w:rPr>
                <w:sz w:val="2"/>
                <w:szCs w:val="2"/>
                <w:color w:val="auto"/>
              </w:rPr>
            </w:pPr>
          </w:p>
        </w:tc>
        <w:tc>
          <w:tcPr>
            <w:tcW w:w="760" w:type="dxa"/>
            <w:vAlign w:val="bottom"/>
            <w:tcBorders>
              <w:bottom w:val="single" w:sz="8" w:color="D8D7D7"/>
            </w:tcBorders>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1580" w:type="dxa"/>
            <w:vAlign w:val="bottom"/>
            <w:tcBorders>
              <w:bottom w:val="single" w:sz="8" w:color="D8D7D7"/>
            </w:tcBorders>
            <w:gridSpan w:val="2"/>
          </w:tcPr>
          <w:p>
            <w:pPr>
              <w:spacing w:after="0"/>
              <w:rPr>
                <w:sz w:val="2"/>
                <w:szCs w:val="2"/>
                <w:color w:val="auto"/>
              </w:rPr>
            </w:pPr>
          </w:p>
        </w:tc>
        <w:tc>
          <w:tcPr>
            <w:tcW w:w="6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c>
          <w:tcPr>
            <w:tcW w:w="740" w:type="dxa"/>
            <w:vAlign w:val="bottom"/>
            <w:tcBorders>
              <w:bottom w:val="single" w:sz="8" w:color="D8D7D7"/>
            </w:tcBorders>
          </w:tcPr>
          <w:p>
            <w:pPr>
              <w:spacing w:after="0"/>
              <w:rPr>
                <w:sz w:val="2"/>
                <w:szCs w:val="2"/>
                <w:color w:val="auto"/>
              </w:rPr>
            </w:pPr>
          </w:p>
        </w:tc>
      </w:tr>
      <w:tr>
        <w:trPr>
          <w:trHeight w:val="188"/>
        </w:trPr>
        <w:tc>
          <w:tcPr>
            <w:tcW w:w="960" w:type="dxa"/>
            <w:vAlign w:val="bottom"/>
          </w:tcPr>
          <w:p>
            <w:pPr>
              <w:ind w:left="60"/>
              <w:spacing w:after="0"/>
              <w:rPr>
                <w:sz w:val="20"/>
                <w:szCs w:val="20"/>
                <w:color w:val="auto"/>
              </w:rPr>
            </w:pPr>
            <w:r>
              <w:rPr>
                <w:rFonts w:ascii="Arial" w:cs="Arial" w:eastAsia="Arial" w:hAnsi="Arial"/>
                <w:sz w:val="13"/>
                <w:szCs w:val="13"/>
                <w:b w:val="1"/>
                <w:bCs w:val="1"/>
                <w:color w:val="auto"/>
              </w:rPr>
              <w:t>CAP Total</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87,783,000</w:t>
            </w:r>
          </w:p>
        </w:tc>
        <w:tc>
          <w:tcPr>
            <w:tcW w:w="740" w:type="dxa"/>
            <w:vAlign w:val="bottom"/>
          </w:tcPr>
          <w:p>
            <w:pPr>
              <w:jc w:val="right"/>
              <w:spacing w:after="0"/>
              <w:rPr>
                <w:sz w:val="20"/>
                <w:szCs w:val="20"/>
                <w:color w:val="auto"/>
              </w:rPr>
            </w:pPr>
            <w:r>
              <w:rPr>
                <w:rFonts w:ascii="Arial" w:cs="Arial" w:eastAsia="Arial" w:hAnsi="Arial"/>
                <w:sz w:val="13"/>
                <w:szCs w:val="13"/>
                <w:color w:val="auto"/>
              </w:rPr>
              <w:t>49,661,698</w:t>
            </w:r>
          </w:p>
        </w:tc>
        <w:tc>
          <w:tcPr>
            <w:tcW w:w="60" w:type="dxa"/>
            <w:vAlign w:val="bottom"/>
          </w:tcPr>
          <w:p>
            <w:pPr>
              <w:spacing w:after="0"/>
              <w:rPr>
                <w:sz w:val="16"/>
                <w:szCs w:val="16"/>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65,519,064</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w w:val="98"/>
              </w:rPr>
              <w:t>20,502,315</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21,715,743</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12,490,596</w:t>
            </w:r>
          </w:p>
        </w:tc>
        <w:tc>
          <w:tcPr>
            <w:tcW w:w="6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(16,991,516) (2,724,335)</w:t>
            </w:r>
          </w:p>
        </w:tc>
        <w:tc>
          <w:tcPr>
            <w:tcW w:w="60" w:type="dxa"/>
            <w:vAlign w:val="bottom"/>
          </w:tcPr>
          <w:p>
            <w:pPr>
              <w:spacing w:after="0"/>
              <w:rPr>
                <w:sz w:val="16"/>
                <w:szCs w:val="16"/>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76,096,506</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w w:val="98"/>
              </w:rPr>
              <w:t>19,443,928</w:t>
            </w:r>
          </w:p>
        </w:tc>
      </w:tr>
      <w:tr>
        <w:trPr>
          <w:trHeight w:val="22"/>
        </w:trPr>
        <w:tc>
          <w:tcPr>
            <w:tcW w:w="960" w:type="dxa"/>
            <w:vAlign w:val="bottom"/>
            <w:tcBorders>
              <w:bottom w:val="single" w:sz="8" w:color="0956FF"/>
            </w:tcBorders>
          </w:tcPr>
          <w:p>
            <w:pPr>
              <w:spacing w:after="0" w:line="20" w:lineRule="exact"/>
              <w:rPr>
                <w:sz w:val="1"/>
                <w:szCs w:val="1"/>
                <w:color w:val="auto"/>
              </w:rPr>
            </w:pPr>
          </w:p>
        </w:tc>
        <w:tc>
          <w:tcPr>
            <w:tcW w:w="840" w:type="dxa"/>
            <w:vAlign w:val="bottom"/>
            <w:tcBorders>
              <w:bottom w:val="single" w:sz="8" w:color="0956FF"/>
            </w:tcBorders>
          </w:tcPr>
          <w:p>
            <w:pPr>
              <w:spacing w:after="0" w:line="20" w:lineRule="exact"/>
              <w:rPr>
                <w:sz w:val="1"/>
                <w:szCs w:val="1"/>
                <w:color w:val="auto"/>
              </w:rPr>
            </w:pPr>
          </w:p>
        </w:tc>
        <w:tc>
          <w:tcPr>
            <w:tcW w:w="740" w:type="dxa"/>
            <w:vAlign w:val="bottom"/>
            <w:tcBorders>
              <w:bottom w:val="single" w:sz="8" w:color="0956FF"/>
            </w:tcBorders>
          </w:tcPr>
          <w:p>
            <w:pPr>
              <w:spacing w:after="0" w:line="20" w:lineRule="exact"/>
              <w:rPr>
                <w:sz w:val="1"/>
                <w:szCs w:val="1"/>
                <w:color w:val="auto"/>
              </w:rPr>
            </w:pPr>
          </w:p>
        </w:tc>
        <w:tc>
          <w:tcPr>
            <w:tcW w:w="60" w:type="dxa"/>
            <w:vAlign w:val="bottom"/>
            <w:tcBorders>
              <w:bottom w:val="single" w:sz="8" w:color="0956FF"/>
            </w:tcBorders>
          </w:tcPr>
          <w:p>
            <w:pPr>
              <w:spacing w:after="0" w:line="20" w:lineRule="exact"/>
              <w:rPr>
                <w:sz w:val="1"/>
                <w:szCs w:val="1"/>
                <w:color w:val="auto"/>
              </w:rPr>
            </w:pPr>
          </w:p>
        </w:tc>
        <w:tc>
          <w:tcPr>
            <w:tcW w:w="840" w:type="dxa"/>
            <w:vAlign w:val="bottom"/>
            <w:tcBorders>
              <w:bottom w:val="single" w:sz="8" w:color="0956FF"/>
            </w:tcBorders>
          </w:tcPr>
          <w:p>
            <w:pPr>
              <w:spacing w:after="0" w:line="20" w:lineRule="exact"/>
              <w:rPr>
                <w:sz w:val="1"/>
                <w:szCs w:val="1"/>
                <w:color w:val="auto"/>
              </w:rPr>
            </w:pPr>
          </w:p>
        </w:tc>
        <w:tc>
          <w:tcPr>
            <w:tcW w:w="740" w:type="dxa"/>
            <w:vAlign w:val="bottom"/>
            <w:tcBorders>
              <w:bottom w:val="single" w:sz="8" w:color="0956FF"/>
            </w:tcBorders>
          </w:tcPr>
          <w:p>
            <w:pPr>
              <w:spacing w:after="0" w:line="20" w:lineRule="exact"/>
              <w:rPr>
                <w:sz w:val="1"/>
                <w:szCs w:val="1"/>
                <w:color w:val="auto"/>
              </w:rPr>
            </w:pPr>
          </w:p>
        </w:tc>
        <w:tc>
          <w:tcPr>
            <w:tcW w:w="60" w:type="dxa"/>
            <w:vAlign w:val="bottom"/>
            <w:tcBorders>
              <w:bottom w:val="single" w:sz="8" w:color="0956FF"/>
            </w:tcBorders>
          </w:tcPr>
          <w:p>
            <w:pPr>
              <w:spacing w:after="0" w:line="20" w:lineRule="exact"/>
              <w:rPr>
                <w:sz w:val="1"/>
                <w:szCs w:val="1"/>
                <w:color w:val="auto"/>
              </w:rPr>
            </w:pPr>
          </w:p>
        </w:tc>
        <w:tc>
          <w:tcPr>
            <w:tcW w:w="840" w:type="dxa"/>
            <w:vAlign w:val="bottom"/>
            <w:tcBorders>
              <w:bottom w:val="single" w:sz="8" w:color="0956FF"/>
            </w:tcBorders>
          </w:tcPr>
          <w:p>
            <w:pPr>
              <w:spacing w:after="0" w:line="20" w:lineRule="exact"/>
              <w:rPr>
                <w:sz w:val="1"/>
                <w:szCs w:val="1"/>
                <w:color w:val="auto"/>
              </w:rPr>
            </w:pPr>
          </w:p>
        </w:tc>
        <w:tc>
          <w:tcPr>
            <w:tcW w:w="760" w:type="dxa"/>
            <w:vAlign w:val="bottom"/>
            <w:tcBorders>
              <w:bottom w:val="single" w:sz="8" w:color="0956FF"/>
            </w:tcBorders>
          </w:tcPr>
          <w:p>
            <w:pPr>
              <w:spacing w:after="0" w:line="20" w:lineRule="exact"/>
              <w:rPr>
                <w:sz w:val="1"/>
                <w:szCs w:val="1"/>
                <w:color w:val="auto"/>
              </w:rPr>
            </w:pPr>
          </w:p>
        </w:tc>
        <w:tc>
          <w:tcPr>
            <w:tcW w:w="60" w:type="dxa"/>
            <w:vAlign w:val="bottom"/>
            <w:tcBorders>
              <w:bottom w:val="single" w:sz="8" w:color="0956FF"/>
            </w:tcBorders>
          </w:tcPr>
          <w:p>
            <w:pPr>
              <w:spacing w:after="0" w:line="20" w:lineRule="exact"/>
              <w:rPr>
                <w:sz w:val="1"/>
                <w:szCs w:val="1"/>
                <w:color w:val="auto"/>
              </w:rPr>
            </w:pPr>
          </w:p>
        </w:tc>
        <w:tc>
          <w:tcPr>
            <w:tcW w:w="860" w:type="dxa"/>
            <w:vAlign w:val="bottom"/>
            <w:tcBorders>
              <w:bottom w:val="single" w:sz="8" w:color="0956FF"/>
            </w:tcBorders>
          </w:tcPr>
          <w:p>
            <w:pPr>
              <w:spacing w:after="0" w:line="20" w:lineRule="exact"/>
              <w:rPr>
                <w:sz w:val="1"/>
                <w:szCs w:val="1"/>
                <w:color w:val="auto"/>
              </w:rPr>
            </w:pPr>
          </w:p>
        </w:tc>
        <w:tc>
          <w:tcPr>
            <w:tcW w:w="720" w:type="dxa"/>
            <w:vAlign w:val="bottom"/>
            <w:tcBorders>
              <w:bottom w:val="single" w:sz="8" w:color="0956FF"/>
            </w:tcBorders>
          </w:tcPr>
          <w:p>
            <w:pPr>
              <w:spacing w:after="0" w:line="20" w:lineRule="exact"/>
              <w:rPr>
                <w:sz w:val="1"/>
                <w:szCs w:val="1"/>
                <w:color w:val="auto"/>
              </w:rPr>
            </w:pPr>
          </w:p>
        </w:tc>
        <w:tc>
          <w:tcPr>
            <w:tcW w:w="60" w:type="dxa"/>
            <w:vAlign w:val="bottom"/>
            <w:tcBorders>
              <w:bottom w:val="single" w:sz="8" w:color="0956FF"/>
            </w:tcBorders>
          </w:tcPr>
          <w:p>
            <w:pPr>
              <w:spacing w:after="0" w:line="20" w:lineRule="exact"/>
              <w:rPr>
                <w:sz w:val="1"/>
                <w:szCs w:val="1"/>
                <w:color w:val="auto"/>
              </w:rPr>
            </w:pPr>
          </w:p>
        </w:tc>
        <w:tc>
          <w:tcPr>
            <w:tcW w:w="800" w:type="dxa"/>
            <w:vAlign w:val="bottom"/>
            <w:tcBorders>
              <w:bottom w:val="single" w:sz="8" w:color="0956FF"/>
            </w:tcBorders>
          </w:tcPr>
          <w:p>
            <w:pPr>
              <w:spacing w:after="0" w:line="20" w:lineRule="exact"/>
              <w:rPr>
                <w:sz w:val="1"/>
                <w:szCs w:val="1"/>
                <w:color w:val="auto"/>
              </w:rPr>
            </w:pPr>
          </w:p>
        </w:tc>
        <w:tc>
          <w:tcPr>
            <w:tcW w:w="740" w:type="dxa"/>
            <w:vAlign w:val="bottom"/>
            <w:tcBorders>
              <w:bottom w:val="single" w:sz="8" w:color="0956FF"/>
            </w:tcBorders>
          </w:tcPr>
          <w:p>
            <w:pPr>
              <w:spacing w:after="0" w:line="20" w:lineRule="exact"/>
              <w:rPr>
                <w:sz w:val="1"/>
                <w:szCs w:val="1"/>
                <w:color w:val="auto"/>
              </w:rPr>
            </w:pPr>
          </w:p>
        </w:tc>
      </w:tr>
    </w:tbl>
    <w:p>
      <w:pPr>
        <w:spacing w:after="0" w:line="57" w:lineRule="exact"/>
        <w:rPr>
          <w:sz w:val="20"/>
          <w:szCs w:val="20"/>
          <w:color w:val="auto"/>
        </w:rPr>
      </w:pPr>
    </w:p>
    <w:p>
      <w:pPr>
        <w:ind w:left="200" w:hanging="192"/>
        <w:spacing w:after="0"/>
        <w:tabs>
          <w:tab w:leader="none" w:pos="20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Represents the cumulative TSR of the Company of an initial investment of $100 for the measurement period beginning</w:t>
      </w:r>
    </w:p>
    <w:p>
      <w:pPr>
        <w:spacing w:after="0" w:line="26" w:lineRule="exact"/>
        <w:rPr>
          <w:rFonts w:ascii="Arial" w:cs="Arial" w:eastAsia="Arial" w:hAnsi="Arial"/>
          <w:sz w:val="19"/>
          <w:szCs w:val="19"/>
          <w:color w:val="auto"/>
          <w:vertAlign w:val="superscript"/>
        </w:rPr>
      </w:pPr>
    </w:p>
    <w:p>
      <w:pPr>
        <w:ind w:left="200" w:right="320"/>
        <w:spacing w:after="0" w:line="299" w:lineRule="auto"/>
        <w:rPr>
          <w:rFonts w:ascii="Arial" w:cs="Arial" w:eastAsia="Arial" w:hAnsi="Arial"/>
          <w:sz w:val="19"/>
          <w:szCs w:val="19"/>
          <w:color w:val="auto"/>
          <w:vertAlign w:val="superscript"/>
        </w:rPr>
      </w:pPr>
      <w:r>
        <w:rPr>
          <w:rFonts w:ascii="Arial" w:cs="Arial" w:eastAsia="Arial" w:hAnsi="Arial"/>
          <w:sz w:val="14"/>
          <w:szCs w:val="14"/>
          <w:color w:val="auto"/>
        </w:rPr>
        <w:t>December 31, 2020, and ending December 31, 2025, 2024, 2023, 2022, or 2021, respectively, calculated in accordance with Item 201(e) of Regulation S-K as required under Item 402(v) of Regulation S-K.</w:t>
      </w:r>
    </w:p>
    <w:p>
      <w:pPr>
        <w:spacing w:after="0" w:line="16" w:lineRule="exact"/>
        <w:rPr>
          <w:rFonts w:ascii="Arial" w:cs="Arial" w:eastAsia="Arial" w:hAnsi="Arial"/>
          <w:sz w:val="19"/>
          <w:szCs w:val="19"/>
          <w:color w:val="auto"/>
          <w:vertAlign w:val="superscript"/>
        </w:rPr>
      </w:pPr>
    </w:p>
    <w:p>
      <w:pPr>
        <w:ind w:left="200" w:right="300" w:hanging="192"/>
        <w:spacing w:after="0" w:line="257" w:lineRule="auto"/>
        <w:tabs>
          <w:tab w:leader="none" w:pos="20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Represents the cumulative TSR of the Dow Jones Automobiles &amp; Parts Titans 30 Index (the “Peer Group TSR”) of an initial investment of $100 for the measurement period beginning December 31, 2020, and ending December 31, 2025, 2024, 2023, 2022, or 2021, respectively, calculated in accordance with Item 201(e) of Regulation S-K as required under Item 402(v) of Regulation S-K.</w:t>
      </w:r>
    </w:p>
    <w:p>
      <w:pPr>
        <w:spacing w:after="0" w:line="42" w:lineRule="exact"/>
        <w:rPr>
          <w:rFonts w:ascii="Arial" w:cs="Arial" w:eastAsia="Arial" w:hAnsi="Arial"/>
          <w:sz w:val="19"/>
          <w:szCs w:val="19"/>
          <w:color w:val="auto"/>
          <w:vertAlign w:val="superscript"/>
        </w:rPr>
      </w:pPr>
    </w:p>
    <w:p>
      <w:pPr>
        <w:ind w:left="200" w:right="260" w:hanging="192"/>
        <w:spacing w:after="0" w:line="259" w:lineRule="auto"/>
        <w:tabs>
          <w:tab w:leader="none" w:pos="20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Reflects net income as shown in the Company’s Annual Report on Form 10-K for the years ended December 31, 2025, 2024, 2023, 2022, and 2021.</w:t>
      </w:r>
    </w:p>
    <w:p>
      <w:pPr>
        <w:spacing w:after="0" w:line="35" w:lineRule="exact"/>
        <w:rPr>
          <w:rFonts w:ascii="Arial" w:cs="Arial" w:eastAsia="Arial" w:hAnsi="Arial"/>
          <w:sz w:val="19"/>
          <w:szCs w:val="19"/>
          <w:color w:val="auto"/>
          <w:vertAlign w:val="superscript"/>
        </w:rPr>
      </w:pPr>
    </w:p>
    <w:p>
      <w:pPr>
        <w:ind w:left="200" w:right="340" w:hanging="192"/>
        <w:spacing w:after="0" w:line="264" w:lineRule="auto"/>
        <w:tabs>
          <w:tab w:leader="none" w:pos="20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Reflects EBIT-adjusted , the Company-selected measure for 2025, as shown in the Company’s Annual Report on Form 10-K for the year ended December 31, 2025. Refer to Appendix A for a reconciliation of EBIT-adjusted to its closest comparable GAAP measure. Please note EBIT-adjusted may not have been the Company-selected measure in previous years, and we may determine a different measure to be the Company-selected measure in future years.</w:t>
      </w: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75</w:t>
      </w:r>
    </w:p>
    <w:p>
      <w:pPr>
        <w:sectPr>
          <w:pgSz w:w="11900" w:h="16838" w:orient="portrait"/>
          <w:cols w:equalWidth="0" w:num="1">
            <w:col w:w="9220"/>
          </w:cols>
          <w:pgMar w:left="1400" w:top="657" w:right="127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Tabular List of Most-Important Measures</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EBIT-adjusted</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EBIT-adjusted Margin</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Relative TSR</w:t>
      </w:r>
    </w:p>
    <w:p>
      <w:pPr>
        <w:spacing w:after="0" w:line="296" w:lineRule="exact"/>
        <w:rPr>
          <w:sz w:val="20"/>
          <w:szCs w:val="20"/>
          <w:color w:val="auto"/>
        </w:rPr>
      </w:pPr>
    </w:p>
    <w:p>
      <w:pPr>
        <w:ind w:right="1459"/>
        <w:spacing w:after="0" w:line="288" w:lineRule="auto"/>
        <w:rPr>
          <w:sz w:val="20"/>
          <w:szCs w:val="20"/>
          <w:color w:val="auto"/>
        </w:rPr>
      </w:pPr>
      <w:r>
        <w:rPr>
          <w:rFonts w:ascii="Arial" w:cs="Arial" w:eastAsia="Arial" w:hAnsi="Arial"/>
          <w:sz w:val="29"/>
          <w:szCs w:val="29"/>
          <w:b w:val="1"/>
          <w:bCs w:val="1"/>
          <w:color w:val="auto"/>
          <w:highlight w:val="white"/>
        </w:rPr>
        <w:t>Relationship Between CAP Disclosed in the Pay Versus Performance Table and Other Table Elements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CAP vs. TSRPerformance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1299"/>
        <w:spacing w:after="0"/>
        <w:rPr>
          <w:sz w:val="20"/>
          <w:szCs w:val="20"/>
          <w:color w:val="auto"/>
        </w:rPr>
      </w:pPr>
      <w:r>
        <w:rPr>
          <w:rFonts w:ascii="Arial" w:cs="Arial" w:eastAsia="Arial" w:hAnsi="Arial"/>
          <w:sz w:val="16"/>
          <w:szCs w:val="16"/>
          <w:color w:val="auto"/>
        </w:rPr>
        <w:t xml:space="preserve">CAP to CEO  </w:t>
      </w:r>
      <w:r>
        <w:rPr>
          <w:sz w:val="1"/>
          <w:szCs w:val="1"/>
          <w:color w:val="auto"/>
        </w:rPr>
        <w:drawing>
          <wp:inline distT="0" distB="0" distL="0" distR="0">
            <wp:extent cx="85725" cy="857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Avg. CAP to Non-CEO NEOs  </w:t>
      </w:r>
      <w:r>
        <w:rPr>
          <w:sz w:val="1"/>
          <w:szCs w:val="1"/>
          <w:color w:val="auto"/>
        </w:rPr>
        <w:drawing>
          <wp:inline distT="0" distB="0" distL="0" distR="0">
            <wp:extent cx="145415" cy="857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5415" cy="85725"/>
                    </a:xfrm>
                    <a:prstGeom prst="rect">
                      <a:avLst/>
                    </a:prstGeom>
                    <a:noFill/>
                    <a:ln>
                      <a:noFill/>
                    </a:ln>
                  </pic:spPr>
                </pic:pic>
              </a:graphicData>
            </a:graphic>
          </wp:inline>
        </w:drawing>
      </w:r>
      <w:r>
        <w:rPr>
          <w:rFonts w:ascii="Arial" w:cs="Arial" w:eastAsia="Arial" w:hAnsi="Arial"/>
          <w:sz w:val="16"/>
          <w:szCs w:val="16"/>
          <w:color w:val="auto"/>
        </w:rPr>
        <w:t xml:space="preserve"> Co. TSR  </w:t>
      </w:r>
      <w:r>
        <w:rPr>
          <w:sz w:val="1"/>
          <w:szCs w:val="1"/>
          <w:color w:val="auto"/>
        </w:rPr>
        <w:drawing>
          <wp:inline distT="0" distB="0" distL="0" distR="0">
            <wp:extent cx="146050" cy="857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6050" cy="85725"/>
                    </a:xfrm>
                    <a:prstGeom prst="rect">
                      <a:avLst/>
                    </a:prstGeom>
                    <a:noFill/>
                    <a:ln>
                      <a:noFill/>
                    </a:ln>
                  </pic:spPr>
                </pic:pic>
              </a:graphicData>
            </a:graphic>
          </wp:inline>
        </w:drawing>
      </w:r>
      <w:r>
        <w:rPr>
          <w:rFonts w:ascii="Arial" w:cs="Arial" w:eastAsia="Arial" w:hAnsi="Arial"/>
          <w:sz w:val="16"/>
          <w:szCs w:val="16"/>
          <w:color w:val="auto"/>
        </w:rPr>
        <w:t xml:space="preserve"> Peer Group TSR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CAP vs. Net Income and EBIT-adjusted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 xml:space="preserve">CAP to CEO  </w:t>
      </w:r>
      <w:r>
        <w:rPr>
          <w:sz w:val="1"/>
          <w:szCs w:val="1"/>
          <w:color w:val="auto"/>
        </w:rPr>
        <w:drawing>
          <wp:inline distT="0" distB="0" distL="0" distR="0">
            <wp:extent cx="85725" cy="857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Avg. CAP to Non-CEO NEOs  </w:t>
      </w:r>
      <w:r>
        <w:rPr>
          <w:sz w:val="1"/>
          <w:szCs w:val="1"/>
          <w:color w:val="auto"/>
        </w:rPr>
        <w:drawing>
          <wp:inline distT="0" distB="0" distL="0" distR="0">
            <wp:extent cx="146050" cy="857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6050" cy="85725"/>
                    </a:xfrm>
                    <a:prstGeom prst="rect">
                      <a:avLst/>
                    </a:prstGeom>
                    <a:noFill/>
                    <a:ln>
                      <a:noFill/>
                    </a:ln>
                  </pic:spPr>
                </pic:pic>
              </a:graphicData>
            </a:graphic>
          </wp:inline>
        </w:drawing>
      </w:r>
      <w:r>
        <w:rPr>
          <w:rFonts w:ascii="Arial" w:cs="Arial" w:eastAsia="Arial" w:hAnsi="Arial"/>
          <w:sz w:val="16"/>
          <w:szCs w:val="16"/>
          <w:color w:val="auto"/>
        </w:rPr>
        <w:t xml:space="preserve"> Net Income   </w:t>
      </w:r>
      <w:r>
        <w:rPr>
          <w:sz w:val="1"/>
          <w:szCs w:val="1"/>
          <w:color w:val="auto"/>
        </w:rPr>
        <w:drawing>
          <wp:inline distT="0" distB="0" distL="0" distR="0">
            <wp:extent cx="146050" cy="857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050" cy="85725"/>
                    </a:xfrm>
                    <a:prstGeom prst="rect">
                      <a:avLst/>
                    </a:prstGeom>
                    <a:noFill/>
                    <a:ln>
                      <a:noFill/>
                    </a:ln>
                  </pic:spPr>
                </pic:pic>
              </a:graphicData>
            </a:graphic>
          </wp:inline>
        </w:drawing>
      </w:r>
      <w:r>
        <w:rPr>
          <w:rFonts w:ascii="Arial" w:cs="Arial" w:eastAsia="Arial" w:hAnsi="Arial"/>
          <w:sz w:val="16"/>
          <w:szCs w:val="16"/>
          <w:color w:val="auto"/>
        </w:rPr>
        <w:t xml:space="preserve"> EBIT-adj</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76</w:t>
      </w:r>
    </w:p>
    <w:p>
      <w:pPr>
        <w:sectPr>
          <w:pgSz w:w="11900" w:h="16838" w:orient="portrait"/>
          <w:cols w:equalWidth="0" w:num="1">
            <w:col w:w="9059"/>
          </w:cols>
          <w:pgMar w:left="1400" w:top="657" w:right="1440"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3  </w:t>
      </w:r>
      <w:r>
        <w:rPr>
          <w:rFonts w:ascii="Arial" w:cs="Arial" w:eastAsia="Arial" w:hAnsi="Arial"/>
          <w:sz w:val="14"/>
          <w:szCs w:val="14"/>
          <w:b w:val="1"/>
          <w:bCs w:val="1"/>
          <w:color w:val="000000"/>
        </w:rPr>
        <w:t>Proposal to Approve, on an Advisory Basis, Named Executive Officer Compensation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Equity Compensation Plan Information</w:t>
      </w:r>
    </w:p>
    <w:p>
      <w:pPr>
        <w:spacing w:after="0" w:line="127"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The following table provides information as of December 31, 2025 about the Company’s common stock that may be issued upon the exercise of options, warrants, and rights under all the Company’s equity compensation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60" w:type="dxa"/>
            <w:vAlign w:val="bottom"/>
            <w:shd w:val="clear" w:color="auto" w:fill="ECEBEB"/>
          </w:tcPr>
          <w:p>
            <w:pPr>
              <w:spacing w:after="0"/>
              <w:rPr>
                <w:sz w:val="21"/>
                <w:szCs w:val="21"/>
                <w:color w:val="auto"/>
              </w:rPr>
            </w:pPr>
          </w:p>
        </w:tc>
        <w:tc>
          <w:tcPr>
            <w:tcW w:w="2140" w:type="dxa"/>
            <w:vAlign w:val="bottom"/>
            <w:shd w:val="clear" w:color="auto" w:fill="ECEBEB"/>
          </w:tcPr>
          <w:p>
            <w:pPr>
              <w:spacing w:after="0"/>
              <w:rPr>
                <w:sz w:val="21"/>
                <w:szCs w:val="21"/>
                <w:color w:val="auto"/>
              </w:rPr>
            </w:pPr>
          </w:p>
        </w:tc>
        <w:tc>
          <w:tcPr>
            <w:tcW w:w="1640" w:type="dxa"/>
            <w:vAlign w:val="bottom"/>
            <w:shd w:val="clear" w:color="auto" w:fill="ECEBEB"/>
          </w:tcPr>
          <w:p>
            <w:pPr>
              <w:spacing w:after="0"/>
              <w:rPr>
                <w:sz w:val="21"/>
                <w:szCs w:val="21"/>
                <w:color w:val="auto"/>
              </w:rPr>
            </w:pPr>
          </w:p>
        </w:tc>
        <w:tc>
          <w:tcPr>
            <w:tcW w:w="20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Number of Securities</w:t>
            </w:r>
          </w:p>
        </w:tc>
      </w:tr>
      <w:tr>
        <w:trPr>
          <w:trHeight w:val="176"/>
        </w:trPr>
        <w:tc>
          <w:tcPr>
            <w:tcW w:w="3260" w:type="dxa"/>
            <w:vAlign w:val="bottom"/>
            <w:shd w:val="clear" w:color="auto" w:fill="ECEBEB"/>
          </w:tcPr>
          <w:p>
            <w:pPr>
              <w:spacing w:after="0"/>
              <w:rPr>
                <w:sz w:val="15"/>
                <w:szCs w:val="15"/>
                <w:color w:val="auto"/>
              </w:rPr>
            </w:pPr>
          </w:p>
        </w:tc>
        <w:tc>
          <w:tcPr>
            <w:tcW w:w="2140" w:type="dxa"/>
            <w:vAlign w:val="bottom"/>
            <w:shd w:val="clear" w:color="auto" w:fill="ECEBEB"/>
          </w:tcPr>
          <w:p>
            <w:pPr>
              <w:spacing w:after="0"/>
              <w:rPr>
                <w:sz w:val="15"/>
                <w:szCs w:val="15"/>
                <w:color w:val="auto"/>
              </w:rPr>
            </w:pPr>
          </w:p>
        </w:tc>
        <w:tc>
          <w:tcPr>
            <w:tcW w:w="1640" w:type="dxa"/>
            <w:vAlign w:val="bottom"/>
            <w:shd w:val="clear" w:color="auto" w:fill="ECEBEB"/>
          </w:tcPr>
          <w:p>
            <w:pPr>
              <w:jc w:val="right"/>
              <w:ind w:right="145"/>
              <w:spacing w:after="0"/>
              <w:rPr>
                <w:sz w:val="20"/>
                <w:szCs w:val="20"/>
                <w:color w:val="auto"/>
              </w:rPr>
            </w:pPr>
            <w:r>
              <w:rPr>
                <w:rFonts w:ascii="Arial" w:cs="Arial" w:eastAsia="Arial" w:hAnsi="Arial"/>
                <w:sz w:val="14"/>
                <w:szCs w:val="14"/>
                <w:b w:val="1"/>
                <w:bCs w:val="1"/>
                <w:color w:val="auto"/>
              </w:rPr>
              <w:t>Weighted-Average</w:t>
            </w:r>
          </w:p>
        </w:tc>
        <w:tc>
          <w:tcPr>
            <w:tcW w:w="20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Remaining Available for</w:t>
            </w:r>
          </w:p>
        </w:tc>
      </w:tr>
      <w:tr>
        <w:trPr>
          <w:trHeight w:val="175"/>
        </w:trPr>
        <w:tc>
          <w:tcPr>
            <w:tcW w:w="3260" w:type="dxa"/>
            <w:vAlign w:val="bottom"/>
            <w:shd w:val="clear" w:color="auto" w:fill="ECEBEB"/>
          </w:tcPr>
          <w:p>
            <w:pPr>
              <w:spacing w:after="0"/>
              <w:rPr>
                <w:sz w:val="15"/>
                <w:szCs w:val="15"/>
                <w:color w:val="auto"/>
              </w:rPr>
            </w:pPr>
          </w:p>
        </w:tc>
        <w:tc>
          <w:tcPr>
            <w:tcW w:w="2140" w:type="dxa"/>
            <w:vAlign w:val="bottom"/>
            <w:shd w:val="clear" w:color="auto" w:fill="ECEBEB"/>
          </w:tcPr>
          <w:p>
            <w:pPr>
              <w:jc w:val="center"/>
              <w:ind w:left="44"/>
              <w:spacing w:after="0"/>
              <w:rPr>
                <w:sz w:val="20"/>
                <w:szCs w:val="20"/>
                <w:color w:val="auto"/>
              </w:rPr>
            </w:pPr>
            <w:r>
              <w:rPr>
                <w:rFonts w:ascii="Arial" w:cs="Arial" w:eastAsia="Arial" w:hAnsi="Arial"/>
                <w:sz w:val="14"/>
                <w:szCs w:val="14"/>
                <w:b w:val="1"/>
                <w:bCs w:val="1"/>
                <w:color w:val="auto"/>
              </w:rPr>
              <w:t>Number of Securities to</w:t>
            </w:r>
          </w:p>
        </w:tc>
        <w:tc>
          <w:tcPr>
            <w:tcW w:w="1640" w:type="dxa"/>
            <w:vAlign w:val="bottom"/>
            <w:shd w:val="clear" w:color="auto" w:fill="ECEBEB"/>
          </w:tcPr>
          <w:p>
            <w:pPr>
              <w:jc w:val="right"/>
              <w:ind w:right="125"/>
              <w:spacing w:after="0"/>
              <w:rPr>
                <w:sz w:val="20"/>
                <w:szCs w:val="20"/>
                <w:color w:val="auto"/>
              </w:rPr>
            </w:pPr>
            <w:r>
              <w:rPr>
                <w:rFonts w:ascii="Arial" w:cs="Arial" w:eastAsia="Arial" w:hAnsi="Arial"/>
                <w:sz w:val="14"/>
                <w:szCs w:val="14"/>
                <w:b w:val="1"/>
                <w:bCs w:val="1"/>
                <w:color w:val="auto"/>
              </w:rPr>
              <w:t>Exercise Price of</w:t>
            </w:r>
          </w:p>
        </w:tc>
        <w:tc>
          <w:tcPr>
            <w:tcW w:w="20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Future Issuance Under</w:t>
            </w:r>
          </w:p>
        </w:tc>
      </w:tr>
      <w:tr>
        <w:trPr>
          <w:trHeight w:val="176"/>
        </w:trPr>
        <w:tc>
          <w:tcPr>
            <w:tcW w:w="3260" w:type="dxa"/>
            <w:vAlign w:val="bottom"/>
            <w:shd w:val="clear" w:color="auto" w:fill="ECEBEB"/>
          </w:tcPr>
          <w:p>
            <w:pPr>
              <w:spacing w:after="0"/>
              <w:rPr>
                <w:sz w:val="15"/>
                <w:szCs w:val="15"/>
                <w:color w:val="auto"/>
              </w:rPr>
            </w:pPr>
          </w:p>
        </w:tc>
        <w:tc>
          <w:tcPr>
            <w:tcW w:w="2140" w:type="dxa"/>
            <w:vAlign w:val="bottom"/>
            <w:shd w:val="clear" w:color="auto" w:fill="ECEBEB"/>
          </w:tcPr>
          <w:p>
            <w:pPr>
              <w:jc w:val="center"/>
              <w:ind w:left="44"/>
              <w:spacing w:after="0"/>
              <w:rPr>
                <w:sz w:val="20"/>
                <w:szCs w:val="20"/>
                <w:color w:val="auto"/>
              </w:rPr>
            </w:pPr>
            <w:r>
              <w:rPr>
                <w:rFonts w:ascii="Arial" w:cs="Arial" w:eastAsia="Arial" w:hAnsi="Arial"/>
                <w:sz w:val="14"/>
                <w:szCs w:val="14"/>
                <w:b w:val="1"/>
                <w:bCs w:val="1"/>
                <w:color w:val="auto"/>
              </w:rPr>
              <w:t>be Issued Upon Exercise</w:t>
            </w:r>
          </w:p>
        </w:tc>
        <w:tc>
          <w:tcPr>
            <w:tcW w:w="1640" w:type="dxa"/>
            <w:vAlign w:val="bottom"/>
            <w:shd w:val="clear" w:color="auto" w:fill="ECEBEB"/>
          </w:tcPr>
          <w:p>
            <w:pPr>
              <w:jc w:val="right"/>
              <w:ind w:right="105"/>
              <w:spacing w:after="0"/>
              <w:rPr>
                <w:sz w:val="20"/>
                <w:szCs w:val="20"/>
                <w:color w:val="auto"/>
              </w:rPr>
            </w:pPr>
            <w:r>
              <w:rPr>
                <w:rFonts w:ascii="Arial" w:cs="Arial" w:eastAsia="Arial" w:hAnsi="Arial"/>
                <w:sz w:val="14"/>
                <w:szCs w:val="14"/>
                <w:b w:val="1"/>
                <w:bCs w:val="1"/>
                <w:color w:val="auto"/>
              </w:rPr>
              <w:t>Outstanding</w:t>
            </w:r>
          </w:p>
        </w:tc>
        <w:tc>
          <w:tcPr>
            <w:tcW w:w="20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Equity Compensation Plan</w:t>
            </w:r>
          </w:p>
        </w:tc>
      </w:tr>
      <w:tr>
        <w:trPr>
          <w:trHeight w:val="160"/>
        </w:trPr>
        <w:tc>
          <w:tcPr>
            <w:tcW w:w="3260" w:type="dxa"/>
            <w:vAlign w:val="bottom"/>
            <w:shd w:val="clear" w:color="auto" w:fill="ECEBEB"/>
          </w:tcPr>
          <w:p>
            <w:pPr>
              <w:spacing w:after="0"/>
              <w:rPr>
                <w:sz w:val="13"/>
                <w:szCs w:val="13"/>
                <w:color w:val="auto"/>
              </w:rPr>
            </w:pPr>
          </w:p>
        </w:tc>
        <w:tc>
          <w:tcPr>
            <w:tcW w:w="2140" w:type="dxa"/>
            <w:vAlign w:val="bottom"/>
            <w:shd w:val="clear" w:color="auto" w:fill="ECEBEB"/>
          </w:tcPr>
          <w:p>
            <w:pPr>
              <w:ind w:left="340"/>
              <w:spacing w:after="0" w:line="159" w:lineRule="exact"/>
              <w:rPr>
                <w:sz w:val="20"/>
                <w:szCs w:val="20"/>
                <w:color w:val="auto"/>
              </w:rPr>
            </w:pPr>
            <w:r>
              <w:rPr>
                <w:rFonts w:ascii="Arial" w:cs="Arial" w:eastAsia="Arial" w:hAnsi="Arial"/>
                <w:sz w:val="14"/>
                <w:szCs w:val="14"/>
                <w:b w:val="1"/>
                <w:bCs w:val="1"/>
                <w:color w:val="auto"/>
              </w:rPr>
              <w:t>of Outstanding Options,</w:t>
            </w:r>
          </w:p>
        </w:tc>
        <w:tc>
          <w:tcPr>
            <w:tcW w:w="1640" w:type="dxa"/>
            <w:vAlign w:val="bottom"/>
            <w:shd w:val="clear" w:color="auto" w:fill="ECEBEB"/>
          </w:tcPr>
          <w:p>
            <w:pPr>
              <w:jc w:val="right"/>
              <w:ind w:right="105"/>
              <w:spacing w:after="0" w:line="159" w:lineRule="exact"/>
              <w:rPr>
                <w:sz w:val="20"/>
                <w:szCs w:val="20"/>
                <w:color w:val="auto"/>
              </w:rPr>
            </w:pPr>
            <w:r>
              <w:rPr>
                <w:rFonts w:ascii="Arial" w:cs="Arial" w:eastAsia="Arial" w:hAnsi="Arial"/>
                <w:sz w:val="14"/>
                <w:szCs w:val="14"/>
                <w:b w:val="1"/>
                <w:bCs w:val="1"/>
                <w:color w:val="auto"/>
              </w:rPr>
              <w:t>Options, Warrants,</w:t>
            </w:r>
          </w:p>
        </w:tc>
        <w:tc>
          <w:tcPr>
            <w:tcW w:w="2040" w:type="dxa"/>
            <w:vAlign w:val="bottom"/>
            <w:shd w:val="clear" w:color="auto" w:fill="ECEBEB"/>
          </w:tcPr>
          <w:p>
            <w:pPr>
              <w:jc w:val="right"/>
              <w:spacing w:after="0" w:line="159" w:lineRule="exact"/>
              <w:rPr>
                <w:sz w:val="20"/>
                <w:szCs w:val="20"/>
                <w:color w:val="auto"/>
              </w:rPr>
            </w:pPr>
            <w:r>
              <w:rPr>
                <w:rFonts w:ascii="Arial" w:cs="Arial" w:eastAsia="Arial" w:hAnsi="Arial"/>
                <w:sz w:val="14"/>
                <w:szCs w:val="14"/>
                <w:b w:val="1"/>
                <w:bCs w:val="1"/>
                <w:color w:val="auto"/>
              </w:rPr>
              <w:t>(excluding securities</w:t>
            </w:r>
          </w:p>
        </w:tc>
      </w:tr>
      <w:tr>
        <w:trPr>
          <w:trHeight w:val="187"/>
        </w:trPr>
        <w:tc>
          <w:tcPr>
            <w:tcW w:w="326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Plan Category</w:t>
            </w:r>
          </w:p>
        </w:tc>
        <w:tc>
          <w:tcPr>
            <w:tcW w:w="2140" w:type="dxa"/>
            <w:vAlign w:val="bottom"/>
            <w:tcBorders>
              <w:bottom w:val="single" w:sz="8" w:color="0956FF"/>
            </w:tcBorders>
            <w:shd w:val="clear" w:color="auto" w:fill="ECEBEB"/>
          </w:tcPr>
          <w:p>
            <w:pPr>
              <w:jc w:val="center"/>
              <w:ind w:left="24"/>
              <w:spacing w:after="0"/>
              <w:rPr>
                <w:sz w:val="20"/>
                <w:szCs w:val="20"/>
                <w:color w:val="auto"/>
              </w:rPr>
            </w:pPr>
            <w:r>
              <w:rPr>
                <w:rFonts w:ascii="Arial" w:cs="Arial" w:eastAsia="Arial" w:hAnsi="Arial"/>
                <w:sz w:val="14"/>
                <w:szCs w:val="14"/>
                <w:b w:val="1"/>
                <w:bCs w:val="1"/>
                <w:color w:val="auto"/>
              </w:rPr>
              <w:t>Warrants, and Rights (A)</w:t>
            </w:r>
          </w:p>
        </w:tc>
        <w:tc>
          <w:tcPr>
            <w:tcW w:w="1640" w:type="dxa"/>
            <w:vAlign w:val="bottom"/>
            <w:tcBorders>
              <w:bottom w:val="single" w:sz="8" w:color="0956FF"/>
            </w:tcBorders>
            <w:shd w:val="clear" w:color="auto" w:fill="ECEBEB"/>
          </w:tcPr>
          <w:p>
            <w:pPr>
              <w:jc w:val="right"/>
              <w:ind w:right="125"/>
              <w:spacing w:after="0" w:line="188" w:lineRule="exact"/>
              <w:rPr>
                <w:sz w:val="20"/>
                <w:szCs w:val="20"/>
                <w:color w:val="auto"/>
              </w:rPr>
            </w:pPr>
            <w:r>
              <w:rPr>
                <w:rFonts w:ascii="Arial" w:cs="Arial" w:eastAsia="Arial" w:hAnsi="Arial"/>
                <w:sz w:val="14"/>
                <w:szCs w:val="14"/>
                <w:b w:val="1"/>
                <w:bCs w:val="1"/>
                <w:color w:val="auto"/>
              </w:rPr>
              <w:t>and Rights (B)</w:t>
            </w:r>
            <w:r>
              <w:rPr>
                <w:rFonts w:ascii="Arial" w:cs="Arial" w:eastAsia="Arial" w:hAnsi="Arial"/>
                <w:sz w:val="18"/>
                <w:szCs w:val="18"/>
                <w:b w:val="1"/>
                <w:bCs w:val="1"/>
                <w:color w:val="auto"/>
                <w:vertAlign w:val="superscript"/>
              </w:rPr>
              <w:t>(1)</w:t>
            </w:r>
          </w:p>
        </w:tc>
        <w:tc>
          <w:tcPr>
            <w:tcW w:w="20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reflected in column (A)) (C)</w:t>
            </w:r>
          </w:p>
        </w:tc>
      </w:tr>
      <w:tr>
        <w:trPr>
          <w:trHeight w:val="236"/>
        </w:trPr>
        <w:tc>
          <w:tcPr>
            <w:tcW w:w="3260" w:type="dxa"/>
            <w:vAlign w:val="bottom"/>
          </w:tcPr>
          <w:p>
            <w:pPr>
              <w:ind w:left="60"/>
              <w:spacing w:after="0"/>
              <w:rPr>
                <w:sz w:val="20"/>
                <w:szCs w:val="20"/>
                <w:color w:val="auto"/>
              </w:rPr>
            </w:pPr>
            <w:r>
              <w:rPr>
                <w:rFonts w:ascii="Arial" w:cs="Arial" w:eastAsia="Arial" w:hAnsi="Arial"/>
                <w:sz w:val="16"/>
                <w:szCs w:val="16"/>
                <w:color w:val="auto"/>
              </w:rPr>
              <w:t>Equity compensation plans approved by</w:t>
            </w:r>
          </w:p>
        </w:tc>
        <w:tc>
          <w:tcPr>
            <w:tcW w:w="2140" w:type="dxa"/>
            <w:vAlign w:val="bottom"/>
          </w:tcPr>
          <w:p>
            <w:pPr>
              <w:ind w:left="760"/>
              <w:spacing w:after="0" w:line="236" w:lineRule="exact"/>
              <w:rPr>
                <w:sz w:val="20"/>
                <w:szCs w:val="20"/>
                <w:color w:val="auto"/>
              </w:rPr>
            </w:pPr>
            <w:r>
              <w:rPr>
                <w:rFonts w:ascii="Arial" w:cs="Arial" w:eastAsia="Arial" w:hAnsi="Arial"/>
                <w:sz w:val="16"/>
                <w:szCs w:val="16"/>
                <w:color w:val="auto"/>
              </w:rPr>
              <w:t xml:space="preserve">24,620,094   </w:t>
            </w:r>
            <w:r>
              <w:rPr>
                <w:rFonts w:ascii="Arial" w:cs="Arial" w:eastAsia="Arial" w:hAnsi="Arial"/>
                <w:sz w:val="21"/>
                <w:szCs w:val="21"/>
                <w:color w:val="auto"/>
                <w:vertAlign w:val="superscript"/>
              </w:rPr>
              <w:t>(2)</w:t>
            </w:r>
          </w:p>
        </w:tc>
        <w:tc>
          <w:tcPr>
            <w:tcW w:w="1640" w:type="dxa"/>
            <w:vAlign w:val="bottom"/>
          </w:tcPr>
          <w:p>
            <w:pPr>
              <w:jc w:val="right"/>
              <w:ind w:right="165"/>
              <w:spacing w:after="0"/>
              <w:rPr>
                <w:sz w:val="20"/>
                <w:szCs w:val="20"/>
                <w:color w:val="auto"/>
              </w:rPr>
            </w:pPr>
            <w:r>
              <w:rPr>
                <w:rFonts w:ascii="Arial" w:cs="Arial" w:eastAsia="Arial" w:hAnsi="Arial"/>
                <w:sz w:val="16"/>
                <w:szCs w:val="16"/>
                <w:color w:val="auto"/>
              </w:rPr>
              <w:t>$43.66</w:t>
            </w:r>
          </w:p>
        </w:tc>
        <w:tc>
          <w:tcPr>
            <w:tcW w:w="2040" w:type="dxa"/>
            <w:vAlign w:val="bottom"/>
          </w:tcPr>
          <w:p>
            <w:pPr>
              <w:ind w:left="860"/>
              <w:spacing w:after="0" w:line="236" w:lineRule="exact"/>
              <w:rPr>
                <w:sz w:val="20"/>
                <w:szCs w:val="20"/>
                <w:color w:val="auto"/>
              </w:rPr>
            </w:pPr>
            <w:r>
              <w:rPr>
                <w:rFonts w:ascii="Arial" w:cs="Arial" w:eastAsia="Arial" w:hAnsi="Arial"/>
                <w:sz w:val="16"/>
                <w:szCs w:val="16"/>
                <w:color w:val="auto"/>
              </w:rPr>
              <w:t xml:space="preserve">36,567,023  </w:t>
            </w:r>
            <w:r>
              <w:rPr>
                <w:rFonts w:ascii="Arial" w:cs="Arial" w:eastAsia="Arial" w:hAnsi="Arial"/>
                <w:sz w:val="21"/>
                <w:szCs w:val="21"/>
                <w:color w:val="auto"/>
                <w:vertAlign w:val="superscript"/>
              </w:rPr>
              <w:t>(3)</w:t>
            </w:r>
          </w:p>
        </w:tc>
      </w:tr>
      <w:tr>
        <w:trPr>
          <w:trHeight w:val="216"/>
        </w:trPr>
        <w:tc>
          <w:tcPr>
            <w:tcW w:w="32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security holders</w:t>
            </w:r>
          </w:p>
        </w:tc>
        <w:tc>
          <w:tcPr>
            <w:tcW w:w="2140" w:type="dxa"/>
            <w:vAlign w:val="bottom"/>
            <w:tcBorders>
              <w:bottom w:val="single" w:sz="8" w:color="D8D7D7"/>
            </w:tcBorders>
          </w:tcPr>
          <w:p>
            <w:pPr>
              <w:spacing w:after="0"/>
              <w:rPr>
                <w:sz w:val="18"/>
                <w:szCs w:val="18"/>
                <w:color w:val="auto"/>
              </w:rPr>
            </w:pPr>
          </w:p>
        </w:tc>
        <w:tc>
          <w:tcPr>
            <w:tcW w:w="1640" w:type="dxa"/>
            <w:vAlign w:val="bottom"/>
            <w:tcBorders>
              <w:bottom w:val="single" w:sz="8" w:color="D8D7D7"/>
            </w:tcBorders>
          </w:tcPr>
          <w:p>
            <w:pPr>
              <w:spacing w:after="0"/>
              <w:rPr>
                <w:sz w:val="18"/>
                <w:szCs w:val="18"/>
                <w:color w:val="auto"/>
              </w:rPr>
            </w:pPr>
          </w:p>
        </w:tc>
        <w:tc>
          <w:tcPr>
            <w:tcW w:w="2040" w:type="dxa"/>
            <w:vAlign w:val="bottom"/>
            <w:tcBorders>
              <w:bottom w:val="single" w:sz="8" w:color="D8D7D7"/>
            </w:tcBorders>
          </w:tcPr>
          <w:p>
            <w:pPr>
              <w:spacing w:after="0"/>
              <w:rPr>
                <w:sz w:val="18"/>
                <w:szCs w:val="18"/>
                <w:color w:val="auto"/>
              </w:rPr>
            </w:pPr>
          </w:p>
        </w:tc>
      </w:tr>
      <w:tr>
        <w:trPr>
          <w:trHeight w:val="237"/>
        </w:trPr>
        <w:tc>
          <w:tcPr>
            <w:tcW w:w="3260" w:type="dxa"/>
            <w:vAlign w:val="bottom"/>
          </w:tcPr>
          <w:p>
            <w:pPr>
              <w:ind w:left="60"/>
              <w:spacing w:after="0"/>
              <w:rPr>
                <w:sz w:val="20"/>
                <w:szCs w:val="20"/>
                <w:color w:val="auto"/>
              </w:rPr>
            </w:pPr>
            <w:r>
              <w:rPr>
                <w:rFonts w:ascii="Arial" w:cs="Arial" w:eastAsia="Arial" w:hAnsi="Arial"/>
                <w:sz w:val="16"/>
                <w:szCs w:val="16"/>
                <w:color w:val="auto"/>
              </w:rPr>
              <w:t>Equity compensation plans not approved</w:t>
            </w:r>
          </w:p>
        </w:tc>
        <w:tc>
          <w:tcPr>
            <w:tcW w:w="2140" w:type="dxa"/>
            <w:vAlign w:val="bottom"/>
          </w:tcPr>
          <w:p>
            <w:pPr>
              <w:ind w:left="15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185"/>
              <w:spacing w:after="0"/>
              <w:rPr>
                <w:sz w:val="20"/>
                <w:szCs w:val="20"/>
                <w:color w:val="auto"/>
              </w:rPr>
            </w:pPr>
            <w:r>
              <w:rPr>
                <w:rFonts w:ascii="Arial" w:cs="Arial" w:eastAsia="Arial" w:hAnsi="Arial"/>
                <w:sz w:val="16"/>
                <w:szCs w:val="16"/>
                <w:color w:val="auto"/>
              </w:rPr>
              <w:t>—</w:t>
            </w:r>
          </w:p>
        </w:tc>
      </w:tr>
      <w:tr>
        <w:trPr>
          <w:trHeight w:val="216"/>
        </w:trPr>
        <w:tc>
          <w:tcPr>
            <w:tcW w:w="32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by security holders</w:t>
            </w:r>
          </w:p>
        </w:tc>
        <w:tc>
          <w:tcPr>
            <w:tcW w:w="2140" w:type="dxa"/>
            <w:vAlign w:val="bottom"/>
            <w:tcBorders>
              <w:bottom w:val="single" w:sz="8" w:color="D8D7D7"/>
            </w:tcBorders>
          </w:tcPr>
          <w:p>
            <w:pPr>
              <w:spacing w:after="0"/>
              <w:rPr>
                <w:sz w:val="18"/>
                <w:szCs w:val="18"/>
                <w:color w:val="auto"/>
              </w:rPr>
            </w:pPr>
          </w:p>
        </w:tc>
        <w:tc>
          <w:tcPr>
            <w:tcW w:w="1640" w:type="dxa"/>
            <w:vAlign w:val="bottom"/>
            <w:tcBorders>
              <w:bottom w:val="single" w:sz="8" w:color="D8D7D7"/>
            </w:tcBorders>
          </w:tcPr>
          <w:p>
            <w:pPr>
              <w:spacing w:after="0"/>
              <w:rPr>
                <w:sz w:val="18"/>
                <w:szCs w:val="18"/>
                <w:color w:val="auto"/>
              </w:rPr>
            </w:pPr>
          </w:p>
        </w:tc>
        <w:tc>
          <w:tcPr>
            <w:tcW w:w="2040" w:type="dxa"/>
            <w:vAlign w:val="bottom"/>
            <w:tcBorders>
              <w:bottom w:val="single" w:sz="8" w:color="D8D7D7"/>
            </w:tcBorders>
          </w:tcPr>
          <w:p>
            <w:pPr>
              <w:spacing w:after="0"/>
              <w:rPr>
                <w:sz w:val="18"/>
                <w:szCs w:val="18"/>
                <w:color w:val="auto"/>
              </w:rPr>
            </w:pPr>
          </w:p>
        </w:tc>
      </w:tr>
      <w:tr>
        <w:trPr>
          <w:trHeight w:val="250"/>
        </w:trPr>
        <w:tc>
          <w:tcPr>
            <w:tcW w:w="3260" w:type="dxa"/>
            <w:vAlign w:val="bottom"/>
            <w:tcBorders>
              <w:bottom w:val="single" w:sz="8" w:color="0956FF"/>
            </w:tcBorders>
          </w:tcPr>
          <w:p>
            <w:pPr>
              <w:ind w:left="60"/>
              <w:spacing w:after="0"/>
              <w:rPr>
                <w:sz w:val="20"/>
                <w:szCs w:val="20"/>
                <w:color w:val="auto"/>
              </w:rPr>
            </w:pPr>
            <w:r>
              <w:rPr>
                <w:rFonts w:ascii="Arial" w:cs="Arial" w:eastAsia="Arial" w:hAnsi="Arial"/>
                <w:sz w:val="16"/>
                <w:szCs w:val="16"/>
                <w:color w:val="auto"/>
              </w:rPr>
              <w:t>Total</w:t>
            </w:r>
          </w:p>
        </w:tc>
        <w:tc>
          <w:tcPr>
            <w:tcW w:w="2140" w:type="dxa"/>
            <w:vAlign w:val="bottom"/>
            <w:tcBorders>
              <w:bottom w:val="single" w:sz="8" w:color="0956FF"/>
            </w:tcBorders>
          </w:tcPr>
          <w:p>
            <w:pPr>
              <w:ind w:left="760"/>
              <w:spacing w:after="0"/>
              <w:rPr>
                <w:sz w:val="20"/>
                <w:szCs w:val="20"/>
                <w:color w:val="auto"/>
              </w:rPr>
            </w:pPr>
            <w:r>
              <w:rPr>
                <w:rFonts w:ascii="Arial" w:cs="Arial" w:eastAsia="Arial" w:hAnsi="Arial"/>
                <w:sz w:val="16"/>
                <w:szCs w:val="16"/>
                <w:color w:val="auto"/>
              </w:rPr>
              <w:t>24,620,094</w:t>
            </w:r>
          </w:p>
        </w:tc>
        <w:tc>
          <w:tcPr>
            <w:tcW w:w="1640" w:type="dxa"/>
            <w:vAlign w:val="bottom"/>
            <w:tcBorders>
              <w:bottom w:val="single" w:sz="8" w:color="0956FF"/>
            </w:tcBorders>
          </w:tcPr>
          <w:p>
            <w:pPr>
              <w:jc w:val="right"/>
              <w:ind w:right="165"/>
              <w:spacing w:after="0"/>
              <w:rPr>
                <w:sz w:val="20"/>
                <w:szCs w:val="20"/>
                <w:color w:val="auto"/>
              </w:rPr>
            </w:pPr>
            <w:r>
              <w:rPr>
                <w:rFonts w:ascii="Arial" w:cs="Arial" w:eastAsia="Arial" w:hAnsi="Arial"/>
                <w:sz w:val="16"/>
                <w:szCs w:val="16"/>
                <w:color w:val="auto"/>
              </w:rPr>
              <w:t>$43.66</w:t>
            </w:r>
          </w:p>
        </w:tc>
        <w:tc>
          <w:tcPr>
            <w:tcW w:w="2040" w:type="dxa"/>
            <w:vAlign w:val="bottom"/>
            <w:tcBorders>
              <w:bottom w:val="single" w:sz="8" w:color="0956FF"/>
            </w:tcBorders>
          </w:tcPr>
          <w:p>
            <w:pPr>
              <w:ind w:left="860"/>
              <w:spacing w:after="0"/>
              <w:rPr>
                <w:sz w:val="20"/>
                <w:szCs w:val="20"/>
                <w:color w:val="auto"/>
              </w:rPr>
            </w:pPr>
            <w:r>
              <w:rPr>
                <w:rFonts w:ascii="Arial" w:cs="Arial" w:eastAsia="Arial" w:hAnsi="Arial"/>
                <w:sz w:val="16"/>
                <w:szCs w:val="16"/>
                <w:color w:val="auto"/>
              </w:rPr>
              <w:t>36,567,023</w:t>
            </w:r>
          </w:p>
        </w:tc>
      </w:tr>
    </w:tbl>
    <w:p>
      <w:pPr>
        <w:spacing w:after="0" w:line="85" w:lineRule="exact"/>
        <w:rPr>
          <w:sz w:val="20"/>
          <w:szCs w:val="20"/>
          <w:color w:val="auto"/>
        </w:rPr>
      </w:pPr>
    </w:p>
    <w:p>
      <w:pPr>
        <w:ind w:left="200" w:right="260" w:hanging="192"/>
        <w:spacing w:after="0" w:line="259" w:lineRule="auto"/>
        <w:tabs>
          <w:tab w:leader="none" w:pos="200"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Represents the weighted-average exercise price of outstanding options. The weighted-average price does not take RSU and PSU awards into account since they do not have exercise prices.</w:t>
      </w:r>
    </w:p>
    <w:p>
      <w:pPr>
        <w:spacing w:after="0" w:line="7"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The number includes the following:</w:t>
      </w:r>
    </w:p>
    <w:p>
      <w:pPr>
        <w:spacing w:after="0" w:line="43" w:lineRule="exact"/>
        <w:rPr>
          <w:rFonts w:ascii="Arial" w:cs="Arial" w:eastAsia="Arial" w:hAnsi="Arial"/>
          <w:sz w:val="19"/>
          <w:szCs w:val="19"/>
          <w:color w:val="auto"/>
          <w:vertAlign w:val="superscript"/>
        </w:rPr>
      </w:pPr>
    </w:p>
    <w:p>
      <w:pPr>
        <w:ind w:left="400" w:hanging="198"/>
        <w:spacing w:after="0" w:line="219" w:lineRule="auto"/>
        <w:tabs>
          <w:tab w:leader="none" w:pos="400" w:val="left"/>
        </w:tabs>
        <w:numPr>
          <w:ilvl w:val="1"/>
          <w:numId w:val="100"/>
        </w:numPr>
        <w:rPr>
          <w:rFonts w:ascii="Arial" w:cs="Arial" w:eastAsia="Arial" w:hAnsi="Arial"/>
          <w:sz w:val="19"/>
          <w:szCs w:val="19"/>
          <w:color w:val="auto"/>
          <w:vertAlign w:val="superscript"/>
        </w:rPr>
      </w:pPr>
      <w:r>
        <w:rPr>
          <w:rFonts w:ascii="Arial" w:cs="Arial" w:eastAsia="Arial" w:hAnsi="Arial"/>
          <w:sz w:val="14"/>
          <w:szCs w:val="14"/>
          <w:color w:val="auto"/>
        </w:rPr>
        <w:t>5,434,900 shares represent options.</w:t>
      </w:r>
    </w:p>
    <w:p>
      <w:pPr>
        <w:spacing w:after="0" w:line="39" w:lineRule="exact"/>
        <w:rPr>
          <w:rFonts w:ascii="Arial" w:cs="Arial" w:eastAsia="Arial" w:hAnsi="Arial"/>
          <w:sz w:val="19"/>
          <w:szCs w:val="19"/>
          <w:color w:val="auto"/>
          <w:vertAlign w:val="superscript"/>
        </w:rPr>
      </w:pPr>
    </w:p>
    <w:p>
      <w:pPr>
        <w:ind w:left="400" w:right="280" w:hanging="198"/>
        <w:spacing w:after="0" w:line="230" w:lineRule="auto"/>
        <w:tabs>
          <w:tab w:leader="none" w:pos="400" w:val="left"/>
        </w:tabs>
        <w:numPr>
          <w:ilvl w:val="1"/>
          <w:numId w:val="100"/>
        </w:numPr>
        <w:rPr>
          <w:rFonts w:ascii="Arial" w:cs="Arial" w:eastAsia="Arial" w:hAnsi="Arial"/>
          <w:sz w:val="19"/>
          <w:szCs w:val="19"/>
          <w:color w:val="auto"/>
          <w:vertAlign w:val="superscript"/>
        </w:rPr>
      </w:pPr>
      <w:r>
        <w:rPr>
          <w:rFonts w:ascii="Arial" w:cs="Arial" w:eastAsia="Arial" w:hAnsi="Arial"/>
          <w:sz w:val="14"/>
          <w:szCs w:val="14"/>
          <w:color w:val="auto"/>
        </w:rPr>
        <w:t>12,299,528 shares represent PSU awards assuming performance is achieved at target. For performance above target, awards may be settled in common stock, cash, or a combination of both.</w:t>
      </w:r>
    </w:p>
    <w:p>
      <w:pPr>
        <w:spacing w:after="0" w:line="26" w:lineRule="exact"/>
        <w:rPr>
          <w:rFonts w:ascii="Arial" w:cs="Arial" w:eastAsia="Arial" w:hAnsi="Arial"/>
          <w:sz w:val="19"/>
          <w:szCs w:val="19"/>
          <w:color w:val="auto"/>
          <w:vertAlign w:val="superscript"/>
        </w:rPr>
      </w:pPr>
    </w:p>
    <w:p>
      <w:pPr>
        <w:ind w:left="400" w:hanging="198"/>
        <w:spacing w:after="0"/>
        <w:tabs>
          <w:tab w:leader="none" w:pos="400" w:val="left"/>
        </w:tabs>
        <w:numPr>
          <w:ilvl w:val="1"/>
          <w:numId w:val="100"/>
        </w:numPr>
        <w:rPr>
          <w:rFonts w:ascii="Arial" w:cs="Arial" w:eastAsia="Arial" w:hAnsi="Arial"/>
          <w:sz w:val="19"/>
          <w:szCs w:val="19"/>
          <w:color w:val="auto"/>
          <w:vertAlign w:val="superscript"/>
        </w:rPr>
      </w:pPr>
      <w:r>
        <w:rPr>
          <w:rFonts w:ascii="Arial" w:cs="Arial" w:eastAsia="Arial" w:hAnsi="Arial"/>
          <w:sz w:val="14"/>
          <w:szCs w:val="14"/>
          <w:color w:val="auto"/>
        </w:rPr>
        <w:t>6,885,666 shares represent RSUs.</w:t>
      </w:r>
    </w:p>
    <w:p>
      <w:pPr>
        <w:spacing w:after="0" w:line="66" w:lineRule="exact"/>
        <w:rPr>
          <w:sz w:val="20"/>
          <w:szCs w:val="20"/>
          <w:color w:val="auto"/>
        </w:rPr>
      </w:pPr>
    </w:p>
    <w:p>
      <w:pPr>
        <w:ind w:left="200" w:right="400"/>
        <w:spacing w:after="0" w:line="300" w:lineRule="auto"/>
        <w:rPr>
          <w:sz w:val="20"/>
          <w:szCs w:val="20"/>
          <w:color w:val="auto"/>
        </w:rPr>
      </w:pPr>
      <w:r>
        <w:rPr>
          <w:rFonts w:ascii="Arial" w:cs="Arial" w:eastAsia="Arial" w:hAnsi="Arial"/>
          <w:sz w:val="14"/>
          <w:szCs w:val="14"/>
          <w:color w:val="auto"/>
        </w:rPr>
        <w:t>The number represents outstanding awards under our 2020 Long-Term Incentive Plan and the Company’s predecessor plans. As of December 31, 2025, there are no outstanding awards under our 2014 Long-Term Incentive Plan and the only outstanding awards under our 2017 Long-Term Incentive Plan are vested and unexercised options.</w:t>
      </w:r>
    </w:p>
    <w:p>
      <w:pPr>
        <w:spacing w:after="0" w:line="17" w:lineRule="exact"/>
        <w:rPr>
          <w:sz w:val="20"/>
          <w:szCs w:val="20"/>
          <w:color w:val="auto"/>
        </w:rPr>
      </w:pPr>
    </w:p>
    <w:p>
      <w:pPr>
        <w:ind w:left="200" w:right="360" w:hanging="192"/>
        <w:spacing w:after="0" w:line="270" w:lineRule="auto"/>
        <w:tabs>
          <w:tab w:leader="none" w:pos="200"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color w:val="auto"/>
        </w:rPr>
        <w:t>New awards are currently granted under our 2020 Long-Term Incentive Plan, effective June 17, 2020, when the plan was approved by our shareholders. Shares that remained available for issuance under the Company’s predecessor plans were only used to settle outstanding awards that were granted under such plans prior to June 17, 2020. Any shares that remained available for issuance under a predecessor plan will not be used and have been excluded.</w:t>
      </w:r>
    </w:p>
    <w:p>
      <w:pPr>
        <w:spacing w:after="0" w:line="110"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The following table provides information about the Company’s common stock usage for awards granted and performance awards vested/earned during fiscal year 2025 under the Company’s equity compensation plan.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shd w:val="clear" w:color="auto" w:fill="ECEBEB"/>
          </w:tcPr>
          <w:p>
            <w:pPr>
              <w:spacing w:after="0"/>
              <w:rPr>
                <w:sz w:val="20"/>
                <w:szCs w:val="20"/>
                <w:color w:val="auto"/>
              </w:rPr>
            </w:pPr>
          </w:p>
        </w:tc>
        <w:tc>
          <w:tcPr>
            <w:tcW w:w="3960" w:type="dxa"/>
            <w:vAlign w:val="bottom"/>
            <w:shd w:val="clear" w:color="auto" w:fill="ECEBEB"/>
          </w:tcPr>
          <w:p>
            <w:pPr>
              <w:spacing w:after="0"/>
              <w:rPr>
                <w:sz w:val="20"/>
                <w:szCs w:val="20"/>
                <w:color w:val="auto"/>
              </w:rPr>
            </w:pPr>
          </w:p>
        </w:tc>
        <w:tc>
          <w:tcPr>
            <w:tcW w:w="168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Performance Awards</w:t>
            </w:r>
          </w:p>
        </w:tc>
      </w:tr>
      <w:tr>
        <w:trPr>
          <w:trHeight w:val="185"/>
        </w:trPr>
        <w:tc>
          <w:tcPr>
            <w:tcW w:w="3440" w:type="dxa"/>
            <w:vAlign w:val="bottom"/>
            <w:tcBorders>
              <w:bottom w:val="single" w:sz="8" w:color="0956FF"/>
            </w:tcBorders>
            <w:shd w:val="clear" w:color="auto" w:fill="ECEBEB"/>
          </w:tcPr>
          <w:p>
            <w:pPr>
              <w:spacing w:after="0"/>
              <w:rPr>
                <w:sz w:val="16"/>
                <w:szCs w:val="16"/>
                <w:color w:val="auto"/>
              </w:rPr>
            </w:pPr>
          </w:p>
        </w:tc>
        <w:tc>
          <w:tcPr>
            <w:tcW w:w="3960" w:type="dxa"/>
            <w:vAlign w:val="bottom"/>
            <w:tcBorders>
              <w:bottom w:val="single" w:sz="8" w:color="0956FF"/>
            </w:tcBorders>
            <w:shd w:val="clear" w:color="auto" w:fill="ECEBEB"/>
          </w:tcPr>
          <w:p>
            <w:pPr>
              <w:jc w:val="right"/>
              <w:ind w:right="102"/>
              <w:spacing w:after="0"/>
              <w:rPr>
                <w:sz w:val="20"/>
                <w:szCs w:val="20"/>
                <w:color w:val="auto"/>
              </w:rPr>
            </w:pPr>
            <w:r>
              <w:rPr>
                <w:rFonts w:ascii="Arial" w:cs="Arial" w:eastAsia="Arial" w:hAnsi="Arial"/>
                <w:sz w:val="14"/>
                <w:szCs w:val="14"/>
                <w:b w:val="1"/>
                <w:bCs w:val="1"/>
                <w:color w:val="auto"/>
              </w:rPr>
              <w:t>Granted</w:t>
            </w:r>
          </w:p>
        </w:tc>
        <w:tc>
          <w:tcPr>
            <w:tcW w:w="1680" w:type="dxa"/>
            <w:vAlign w:val="bottom"/>
            <w:tcBorders>
              <w:bottom w:val="single" w:sz="8" w:color="0956FF"/>
            </w:tcBorders>
            <w:shd w:val="clear" w:color="auto" w:fill="ECEBEB"/>
          </w:tcPr>
          <w:p>
            <w:pPr>
              <w:jc w:val="right"/>
              <w:ind w:right="4"/>
              <w:spacing w:after="0"/>
              <w:rPr>
                <w:sz w:val="20"/>
                <w:szCs w:val="20"/>
                <w:color w:val="auto"/>
              </w:rPr>
            </w:pPr>
            <w:r>
              <w:rPr>
                <w:rFonts w:ascii="Arial" w:cs="Arial" w:eastAsia="Arial" w:hAnsi="Arial"/>
                <w:sz w:val="14"/>
                <w:szCs w:val="14"/>
                <w:b w:val="1"/>
                <w:bCs w:val="1"/>
                <w:color w:val="auto"/>
              </w:rPr>
              <w:t>Vested/Earned</w:t>
            </w:r>
          </w:p>
        </w:tc>
      </w:tr>
      <w:tr>
        <w:trPr>
          <w:trHeight w:val="249"/>
        </w:trPr>
        <w:tc>
          <w:tcPr>
            <w:tcW w:w="34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RSUs</w:t>
            </w:r>
          </w:p>
        </w:tc>
        <w:tc>
          <w:tcPr>
            <w:tcW w:w="3960" w:type="dxa"/>
            <w:vAlign w:val="bottom"/>
            <w:tcBorders>
              <w:bottom w:val="single" w:sz="8" w:color="D8D7D7"/>
            </w:tcBorders>
          </w:tcPr>
          <w:p>
            <w:pPr>
              <w:jc w:val="right"/>
              <w:ind w:right="222"/>
              <w:spacing w:after="0"/>
              <w:rPr>
                <w:sz w:val="20"/>
                <w:szCs w:val="20"/>
                <w:color w:val="auto"/>
              </w:rPr>
            </w:pPr>
            <w:r>
              <w:rPr>
                <w:rFonts w:ascii="Arial" w:cs="Arial" w:eastAsia="Arial" w:hAnsi="Arial"/>
                <w:sz w:val="16"/>
                <w:szCs w:val="16"/>
                <w:color w:val="auto"/>
              </w:rPr>
              <w:t>4,500,000</w:t>
            </w:r>
          </w:p>
        </w:tc>
        <w:tc>
          <w:tcPr>
            <w:tcW w:w="168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440" w:type="dxa"/>
            <w:vAlign w:val="bottom"/>
            <w:tcBorders>
              <w:bottom w:val="single" w:sz="8" w:color="0956FF"/>
            </w:tcBorders>
          </w:tcPr>
          <w:p>
            <w:pPr>
              <w:ind w:left="60"/>
              <w:spacing w:after="0"/>
              <w:rPr>
                <w:sz w:val="20"/>
                <w:szCs w:val="20"/>
                <w:color w:val="auto"/>
              </w:rPr>
            </w:pPr>
            <w:r>
              <w:rPr>
                <w:rFonts w:ascii="Arial" w:cs="Arial" w:eastAsia="Arial" w:hAnsi="Arial"/>
                <w:sz w:val="16"/>
                <w:szCs w:val="16"/>
                <w:color w:val="auto"/>
              </w:rPr>
              <w:t>PSUs</w:t>
            </w:r>
          </w:p>
        </w:tc>
        <w:tc>
          <w:tcPr>
            <w:tcW w:w="3960" w:type="dxa"/>
            <w:vAlign w:val="bottom"/>
            <w:tcBorders>
              <w:bottom w:val="single" w:sz="8" w:color="0956FF"/>
            </w:tcBorders>
          </w:tcPr>
          <w:p>
            <w:pPr>
              <w:jc w:val="right"/>
              <w:ind w:right="182"/>
              <w:spacing w:after="0"/>
              <w:rPr>
                <w:sz w:val="20"/>
                <w:szCs w:val="20"/>
                <w:color w:val="auto"/>
              </w:rPr>
            </w:pPr>
            <w:r>
              <w:rPr>
                <w:rFonts w:ascii="Arial" w:cs="Arial" w:eastAsia="Arial" w:hAnsi="Arial"/>
                <w:sz w:val="16"/>
                <w:szCs w:val="16"/>
                <w:color w:val="auto"/>
              </w:rPr>
              <w:t>4,100,000</w:t>
            </w:r>
          </w:p>
        </w:tc>
        <w:tc>
          <w:tcPr>
            <w:tcW w:w="1680" w:type="dxa"/>
            <w:vAlign w:val="bottom"/>
            <w:tcBorders>
              <w:bottom w:val="single" w:sz="8" w:color="0956FF"/>
            </w:tcBorders>
          </w:tcPr>
          <w:p>
            <w:pPr>
              <w:jc w:val="right"/>
              <w:ind w:right="44"/>
              <w:spacing w:after="0"/>
              <w:rPr>
                <w:sz w:val="20"/>
                <w:szCs w:val="20"/>
                <w:color w:val="auto"/>
              </w:rPr>
            </w:pPr>
            <w:r>
              <w:rPr>
                <w:rFonts w:ascii="Arial" w:cs="Arial" w:eastAsia="Arial" w:hAnsi="Arial"/>
                <w:sz w:val="16"/>
                <w:szCs w:val="16"/>
                <w:color w:val="auto"/>
              </w:rPr>
              <w:t>4,100,000</w:t>
            </w:r>
          </w:p>
        </w:tc>
      </w:tr>
    </w:tbl>
    <w:p>
      <w:pPr>
        <w:spacing w:after="0" w:line="200" w:lineRule="exact"/>
        <w:rPr>
          <w:sz w:val="20"/>
          <w:szCs w:val="20"/>
          <w:color w:val="auto"/>
        </w:rPr>
      </w:pPr>
    </w:p>
    <w:p>
      <w:pPr>
        <w:sectPr>
          <w:pgSz w:w="11900" w:h="16838" w:orient="portrait"/>
          <w:cols w:equalWidth="0" w:num="1">
            <w:col w:w="9220"/>
          </w:cols>
          <w:pgMar w:left="1400" w:top="65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02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77</w:t>
      </w:r>
    </w:p>
    <w:p>
      <w:pPr>
        <w:sectPr>
          <w:pgSz w:w="11900" w:h="16838" w:orient="portrait"/>
          <w:cols w:equalWidth="0" w:num="1">
            <w:col w:w="9220"/>
          </w:cols>
          <w:pgMar w:left="1400" w:top="657" w:right="1279" w:bottom="1440" w:gutter="0" w:footer="0" w:header="0"/>
          <w:type w:val="continuous"/>
        </w:sectPr>
      </w:pPr>
    </w:p>
    <w:bookmarkStart w:id="84" w:name="page85"/>
    <w:bookmarkEnd w:id="84"/>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2"/>
          <w:szCs w:val="22"/>
          <w:color w:val="FFFFFF"/>
        </w:rPr>
        <w:t>ITEM 4</w:t>
      </w:r>
    </w:p>
    <w:p>
      <w:pPr>
        <w:spacing w:after="0" w:line="334" w:lineRule="exact"/>
        <w:rPr>
          <w:sz w:val="20"/>
          <w:szCs w:val="20"/>
          <w:color w:val="auto"/>
        </w:rPr>
      </w:pPr>
    </w:p>
    <w:p>
      <w:pPr>
        <w:jc w:val="both"/>
        <w:ind w:right="99"/>
        <w:spacing w:after="0" w:line="269" w:lineRule="auto"/>
        <w:rPr>
          <w:sz w:val="20"/>
          <w:szCs w:val="20"/>
          <w:color w:val="auto"/>
        </w:rPr>
      </w:pPr>
      <w:r>
        <w:rPr>
          <w:rFonts w:ascii="Arial" w:cs="Arial" w:eastAsia="Arial" w:hAnsi="Arial"/>
          <w:sz w:val="40"/>
          <w:szCs w:val="40"/>
          <w:b w:val="1"/>
          <w:bCs w:val="1"/>
          <w:color w:val="auto"/>
        </w:rPr>
        <w:t>Proposal to Approve, on an Advisory Basis, the Frequency of Future Advisory Votes on Named Executive Officer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Amendment</w:t>
      </w:r>
    </w:p>
    <w:p>
      <w:pPr>
        <w:spacing w:after="0" w:line="99" w:lineRule="exact"/>
        <w:rPr>
          <w:sz w:val="20"/>
          <w:szCs w:val="20"/>
          <w:color w:val="auto"/>
        </w:rPr>
      </w:pPr>
    </w:p>
    <w:p>
      <w:pPr>
        <w:ind w:right="359"/>
        <w:spacing w:after="0" w:line="291" w:lineRule="auto"/>
        <w:rPr>
          <w:sz w:val="20"/>
          <w:szCs w:val="20"/>
          <w:color w:val="auto"/>
        </w:rPr>
      </w:pPr>
      <w:r>
        <w:rPr>
          <w:rFonts w:ascii="Arial" w:cs="Arial" w:eastAsia="Arial" w:hAnsi="Arial"/>
          <w:sz w:val="16"/>
          <w:szCs w:val="16"/>
          <w:color w:val="auto"/>
        </w:rPr>
        <w:t>The Dodd-Frank Wall Street Reform and Consumer Protection Act requires that shareholders be given the opportunity to vote, on a non-binding advisory basis, on the future frequency of advisory votes on the compensation of our NEOs. When voting on this proposal, shareholders may indicate their preference for conducting future advisory votes to approve the compensation of NEOs once every one, two, or three years. Shareholders also may abstain from casting a vote on this proposal.</w:t>
      </w:r>
    </w:p>
    <w:p>
      <w:pPr>
        <w:spacing w:after="0" w:line="113" w:lineRule="exact"/>
        <w:rPr>
          <w:sz w:val="20"/>
          <w:szCs w:val="20"/>
          <w:color w:val="auto"/>
        </w:rPr>
      </w:pPr>
    </w:p>
    <w:p>
      <w:pPr>
        <w:ind w:right="179"/>
        <w:spacing w:after="0" w:line="289" w:lineRule="auto"/>
        <w:rPr>
          <w:sz w:val="20"/>
          <w:szCs w:val="20"/>
          <w:color w:val="auto"/>
        </w:rPr>
      </w:pPr>
      <w:r>
        <w:rPr>
          <w:rFonts w:ascii="Arial" w:cs="Arial" w:eastAsia="Arial" w:hAnsi="Arial"/>
          <w:sz w:val="16"/>
          <w:szCs w:val="16"/>
          <w:color w:val="auto"/>
        </w:rPr>
        <w:t>Our Board of Directors believes that an annual advisory vote to approve the compensation of the NEOs will allow our shareholders to provide timely, direct input on the Company’s executive compensation philosophy, policies, and practices disclosed in the Proxy Statement each year. The vote is advisory, which means that the vote is not binding on the Company, our Board of Directors, or the 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are asking shareholders to vote in favor of the following resolution:</w:t>
      </w:r>
    </w:p>
    <w:p>
      <w:pPr>
        <w:spacing w:after="0" w:line="181" w:lineRule="exact"/>
        <w:rPr>
          <w:sz w:val="20"/>
          <w:szCs w:val="20"/>
          <w:color w:val="auto"/>
        </w:rPr>
      </w:pPr>
    </w:p>
    <w:p>
      <w:pPr>
        <w:jc w:val="both"/>
        <w:ind w:right="559"/>
        <w:spacing w:after="0" w:line="301" w:lineRule="auto"/>
        <w:rPr>
          <w:sz w:val="20"/>
          <w:szCs w:val="20"/>
          <w:color w:val="auto"/>
        </w:rPr>
      </w:pPr>
      <w:r>
        <w:rPr>
          <w:rFonts w:ascii="Arial" w:cs="Arial" w:eastAsia="Arial" w:hAnsi="Arial"/>
          <w:sz w:val="16"/>
          <w:szCs w:val="16"/>
          <w:color w:val="auto"/>
        </w:rPr>
        <w:t>RESOLVED, that the shareholders determine, on an advisory basis, that the preferred frequency of an advisory vote to approve the compensation of the Company’s named executive officers as set forth in the Company’s Proxy Statement should be every year.</w:t>
      </w:r>
    </w:p>
    <w:p>
      <w:pPr>
        <w:spacing w:after="0" w:line="91" w:lineRule="exact"/>
        <w:rPr>
          <w:sz w:val="20"/>
          <w:szCs w:val="20"/>
          <w:color w:val="auto"/>
        </w:rPr>
      </w:pPr>
    </w:p>
    <w:p>
      <w:pPr>
        <w:ind w:right="159"/>
        <w:spacing w:after="0" w:line="295" w:lineRule="auto"/>
        <w:rPr>
          <w:sz w:val="20"/>
          <w:szCs w:val="20"/>
          <w:color w:val="auto"/>
        </w:rPr>
      </w:pPr>
      <w:r>
        <w:rPr>
          <w:rFonts w:ascii="Arial" w:cs="Arial" w:eastAsia="Arial" w:hAnsi="Arial"/>
          <w:sz w:val="16"/>
          <w:szCs w:val="16"/>
          <w:color w:val="auto"/>
        </w:rPr>
        <w:t>Shareholders will be able to specify one of four choices for this proposal on the proxy card: one year, two years, three years, or abstain. Although the vote on this item is non-binding, the Board of Directors and the Compensation Committee value the opinions of our shareholders and will consider the outcome of the vote when determining how often to submit an advisory vote on compensation for NEOs to our shareholders.</w:t>
      </w:r>
    </w:p>
    <w:p>
      <w:pPr>
        <w:spacing w:after="0" w:line="260" w:lineRule="exact"/>
        <w:rPr>
          <w:sz w:val="20"/>
          <w:szCs w:val="20"/>
          <w:color w:val="auto"/>
        </w:rPr>
      </w:pPr>
    </w:p>
    <w:p>
      <w:pPr>
        <w:ind w:left="560" w:right="539"/>
        <w:spacing w:after="0" w:line="288" w:lineRule="auto"/>
        <w:rPr>
          <w:sz w:val="20"/>
          <w:szCs w:val="20"/>
          <w:color w:val="auto"/>
        </w:rPr>
      </w:pPr>
      <w:r>
        <w:rPr>
          <w:rFonts w:ascii="Arial" w:cs="Arial" w:eastAsia="Arial" w:hAnsi="Arial"/>
          <w:sz w:val="20"/>
          <w:szCs w:val="20"/>
          <w:color w:val="auto"/>
        </w:rPr>
        <w:t xml:space="preserve">The Board recommends a vote </w:t>
      </w:r>
      <w:r>
        <w:rPr>
          <w:rFonts w:ascii="Arial" w:cs="Arial" w:eastAsia="Arial" w:hAnsi="Arial"/>
          <w:sz w:val="20"/>
          <w:szCs w:val="20"/>
          <w:b w:val="1"/>
          <w:bCs w:val="1"/>
          <w:color w:val="0956FF"/>
        </w:rPr>
        <w:t>FOR</w:t>
      </w:r>
      <w:r>
        <w:rPr>
          <w:rFonts w:ascii="Arial" w:cs="Arial" w:eastAsia="Arial" w:hAnsi="Arial"/>
          <w:sz w:val="20"/>
          <w:szCs w:val="20"/>
          <w:color w:val="auto"/>
        </w:rPr>
        <w:t xml:space="preserve"> the option of one year as the preferred frequency for a shareholder advisory vote to approve named executive officer compensation.</w:t>
      </w:r>
    </w:p>
    <w:p>
      <w:pPr>
        <w:sectPr>
          <w:pgSz w:w="11900" w:h="16838" w:orient="portrait"/>
          <w:cols w:equalWidth="0" w:num="1">
            <w:col w:w="9059"/>
          </w:cols>
          <w:pgMar w:left="1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78</w:t>
      </w:r>
    </w:p>
    <w:p>
      <w:pPr>
        <w:sectPr>
          <w:pgSz w:w="11900" w:h="16838" w:orient="portrait"/>
          <w:cols w:equalWidth="0" w:num="1">
            <w:col w:w="9059"/>
          </w:cols>
          <w:pgMar w:left="1400" w:top="1440" w:right="1440" w:bottom="1440" w:gutter="0" w:footer="0" w:header="0"/>
          <w:type w:val="continuous"/>
        </w:sectPr>
      </w:pPr>
    </w:p>
    <w:bookmarkStart w:id="85" w:name="page86"/>
    <w:bookmarkEnd w:id="85"/>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260"/>
        <w:spacing w:after="0"/>
        <w:rPr>
          <w:sz w:val="20"/>
          <w:szCs w:val="20"/>
          <w:color w:val="auto"/>
        </w:rPr>
      </w:pPr>
      <w:r>
        <w:rPr>
          <w:rFonts w:ascii="Arial" w:cs="Arial" w:eastAsia="Arial" w:hAnsi="Arial"/>
          <w:sz w:val="22"/>
          <w:szCs w:val="22"/>
          <w:color w:val="FFFFFF"/>
        </w:rPr>
        <w:t>ITEM 5</w:t>
      </w:r>
    </w:p>
    <w:p>
      <w:pPr>
        <w:spacing w:after="0" w:line="334" w:lineRule="exact"/>
        <w:rPr>
          <w:sz w:val="20"/>
          <w:szCs w:val="20"/>
          <w:color w:val="auto"/>
        </w:rPr>
      </w:pPr>
    </w:p>
    <w:p>
      <w:pPr>
        <w:ind w:right="539"/>
        <w:spacing w:after="0" w:line="252" w:lineRule="auto"/>
        <w:rPr>
          <w:sz w:val="20"/>
          <w:szCs w:val="20"/>
          <w:color w:val="auto"/>
        </w:rPr>
      </w:pPr>
      <w:r>
        <w:rPr>
          <w:rFonts w:ascii="Arial" w:cs="Arial" w:eastAsia="Arial" w:hAnsi="Arial"/>
          <w:sz w:val="39"/>
          <w:szCs w:val="39"/>
          <w:b w:val="1"/>
          <w:bCs w:val="1"/>
          <w:color w:val="auto"/>
        </w:rPr>
        <w:t>Proposal to Approve Amendment No. 2 to the Company</w:t>
      </w:r>
      <w:r>
        <w:rPr>
          <w:rFonts w:ascii="Arial" w:cs="Arial" w:eastAsia="Arial" w:hAnsi="Arial"/>
          <w:sz w:val="39"/>
          <w:szCs w:val="39"/>
          <w:color w:val="auto"/>
        </w:rPr>
        <w:t>’</w:t>
      </w:r>
      <w:r>
        <w:rPr>
          <w:rFonts w:ascii="Arial" w:cs="Arial" w:eastAsia="Arial" w:hAnsi="Arial"/>
          <w:sz w:val="39"/>
          <w:szCs w:val="39"/>
          <w:b w:val="1"/>
          <w:bCs w:val="1"/>
          <w:color w:val="auto"/>
        </w:rPr>
        <w:t>s 2020 Long-Term Incentive Plan to</w:t>
      </w:r>
    </w:p>
    <w:p>
      <w:pPr>
        <w:spacing w:after="0" w:line="3" w:lineRule="exact"/>
        <w:rPr>
          <w:sz w:val="20"/>
          <w:szCs w:val="20"/>
          <w:color w:val="auto"/>
        </w:rPr>
      </w:pPr>
    </w:p>
    <w:p>
      <w:pPr>
        <w:ind w:right="739"/>
        <w:spacing w:after="0" w:line="262" w:lineRule="auto"/>
        <w:rPr>
          <w:sz w:val="20"/>
          <w:szCs w:val="20"/>
          <w:color w:val="auto"/>
        </w:rPr>
      </w:pPr>
      <w:r>
        <w:rPr>
          <w:rFonts w:ascii="Arial" w:cs="Arial" w:eastAsia="Arial" w:hAnsi="Arial"/>
          <w:sz w:val="40"/>
          <w:szCs w:val="40"/>
          <w:b w:val="1"/>
          <w:bCs w:val="1"/>
          <w:color w:val="auto"/>
        </w:rPr>
        <w:t>Increase the Number of Shares Available for Issuance Thereunder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Amendment</w:t>
      </w:r>
    </w:p>
    <w:p>
      <w:pPr>
        <w:spacing w:after="0" w:line="99" w:lineRule="exact"/>
        <w:rPr>
          <w:sz w:val="20"/>
          <w:szCs w:val="20"/>
          <w:color w:val="auto"/>
        </w:rPr>
      </w:pPr>
    </w:p>
    <w:p>
      <w:pPr>
        <w:ind w:right="279"/>
        <w:spacing w:after="0" w:line="288" w:lineRule="auto"/>
        <w:rPr>
          <w:sz w:val="20"/>
          <w:szCs w:val="20"/>
          <w:color w:val="auto"/>
        </w:rPr>
      </w:pPr>
      <w:r>
        <w:rPr>
          <w:rFonts w:ascii="Arial" w:cs="Arial" w:eastAsia="Arial" w:hAnsi="Arial"/>
          <w:sz w:val="16"/>
          <w:szCs w:val="16"/>
          <w:color w:val="auto"/>
        </w:rPr>
        <w:t>The Board recommends shareholders vote for the approval of Amendment No. 2 to the 2020 Long-Term Incentive Plan, as amended by Amendment No. 1 (the “2020 Long-Term Incentive Plan” or the “2020 LTIP”) (“Amendment No. 2”), which increases by 27 million the number of shares available for issuance thereunder. Multi-year equity awards are an essential component of our performance-based compensation programs and are vital for attracting, retaining, and rewarding the talent we need to deliver long-term results to our shareholders. This request for additional shares will enable continued grants to our executives and allow for the expansion of equity awards to select non-executive employees with certain technical skills.</w:t>
      </w:r>
    </w:p>
    <w:p>
      <w:pPr>
        <w:spacing w:after="0" w:line="102" w:lineRule="exact"/>
        <w:rPr>
          <w:sz w:val="20"/>
          <w:szCs w:val="20"/>
          <w:color w:val="auto"/>
        </w:rPr>
      </w:pPr>
    </w:p>
    <w:p>
      <w:pPr>
        <w:ind w:right="119"/>
        <w:spacing w:after="0" w:line="286" w:lineRule="auto"/>
        <w:rPr>
          <w:sz w:val="20"/>
          <w:szCs w:val="20"/>
          <w:color w:val="auto"/>
        </w:rPr>
      </w:pPr>
      <w:r>
        <w:rPr>
          <w:rFonts w:ascii="Arial" w:cs="Arial" w:eastAsia="Arial" w:hAnsi="Arial"/>
          <w:sz w:val="16"/>
          <w:szCs w:val="16"/>
          <w:color w:val="auto"/>
        </w:rPr>
        <w:t>In June 2020, our shareholders approved the 2020 LTIP with 50 million shares of the Company’s common stock. In June 2023, shareholders approved Amendment No. 1 which added 27 million more shares. As of February 28, 2026, approximately 28.7 million shares remain available for issuance under the 2020 LTIP and 20.4 million shares are subject to outstanding awards across all the Company’s equity incentive plans, representing 5.4% of the common stock outstanding as of the record date on a fully diluted basis (the “Overhang Percentage”). The 27 million shares requested under Amendment No. 2 would increase the Overhang Percentage to approximately 8.4%. We anticipate the requested shares under Amendment No. 2, together with the remaining shares available for issuance under the 2020 LTIP, to be sufficient for approximately three years with the actual duration dependent on factors such as changes in employee headcount, future forfeitures and cancellations, and the Company’s stock price. As of the record date, our common stock on the NYSE closed at $ 73.43 per share. We plan to seek shareholder approval of our equity plan on a periodic basis to confirm continued shareholder support of its terms.</w:t>
      </w:r>
    </w:p>
    <w:p>
      <w:pPr>
        <w:spacing w:after="0" w:line="319" w:lineRule="exact"/>
        <w:rPr>
          <w:sz w:val="20"/>
          <w:szCs w:val="20"/>
          <w:color w:val="auto"/>
        </w:rPr>
      </w:pPr>
    </w:p>
    <w:p>
      <w:pPr>
        <w:ind w:right="219"/>
        <w:spacing w:after="0" w:line="288" w:lineRule="auto"/>
        <w:rPr>
          <w:sz w:val="20"/>
          <w:szCs w:val="20"/>
          <w:color w:val="auto"/>
        </w:rPr>
      </w:pPr>
      <w:r>
        <w:rPr>
          <w:rFonts w:ascii="Arial" w:cs="Arial" w:eastAsia="Arial" w:hAnsi="Arial"/>
          <w:sz w:val="16"/>
          <w:szCs w:val="16"/>
          <w:color w:val="auto"/>
        </w:rPr>
        <w:t>When determining the number of requested shares under Amendment No. 2, we considered several factors, namely projected future equity needs, the types of awards that may be granted, potential dilution, and the number of shares currently remaining under the 2020 LTIP, as well as market trends and investor perspectives. Our Board and Compensation Committee carefully considered our future equity needs given the increasingly competitive labor market in which we compete for top-tier talent, especially for technical talent. While our past practice has typically been to grant equity awards to our executives, going forward, we anticipate extending awards further into the Company and granting to select non-executive employees with certain technical skills in key areas as we pursue our strategic priorities.</w:t>
      </w:r>
    </w:p>
    <w:p>
      <w:pPr>
        <w:spacing w:after="0" w:line="115" w:lineRule="exact"/>
        <w:rPr>
          <w:sz w:val="20"/>
          <w:szCs w:val="20"/>
          <w:color w:val="auto"/>
        </w:rPr>
      </w:pPr>
    </w:p>
    <w:p>
      <w:pPr>
        <w:ind w:right="339"/>
        <w:spacing w:after="0" w:line="289" w:lineRule="auto"/>
        <w:rPr>
          <w:sz w:val="20"/>
          <w:szCs w:val="20"/>
          <w:color w:val="auto"/>
        </w:rPr>
      </w:pPr>
      <w:r>
        <w:rPr>
          <w:rFonts w:ascii="Arial" w:cs="Arial" w:eastAsia="Arial" w:hAnsi="Arial"/>
          <w:sz w:val="16"/>
          <w:szCs w:val="16"/>
          <w:color w:val="auto"/>
        </w:rPr>
        <w:t>Considering our anticipated future equity needs, our equity compensation practices (including our historical three-year average burn rate which is less than 1%), and the advice of Semler Brossy, the Committee’s independent consultant, we believe the 27 million requested shares under Amendment No. 2 represents a reasonable amount of incremental potential equity dilution and we are mindful of our responsibility to shareholders to thoughtfully manage these awards. These additional shares will allow for the continued issuance of equity awards, as approved by the Compensation Committee, in alignment with the best interests of the Company and our shareholders.</w:t>
      </w:r>
    </w:p>
    <w:p>
      <w:pPr>
        <w:sectPr>
          <w:pgSz w:w="11900" w:h="16838" w:orient="portrait"/>
          <w:cols w:equalWidth="0" w:num="1">
            <w:col w:w="9059"/>
          </w:cols>
          <w:pgMar w:left="1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79</w:t>
      </w:r>
    </w:p>
    <w:p>
      <w:pPr>
        <w:sectPr>
          <w:pgSz w:w="11900" w:h="16838" w:orient="portrait"/>
          <w:cols w:equalWidth="0" w:num="1">
            <w:col w:w="9059"/>
          </w:cols>
          <w:pgMar w:left="1400" w:top="1440" w:right="1440"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Upon approval, Amendment No. 2, which is attached as Appendix B, will become effective on June 3, 2026 and will:</w:t>
      </w:r>
    </w:p>
    <w:p>
      <w:pPr>
        <w:spacing w:after="0" w:line="86" w:lineRule="exact"/>
        <w:rPr>
          <w:sz w:val="20"/>
          <w:szCs w:val="20"/>
          <w:color w:val="auto"/>
        </w:rPr>
      </w:pPr>
    </w:p>
    <w:p>
      <w:pPr>
        <w:ind w:left="200" w:hanging="192"/>
        <w:spacing w:after="0"/>
        <w:tabs>
          <w:tab w:leader="none" w:pos="200" w:val="left"/>
        </w:tabs>
        <w:numPr>
          <w:ilvl w:val="0"/>
          <w:numId w:val="102"/>
        </w:numPr>
        <w:rPr>
          <w:rFonts w:ascii="Arial" w:cs="Arial" w:eastAsia="Arial" w:hAnsi="Arial"/>
          <w:sz w:val="16"/>
          <w:szCs w:val="16"/>
          <w:color w:val="0956FF"/>
        </w:rPr>
      </w:pPr>
      <w:r>
        <w:rPr>
          <w:rFonts w:ascii="Arial" w:cs="Arial" w:eastAsia="Arial" w:hAnsi="Arial"/>
          <w:sz w:val="16"/>
          <w:szCs w:val="16"/>
          <w:color w:val="auto"/>
        </w:rPr>
        <w:t>Increase the overall number of shares available for issuance under the 2020 LTIP by 27 million;</w:t>
      </w:r>
    </w:p>
    <w:p>
      <w:pPr>
        <w:spacing w:after="0" w:line="86" w:lineRule="exact"/>
        <w:rPr>
          <w:rFonts w:ascii="Arial" w:cs="Arial" w:eastAsia="Arial" w:hAnsi="Arial"/>
          <w:sz w:val="16"/>
          <w:szCs w:val="16"/>
          <w:color w:val="0956FF"/>
        </w:rPr>
      </w:pPr>
    </w:p>
    <w:p>
      <w:pPr>
        <w:ind w:left="200" w:right="299" w:hanging="192"/>
        <w:spacing w:after="0" w:line="316" w:lineRule="auto"/>
        <w:tabs>
          <w:tab w:leader="none" w:pos="200" w:val="left"/>
        </w:tabs>
        <w:numPr>
          <w:ilvl w:val="0"/>
          <w:numId w:val="102"/>
        </w:numPr>
        <w:rPr>
          <w:rFonts w:ascii="Arial" w:cs="Arial" w:eastAsia="Arial" w:hAnsi="Arial"/>
          <w:sz w:val="16"/>
          <w:szCs w:val="16"/>
          <w:color w:val="0956FF"/>
        </w:rPr>
      </w:pPr>
      <w:r>
        <w:rPr>
          <w:rFonts w:ascii="Arial" w:cs="Arial" w:eastAsia="Arial" w:hAnsi="Arial"/>
          <w:sz w:val="16"/>
          <w:szCs w:val="16"/>
          <w:color w:val="auto"/>
        </w:rPr>
        <w:t>Increase the number of shares available for issuance pursuant to incentive stock option awards under the 2020 LTIP by that same 27 million; and</w:t>
      </w:r>
    </w:p>
    <w:p>
      <w:pPr>
        <w:spacing w:after="0" w:line="1" w:lineRule="exact"/>
        <w:rPr>
          <w:rFonts w:ascii="Arial" w:cs="Arial" w:eastAsia="Arial" w:hAnsi="Arial"/>
          <w:sz w:val="16"/>
          <w:szCs w:val="16"/>
          <w:color w:val="0956FF"/>
        </w:rPr>
      </w:pPr>
    </w:p>
    <w:p>
      <w:pPr>
        <w:ind w:left="200" w:hanging="192"/>
        <w:spacing w:after="0"/>
        <w:tabs>
          <w:tab w:leader="none" w:pos="200" w:val="left"/>
        </w:tabs>
        <w:numPr>
          <w:ilvl w:val="0"/>
          <w:numId w:val="102"/>
        </w:numPr>
        <w:rPr>
          <w:rFonts w:ascii="Arial" w:cs="Arial" w:eastAsia="Arial" w:hAnsi="Arial"/>
          <w:sz w:val="16"/>
          <w:szCs w:val="16"/>
          <w:color w:val="0956FF"/>
        </w:rPr>
      </w:pPr>
      <w:r>
        <w:rPr>
          <w:rFonts w:ascii="Arial" w:cs="Arial" w:eastAsia="Arial" w:hAnsi="Arial"/>
          <w:sz w:val="16"/>
          <w:szCs w:val="16"/>
          <w:color w:val="auto"/>
        </w:rPr>
        <w:t>Extend the expiration date of the 2020 LTIP to June 3, 2036.</w:t>
      </w:r>
    </w:p>
    <w:p>
      <w:pPr>
        <w:spacing w:after="0" w:line="167" w:lineRule="exact"/>
        <w:rPr>
          <w:sz w:val="20"/>
          <w:szCs w:val="20"/>
          <w:color w:val="auto"/>
        </w:rPr>
      </w:pPr>
    </w:p>
    <w:p>
      <w:pPr>
        <w:ind w:right="799"/>
        <w:spacing w:after="0" w:line="321" w:lineRule="auto"/>
        <w:rPr>
          <w:sz w:val="20"/>
          <w:szCs w:val="20"/>
          <w:color w:val="auto"/>
        </w:rPr>
      </w:pPr>
      <w:r>
        <w:rPr>
          <w:rFonts w:ascii="Arial" w:cs="Arial" w:eastAsia="Arial" w:hAnsi="Arial"/>
          <w:sz w:val="16"/>
          <w:szCs w:val="16"/>
          <w:color w:val="auto"/>
        </w:rPr>
        <w:t>We intend to file with the SEC a registration statement on Form S-8 covering the additional shares requested under Amendment No. 2.</w:t>
      </w:r>
    </w:p>
    <w:p>
      <w:pPr>
        <w:spacing w:after="0" w:line="88" w:lineRule="exact"/>
        <w:rPr>
          <w:sz w:val="20"/>
          <w:szCs w:val="20"/>
          <w:color w:val="auto"/>
        </w:rPr>
      </w:pPr>
    </w:p>
    <w:p>
      <w:pPr>
        <w:ind w:right="59"/>
        <w:spacing w:after="0" w:line="295" w:lineRule="auto"/>
        <w:rPr>
          <w:sz w:val="20"/>
          <w:szCs w:val="20"/>
          <w:color w:val="auto"/>
        </w:rPr>
      </w:pPr>
      <w:r>
        <w:rPr>
          <w:rFonts w:ascii="Arial" w:cs="Arial" w:eastAsia="Arial" w:hAnsi="Arial"/>
          <w:sz w:val="16"/>
          <w:szCs w:val="16"/>
          <w:color w:val="auto"/>
        </w:rPr>
        <w:t>If our shareholders do not approve Amendment No. 2, the 2020 LTIP will remain in effect in accordance with its terms, subject to its existing expiration date, and eventually there will be insufficient shares available to grant new awards. This would impact the Company and our compensation programs as the Compensation Committee would no longer be able to use equity awards to attract, retain, and reward the talented employees we need to deliver long-term results to our shareholders.</w:t>
      </w:r>
    </w:p>
    <w:p>
      <w:pPr>
        <w:spacing w:after="0" w:line="200" w:lineRule="exact"/>
        <w:rPr>
          <w:sz w:val="20"/>
          <w:szCs w:val="20"/>
          <w:color w:val="auto"/>
        </w:rPr>
      </w:pPr>
    </w:p>
    <w:p>
      <w:pPr>
        <w:spacing w:after="0" w:line="276" w:lineRule="exact"/>
        <w:rPr>
          <w:sz w:val="20"/>
          <w:szCs w:val="20"/>
          <w:color w:val="auto"/>
        </w:rPr>
      </w:pPr>
    </w:p>
    <w:p>
      <w:pPr>
        <w:ind w:left="560" w:right="219"/>
        <w:spacing w:after="0" w:line="301" w:lineRule="auto"/>
        <w:rPr>
          <w:sz w:val="20"/>
          <w:szCs w:val="20"/>
          <w:color w:val="auto"/>
        </w:rPr>
      </w:pPr>
      <w:r>
        <w:rPr>
          <w:rFonts w:ascii="Arial" w:cs="Arial" w:eastAsia="Arial" w:hAnsi="Arial"/>
          <w:sz w:val="19"/>
          <w:szCs w:val="19"/>
          <w:color w:val="auto"/>
        </w:rPr>
        <w:t xml:space="preserve">The Board recommends a vote </w:t>
      </w:r>
      <w:r>
        <w:rPr>
          <w:rFonts w:ascii="Arial" w:cs="Arial" w:eastAsia="Arial" w:hAnsi="Arial"/>
          <w:sz w:val="19"/>
          <w:szCs w:val="19"/>
          <w:b w:val="1"/>
          <w:bCs w:val="1"/>
          <w:color w:val="0956FF"/>
        </w:rPr>
        <w:t>FOR</w:t>
      </w:r>
      <w:r>
        <w:rPr>
          <w:rFonts w:ascii="Arial" w:cs="Arial" w:eastAsia="Arial" w:hAnsi="Arial"/>
          <w:sz w:val="19"/>
          <w:szCs w:val="19"/>
          <w:color w:val="auto"/>
        </w:rPr>
        <w:t xml:space="preserve"> the approval of Amendment No. 2 to the Company’s 2020 Long-Term Incentive Plan to increase the number of shares available for issuance thereunder</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80</w:t>
      </w:r>
    </w:p>
    <w:p>
      <w:pPr>
        <w:sectPr>
          <w:pgSz w:w="11900" w:h="16838" w:orient="portrait"/>
          <w:cols w:equalWidth="0" w:num="1">
            <w:col w:w="9059"/>
          </w:cols>
          <w:pgMar w:left="1400" w:top="657" w:right="1440" w:bottom="1440" w:gutter="0" w:footer="0" w:header="0"/>
          <w:type w:val="continuous"/>
        </w:sectPr>
      </w:pPr>
    </w:p>
    <w:bookmarkStart w:id="87" w:name="page88"/>
    <w:bookmarkEnd w:id="87"/>
    <w:p>
      <w:pPr>
        <w:ind w:left="4300"/>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Key Features of the 2020 LTIP that Protect Shareholders’ Interests</w:t>
      </w:r>
    </w:p>
    <w:p>
      <w:pPr>
        <w:spacing w:after="0" w:line="95" w:lineRule="exact"/>
        <w:rPr>
          <w:sz w:val="20"/>
          <w:szCs w:val="20"/>
          <w:color w:val="auto"/>
        </w:rPr>
      </w:pPr>
    </w:p>
    <w:p>
      <w:pPr>
        <w:ind w:right="660"/>
        <w:spacing w:after="0" w:line="321" w:lineRule="auto"/>
        <w:rPr>
          <w:sz w:val="20"/>
          <w:szCs w:val="20"/>
          <w:color w:val="auto"/>
        </w:rPr>
      </w:pPr>
      <w:r>
        <w:rPr>
          <w:rFonts w:ascii="Arial" w:cs="Arial" w:eastAsia="Arial" w:hAnsi="Arial"/>
          <w:sz w:val="16"/>
          <w:szCs w:val="16"/>
          <w:color w:val="auto"/>
        </w:rPr>
        <w:t>The 2020 LTIP contains key features that protect shareholders’ interests and align to our compensation principles and practices discussed in the Compensation Discussion and Analysis:</w:t>
      </w:r>
    </w:p>
    <w:p>
      <w:pPr>
        <w:spacing w:after="0" w:line="88" w:lineRule="exact"/>
        <w:rPr>
          <w:sz w:val="20"/>
          <w:szCs w:val="20"/>
          <w:color w:val="auto"/>
        </w:rPr>
      </w:pPr>
    </w:p>
    <w:p>
      <w:pPr>
        <w:ind w:left="200" w:right="360" w:hanging="192"/>
        <w:spacing w:after="0" w:line="316" w:lineRule="auto"/>
        <w:tabs>
          <w:tab w:leader="none" w:pos="200" w:val="left"/>
        </w:tabs>
        <w:numPr>
          <w:ilvl w:val="0"/>
          <w:numId w:val="103"/>
        </w:numPr>
        <w:rPr>
          <w:rFonts w:ascii="Arial" w:cs="Arial" w:eastAsia="Arial" w:hAnsi="Arial"/>
          <w:sz w:val="16"/>
          <w:szCs w:val="16"/>
          <w:color w:val="0956FF"/>
        </w:rPr>
      </w:pPr>
      <w:r>
        <w:rPr>
          <w:rFonts w:ascii="Arial" w:cs="Arial" w:eastAsia="Arial" w:hAnsi="Arial"/>
          <w:sz w:val="16"/>
          <w:szCs w:val="16"/>
          <w:b w:val="1"/>
          <w:bCs w:val="1"/>
          <w:color w:val="auto"/>
        </w:rPr>
        <w:t xml:space="preserve">No “Evergreen” Provisions – </w:t>
      </w:r>
      <w:r>
        <w:rPr>
          <w:rFonts w:ascii="Arial" w:cs="Arial" w:eastAsia="Arial" w:hAnsi="Arial"/>
          <w:sz w:val="16"/>
          <w:szCs w:val="16"/>
          <w:color w:val="auto"/>
        </w:rPr>
        <w:t>The 2020 LTIP does not allow for automatic increases in the number of shares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w:t>
      </w:r>
    </w:p>
    <w:p>
      <w:pPr>
        <w:spacing w:after="0" w:line="1" w:lineRule="exact"/>
        <w:rPr>
          <w:rFonts w:ascii="Arial" w:cs="Arial" w:eastAsia="Arial" w:hAnsi="Arial"/>
          <w:sz w:val="16"/>
          <w:szCs w:val="16"/>
          <w:color w:val="0956FF"/>
        </w:rPr>
      </w:pPr>
    </w:p>
    <w:p>
      <w:pPr>
        <w:ind w:left="200" w:right="120" w:hanging="192"/>
        <w:spacing w:after="0" w:line="289" w:lineRule="auto"/>
        <w:tabs>
          <w:tab w:leader="none" w:pos="200" w:val="left"/>
        </w:tabs>
        <w:numPr>
          <w:ilvl w:val="0"/>
          <w:numId w:val="103"/>
        </w:numPr>
        <w:rPr>
          <w:rFonts w:ascii="Arial" w:cs="Arial" w:eastAsia="Arial" w:hAnsi="Arial"/>
          <w:sz w:val="16"/>
          <w:szCs w:val="16"/>
          <w:color w:val="0956FF"/>
        </w:rPr>
      </w:pPr>
      <w:r>
        <w:rPr>
          <w:rFonts w:ascii="Arial" w:cs="Arial" w:eastAsia="Arial" w:hAnsi="Arial"/>
          <w:sz w:val="16"/>
          <w:szCs w:val="16"/>
          <w:b w:val="1"/>
          <w:bCs w:val="1"/>
          <w:color w:val="auto"/>
        </w:rPr>
        <w:t>No Repricing of Stock Options or Stock Appreciation Rights (“SARs”) –</w:t>
      </w:r>
      <w:r>
        <w:rPr>
          <w:rFonts w:ascii="Arial" w:cs="Arial" w:eastAsia="Arial" w:hAnsi="Arial"/>
          <w:sz w:val="16"/>
          <w:szCs w:val="16"/>
          <w:color w:val="auto"/>
        </w:rPr>
        <w:t>The repricing of stock options or SARs,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action that has the effect of reducing the exercise price of stock options or SARs, including voluntary surrender and re-grant, or the exchange of underwater stock options or SARs for cash or any other security, is prohibited without shareholder approval (other than adjustments in connection with a corporate transaction or restructuring).</w:t>
      </w:r>
    </w:p>
    <w:p>
      <w:pPr>
        <w:spacing w:after="0" w:line="18" w:lineRule="exact"/>
        <w:rPr>
          <w:rFonts w:ascii="Arial" w:cs="Arial" w:eastAsia="Arial" w:hAnsi="Arial"/>
          <w:sz w:val="16"/>
          <w:szCs w:val="16"/>
          <w:color w:val="0956FF"/>
        </w:rPr>
      </w:pPr>
    </w:p>
    <w:p>
      <w:pPr>
        <w:ind w:left="200" w:right="240" w:hanging="192"/>
        <w:spacing w:after="0" w:line="316" w:lineRule="auto"/>
        <w:tabs>
          <w:tab w:leader="none" w:pos="200" w:val="left"/>
        </w:tabs>
        <w:numPr>
          <w:ilvl w:val="0"/>
          <w:numId w:val="103"/>
        </w:numPr>
        <w:rPr>
          <w:rFonts w:ascii="Arial" w:cs="Arial" w:eastAsia="Arial" w:hAnsi="Arial"/>
          <w:sz w:val="16"/>
          <w:szCs w:val="16"/>
          <w:color w:val="0956FF"/>
        </w:rPr>
      </w:pPr>
      <w:r>
        <w:rPr>
          <w:rFonts w:ascii="Arial" w:cs="Arial" w:eastAsia="Arial" w:hAnsi="Arial"/>
          <w:sz w:val="16"/>
          <w:szCs w:val="16"/>
          <w:b w:val="1"/>
          <w:bCs w:val="1"/>
          <w:color w:val="auto"/>
        </w:rPr>
        <w:t>No Discounted Stock Options or SARs –</w:t>
      </w:r>
      <w:r>
        <w:rPr>
          <w:rFonts w:ascii="Arial" w:cs="Arial" w:eastAsia="Arial" w:hAnsi="Arial"/>
          <w:sz w:val="16"/>
          <w:szCs w:val="16"/>
          <w:color w:val="auto"/>
        </w:rPr>
        <w:t>The 2020 LTIP prohibits granting stock options or SARs with an exercise price</w:t>
      </w:r>
      <w:r>
        <w:rPr>
          <w:rFonts w:ascii="Arial" w:cs="Arial" w:eastAsia="Arial" w:hAnsi="Arial"/>
          <w:sz w:val="16"/>
          <w:szCs w:val="16"/>
          <w:b w:val="1"/>
          <w:bCs w:val="1"/>
          <w:color w:val="auto"/>
        </w:rPr>
        <w:t xml:space="preserve"> </w:t>
      </w:r>
      <w:r>
        <w:rPr>
          <w:rFonts w:ascii="Arial" w:cs="Arial" w:eastAsia="Arial" w:hAnsi="Arial"/>
          <w:sz w:val="16"/>
          <w:szCs w:val="16"/>
          <w:color w:val="auto"/>
        </w:rPr>
        <w:t>less than the fair market value of GM common stock on the date of grant.</w:t>
      </w:r>
    </w:p>
    <w:p>
      <w:pPr>
        <w:spacing w:after="0" w:line="1" w:lineRule="exact"/>
        <w:rPr>
          <w:rFonts w:ascii="Arial" w:cs="Arial" w:eastAsia="Arial" w:hAnsi="Arial"/>
          <w:sz w:val="16"/>
          <w:szCs w:val="16"/>
          <w:color w:val="0956FF"/>
        </w:rPr>
      </w:pPr>
    </w:p>
    <w:p>
      <w:pPr>
        <w:ind w:left="200" w:right="160" w:hanging="192"/>
        <w:spacing w:after="0" w:line="301" w:lineRule="auto"/>
        <w:tabs>
          <w:tab w:leader="none" w:pos="200" w:val="left"/>
        </w:tabs>
        <w:numPr>
          <w:ilvl w:val="0"/>
          <w:numId w:val="103"/>
        </w:numPr>
        <w:rPr>
          <w:rFonts w:ascii="Arial" w:cs="Arial" w:eastAsia="Arial" w:hAnsi="Arial"/>
          <w:sz w:val="16"/>
          <w:szCs w:val="16"/>
          <w:color w:val="0956FF"/>
        </w:rPr>
      </w:pPr>
      <w:r>
        <w:rPr>
          <w:rFonts w:ascii="Arial" w:cs="Arial" w:eastAsia="Arial" w:hAnsi="Arial"/>
          <w:sz w:val="16"/>
          <w:szCs w:val="16"/>
          <w:b w:val="1"/>
          <w:bCs w:val="1"/>
          <w:color w:val="auto"/>
        </w:rPr>
        <w:t>No Recycling of Shares –</w:t>
      </w:r>
      <w:r>
        <w:rPr>
          <w:rFonts w:ascii="Arial" w:cs="Arial" w:eastAsia="Arial" w:hAnsi="Arial"/>
          <w:sz w:val="16"/>
          <w:szCs w:val="16"/>
          <w:color w:val="auto"/>
        </w:rPr>
        <w:t>Shares surrendered or withheld in payment for any grant, purchase, exercise price of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or taxes related to an award, and shares repurchased in the open market using stock option proceeds will not again become available for grant.</w:t>
      </w:r>
    </w:p>
    <w:p>
      <w:pPr>
        <w:spacing w:after="0" w:line="9" w:lineRule="exact"/>
        <w:rPr>
          <w:rFonts w:ascii="Arial" w:cs="Arial" w:eastAsia="Arial" w:hAnsi="Arial"/>
          <w:sz w:val="16"/>
          <w:szCs w:val="16"/>
          <w:color w:val="0956FF"/>
        </w:rPr>
      </w:pPr>
    </w:p>
    <w:p>
      <w:pPr>
        <w:ind w:left="200" w:right="60" w:hanging="192"/>
        <w:spacing w:after="0" w:line="301" w:lineRule="auto"/>
        <w:tabs>
          <w:tab w:leader="none" w:pos="200" w:val="left"/>
        </w:tabs>
        <w:numPr>
          <w:ilvl w:val="0"/>
          <w:numId w:val="103"/>
        </w:numPr>
        <w:rPr>
          <w:rFonts w:ascii="Arial" w:cs="Arial" w:eastAsia="Arial" w:hAnsi="Arial"/>
          <w:sz w:val="16"/>
          <w:szCs w:val="16"/>
          <w:color w:val="0956FF"/>
        </w:rPr>
      </w:pPr>
      <w:r>
        <w:rPr>
          <w:rFonts w:ascii="Arial" w:cs="Arial" w:eastAsia="Arial" w:hAnsi="Arial"/>
          <w:sz w:val="16"/>
          <w:szCs w:val="16"/>
          <w:b w:val="1"/>
          <w:bCs w:val="1"/>
          <w:color w:val="auto"/>
        </w:rPr>
        <w:t>No Payment of Dividend Equivalents until Awards are Earned –</w:t>
      </w:r>
      <w:r>
        <w:rPr>
          <w:rFonts w:ascii="Arial" w:cs="Arial" w:eastAsia="Arial" w:hAnsi="Arial"/>
          <w:sz w:val="16"/>
          <w:szCs w:val="16"/>
          <w:color w:val="auto"/>
        </w:rPr>
        <w:t>Restricted stock, RSUs, performance awards,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stock-based awards will only receive dividend equivalent payments once awards are earned and settled. Stock options and SARs are generally not eligible for dividend equivalents.</w:t>
      </w:r>
    </w:p>
    <w:p>
      <w:pPr>
        <w:spacing w:after="0" w:line="9" w:lineRule="exact"/>
        <w:rPr>
          <w:rFonts w:ascii="Arial" w:cs="Arial" w:eastAsia="Arial" w:hAnsi="Arial"/>
          <w:sz w:val="16"/>
          <w:szCs w:val="16"/>
          <w:color w:val="0956FF"/>
        </w:rPr>
      </w:pPr>
    </w:p>
    <w:p>
      <w:pPr>
        <w:ind w:left="200" w:right="300" w:hanging="192"/>
        <w:spacing w:after="0" w:line="301" w:lineRule="auto"/>
        <w:tabs>
          <w:tab w:leader="none" w:pos="200" w:val="left"/>
        </w:tabs>
        <w:numPr>
          <w:ilvl w:val="0"/>
          <w:numId w:val="103"/>
        </w:numPr>
        <w:rPr>
          <w:rFonts w:ascii="Arial" w:cs="Arial" w:eastAsia="Arial" w:hAnsi="Arial"/>
          <w:sz w:val="16"/>
          <w:szCs w:val="16"/>
          <w:color w:val="0956FF"/>
        </w:rPr>
      </w:pPr>
      <w:r>
        <w:rPr>
          <w:rFonts w:ascii="Arial" w:cs="Arial" w:eastAsia="Arial" w:hAnsi="Arial"/>
          <w:sz w:val="16"/>
          <w:szCs w:val="16"/>
          <w:b w:val="1"/>
          <w:bCs w:val="1"/>
          <w:color w:val="auto"/>
        </w:rPr>
        <w:t xml:space="preserve">Minimum Vesting Periods – </w:t>
      </w:r>
      <w:r>
        <w:rPr>
          <w:rFonts w:ascii="Arial" w:cs="Arial" w:eastAsia="Arial" w:hAnsi="Arial"/>
          <w:sz w:val="16"/>
          <w:szCs w:val="16"/>
          <w:color w:val="auto"/>
        </w:rPr>
        <w:t>Generally, no stock options or SARs will vest prior to the first anniversary of the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 Restricted stock, RSUs, and performance awards will generally vest over a period of not less than three years from the vesting commencement date.</w:t>
      </w:r>
    </w:p>
    <w:p>
      <w:pPr>
        <w:spacing w:after="0" w:line="9" w:lineRule="exact"/>
        <w:rPr>
          <w:rFonts w:ascii="Arial" w:cs="Arial" w:eastAsia="Arial" w:hAnsi="Arial"/>
          <w:sz w:val="16"/>
          <w:szCs w:val="16"/>
          <w:color w:val="0956FF"/>
        </w:rPr>
      </w:pPr>
    </w:p>
    <w:p>
      <w:pPr>
        <w:ind w:left="200" w:right="140" w:hanging="192"/>
        <w:spacing w:after="0" w:line="301" w:lineRule="auto"/>
        <w:tabs>
          <w:tab w:leader="none" w:pos="200" w:val="left"/>
        </w:tabs>
        <w:numPr>
          <w:ilvl w:val="0"/>
          <w:numId w:val="103"/>
        </w:numPr>
        <w:rPr>
          <w:rFonts w:ascii="Arial" w:cs="Arial" w:eastAsia="Arial" w:hAnsi="Arial"/>
          <w:sz w:val="16"/>
          <w:szCs w:val="16"/>
          <w:color w:val="0956FF"/>
        </w:rPr>
      </w:pPr>
      <w:r>
        <w:rPr>
          <w:rFonts w:ascii="Arial" w:cs="Arial" w:eastAsia="Arial" w:hAnsi="Arial"/>
          <w:sz w:val="16"/>
          <w:szCs w:val="16"/>
          <w:b w:val="1"/>
          <w:bCs w:val="1"/>
          <w:color w:val="auto"/>
        </w:rPr>
        <w:t xml:space="preserve">Double-Trigger Change in Control – </w:t>
      </w:r>
      <w:r>
        <w:rPr>
          <w:rFonts w:ascii="Arial" w:cs="Arial" w:eastAsia="Arial" w:hAnsi="Arial"/>
          <w:sz w:val="16"/>
          <w:szCs w:val="16"/>
          <w:color w:val="auto"/>
        </w:rPr>
        <w:t>Awards that are continued or converted into similar awards of the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not accelerate vesting based solely on a change in control, and gross-ups are not provided to cover personal income taxes or excise taxes.</w:t>
      </w:r>
    </w:p>
    <w:p>
      <w:pPr>
        <w:spacing w:after="0" w:line="9" w:lineRule="exact"/>
        <w:rPr>
          <w:rFonts w:ascii="Arial" w:cs="Arial" w:eastAsia="Arial" w:hAnsi="Arial"/>
          <w:sz w:val="16"/>
          <w:szCs w:val="16"/>
          <w:color w:val="0956FF"/>
        </w:rPr>
      </w:pPr>
    </w:p>
    <w:p>
      <w:pPr>
        <w:ind w:left="200" w:right="460" w:hanging="192"/>
        <w:spacing w:after="0" w:line="301" w:lineRule="auto"/>
        <w:tabs>
          <w:tab w:leader="none" w:pos="200" w:val="left"/>
        </w:tabs>
        <w:numPr>
          <w:ilvl w:val="0"/>
          <w:numId w:val="103"/>
        </w:numPr>
        <w:rPr>
          <w:rFonts w:ascii="Arial" w:cs="Arial" w:eastAsia="Arial" w:hAnsi="Arial"/>
          <w:sz w:val="16"/>
          <w:szCs w:val="16"/>
          <w:color w:val="0956FF"/>
        </w:rPr>
      </w:pPr>
      <w:r>
        <w:rPr>
          <w:rFonts w:ascii="Arial" w:cs="Arial" w:eastAsia="Arial" w:hAnsi="Arial"/>
          <w:sz w:val="16"/>
          <w:szCs w:val="16"/>
          <w:b w:val="1"/>
          <w:bCs w:val="1"/>
          <w:color w:val="auto"/>
        </w:rPr>
        <w:t xml:space="preserve">Clawback / Recoupment – </w:t>
      </w:r>
      <w:r>
        <w:rPr>
          <w:rFonts w:ascii="Arial" w:cs="Arial" w:eastAsia="Arial" w:hAnsi="Arial"/>
          <w:sz w:val="16"/>
          <w:szCs w:val="16"/>
          <w:color w:val="auto"/>
        </w:rPr>
        <w:t>In order to align incentives with the interests of shareholders and further encourage</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decision making on the part of our executives, any awards granted under the 2020 LTIP are subject to the Company’s clawback and cancellation policies.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Eligibility and Participation under the 2020 LTIP</w:t>
      </w:r>
    </w:p>
    <w:p>
      <w:pPr>
        <w:spacing w:after="0" w:line="95"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All employees (approximately 155,000 as of December 31, 2025) are eligible to receive awards under the 2020 LTIP. Our past practice has typically been to grant equity awards to our executive population (which includes our seven executive officers) and represents approximately 1% of our global workforce. Going forward, we anticipate granting equity awards to select non-executive employees with certain technical skills in key areas as we pursue our strategic priorities.</w:t>
      </w:r>
    </w:p>
    <w:p>
      <w:pPr>
        <w:spacing w:after="0" w:line="9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Ten non-employee directors are eligible to receive awards under the 2020 LTIP, subject to an annual limit of $750,000 per director for awards granted plus cash fees paid for service as a member of the Board. No awards have previously been granted nor are planned at this time for our non-employee directors. The 2020 LTIP also allows awards to be granted to certain Company consultants and advisors, although none have received awards in the past nor are they expected to receive them in the future.</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02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81</w:t>
      </w:r>
    </w:p>
    <w:p>
      <w:pPr>
        <w:sectPr>
          <w:pgSz w:w="11900" w:h="16838" w:orient="portrait"/>
          <w:cols w:equalWidth="0" w:num="1">
            <w:col w:w="9100"/>
          </w:cols>
          <w:pgMar w:left="1400" w:top="657" w:right="139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Potential Equity Dilution and Historical Annual Share Usage</w:t>
      </w:r>
    </w:p>
    <w:p>
      <w:pPr>
        <w:spacing w:after="0" w:line="95"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While equity awards are an important part of our performance-based compensation programs, we are mindful of the dilution impact on our shareholders and our responsibility to exercise judgment in granting these awards. The table below provides a summary of outstanding awards and shares available as of December 31, 2025 and February 28, 2026.</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shd w:val="clear" w:color="auto" w:fill="ECEBEB"/>
          </w:tcPr>
          <w:p>
            <w:pPr>
              <w:spacing w:after="0"/>
              <w:rPr>
                <w:sz w:val="20"/>
                <w:szCs w:val="20"/>
                <w:color w:val="auto"/>
              </w:rPr>
            </w:pPr>
          </w:p>
        </w:tc>
        <w:tc>
          <w:tcPr>
            <w:tcW w:w="1020" w:type="dxa"/>
            <w:vAlign w:val="bottom"/>
            <w:shd w:val="clear" w:color="auto" w:fill="ECEBEB"/>
          </w:tcPr>
          <w:p>
            <w:pPr>
              <w:spacing w:after="0"/>
              <w:rPr>
                <w:sz w:val="20"/>
                <w:szCs w:val="20"/>
                <w:color w:val="auto"/>
              </w:rPr>
            </w:pPr>
          </w:p>
        </w:tc>
        <w:tc>
          <w:tcPr>
            <w:tcW w:w="1160" w:type="dxa"/>
            <w:vAlign w:val="bottom"/>
            <w:shd w:val="clear" w:color="auto" w:fill="ECEBEB"/>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420" w:type="dxa"/>
            <w:vAlign w:val="bottom"/>
            <w:shd w:val="clear" w:color="auto" w:fill="ECEBEB"/>
          </w:tcPr>
          <w:p>
            <w:pPr>
              <w:spacing w:after="0"/>
              <w:rPr>
                <w:sz w:val="20"/>
                <w:szCs w:val="20"/>
                <w:color w:val="auto"/>
              </w:rPr>
            </w:pPr>
          </w:p>
        </w:tc>
        <w:tc>
          <w:tcPr>
            <w:tcW w:w="102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As of</w:t>
            </w:r>
          </w:p>
        </w:tc>
      </w:tr>
      <w:tr>
        <w:trPr>
          <w:trHeight w:val="185"/>
        </w:trPr>
        <w:tc>
          <w:tcPr>
            <w:tcW w:w="5460" w:type="dxa"/>
            <w:vAlign w:val="bottom"/>
            <w:tcBorders>
              <w:bottom w:val="single" w:sz="8" w:color="0956FF"/>
            </w:tcBorders>
            <w:shd w:val="clear" w:color="auto" w:fill="ECEBEB"/>
          </w:tcPr>
          <w:p>
            <w:pPr>
              <w:spacing w:after="0"/>
              <w:rPr>
                <w:sz w:val="16"/>
                <w:szCs w:val="16"/>
                <w:color w:val="auto"/>
              </w:rPr>
            </w:pPr>
          </w:p>
        </w:tc>
        <w:tc>
          <w:tcPr>
            <w:tcW w:w="2180" w:type="dxa"/>
            <w:vAlign w:val="bottom"/>
            <w:tcBorders>
              <w:bottom w:val="single" w:sz="8" w:color="0956FF"/>
            </w:tcBorders>
            <w:gridSpan w:val="2"/>
            <w:shd w:val="clear" w:color="auto" w:fill="ECEBEB"/>
          </w:tcPr>
          <w:p>
            <w:pPr>
              <w:jc w:val="right"/>
              <w:ind w:right="100"/>
              <w:spacing w:after="0"/>
              <w:rPr>
                <w:sz w:val="20"/>
                <w:szCs w:val="20"/>
                <w:color w:val="auto"/>
              </w:rPr>
            </w:pPr>
            <w:r>
              <w:rPr>
                <w:rFonts w:ascii="Arial" w:cs="Arial" w:eastAsia="Arial" w:hAnsi="Arial"/>
                <w:sz w:val="14"/>
                <w:szCs w:val="14"/>
                <w:b w:val="1"/>
                <w:bCs w:val="1"/>
                <w:color w:val="auto"/>
              </w:rPr>
              <w:t>December 31, 2025</w:t>
            </w:r>
          </w:p>
        </w:tc>
        <w:tc>
          <w:tcPr>
            <w:tcW w:w="1440" w:type="dxa"/>
            <w:vAlign w:val="bottom"/>
            <w:tcBorders>
              <w:bottom w:val="single" w:sz="8" w:color="0956FF"/>
            </w:tcBorders>
            <w:gridSpan w:val="2"/>
            <w:shd w:val="clear" w:color="auto" w:fill="ECEBEB"/>
          </w:tcPr>
          <w:p>
            <w:pPr>
              <w:jc w:val="right"/>
              <w:ind w:right="20"/>
              <w:spacing w:after="0"/>
              <w:rPr>
                <w:sz w:val="20"/>
                <w:szCs w:val="20"/>
                <w:color w:val="auto"/>
              </w:rPr>
            </w:pPr>
            <w:r>
              <w:rPr>
                <w:rFonts w:ascii="Arial" w:cs="Arial" w:eastAsia="Arial" w:hAnsi="Arial"/>
                <w:sz w:val="14"/>
                <w:szCs w:val="14"/>
                <w:b w:val="1"/>
                <w:bCs w:val="1"/>
                <w:color w:val="auto"/>
              </w:rPr>
              <w:t>February 28, 2026</w:t>
            </w:r>
          </w:p>
        </w:tc>
      </w:tr>
      <w:tr>
        <w:trPr>
          <w:trHeight w:val="249"/>
        </w:trPr>
        <w:tc>
          <w:tcPr>
            <w:tcW w:w="54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Outstanding Stock Options under the Plans</w:t>
            </w:r>
          </w:p>
        </w:tc>
        <w:tc>
          <w:tcPr>
            <w:tcW w:w="1020" w:type="dxa"/>
            <w:vAlign w:val="bottom"/>
            <w:tcBorders>
              <w:bottom w:val="single" w:sz="8" w:color="D8D7D7"/>
            </w:tcBorders>
          </w:tcPr>
          <w:p>
            <w:pPr>
              <w:spacing w:after="0"/>
              <w:rPr>
                <w:sz w:val="21"/>
                <w:szCs w:val="21"/>
                <w:color w:val="auto"/>
              </w:rPr>
            </w:pPr>
          </w:p>
        </w:tc>
        <w:tc>
          <w:tcPr>
            <w:tcW w:w="1160" w:type="dxa"/>
            <w:vAlign w:val="bottom"/>
            <w:tcBorders>
              <w:bottom w:val="single" w:sz="8" w:color="D8D7D7"/>
            </w:tcBorders>
          </w:tcPr>
          <w:p>
            <w:pPr>
              <w:ind w:left="160"/>
              <w:spacing w:after="0"/>
              <w:rPr>
                <w:sz w:val="20"/>
                <w:szCs w:val="20"/>
                <w:color w:val="auto"/>
              </w:rPr>
            </w:pPr>
            <w:r>
              <w:rPr>
                <w:rFonts w:ascii="Arial" w:cs="Arial" w:eastAsia="Arial" w:hAnsi="Arial"/>
                <w:sz w:val="16"/>
                <w:szCs w:val="16"/>
                <w:color w:val="auto"/>
              </w:rPr>
              <w:t>5,400,000</w:t>
            </w:r>
          </w:p>
        </w:tc>
        <w:tc>
          <w:tcPr>
            <w:tcW w:w="420" w:type="dxa"/>
            <w:vAlign w:val="bottom"/>
            <w:tcBorders>
              <w:bottom w:val="single" w:sz="8" w:color="D8D7D7"/>
            </w:tcBorders>
          </w:tcPr>
          <w:p>
            <w:pPr>
              <w:spacing w:after="0"/>
              <w:rPr>
                <w:sz w:val="21"/>
                <w:szCs w:val="21"/>
                <w:color w:val="auto"/>
              </w:rPr>
            </w:pPr>
          </w:p>
        </w:tc>
        <w:tc>
          <w:tcPr>
            <w:tcW w:w="102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4,200,000</w:t>
            </w:r>
          </w:p>
        </w:tc>
      </w:tr>
      <w:tr>
        <w:trPr>
          <w:trHeight w:val="250"/>
        </w:trPr>
        <w:tc>
          <w:tcPr>
            <w:tcW w:w="5460" w:type="dxa"/>
            <w:vAlign w:val="bottom"/>
            <w:tcBorders>
              <w:bottom w:val="single" w:sz="8" w:color="D8D7D7"/>
            </w:tcBorders>
          </w:tcPr>
          <w:p>
            <w:pPr>
              <w:ind w:left="320"/>
              <w:spacing w:after="0"/>
              <w:rPr>
                <w:sz w:val="20"/>
                <w:szCs w:val="20"/>
                <w:color w:val="auto"/>
              </w:rPr>
            </w:pPr>
            <w:r>
              <w:rPr>
                <w:rFonts w:ascii="Arial" w:cs="Arial" w:eastAsia="Arial" w:hAnsi="Arial"/>
                <w:sz w:val="16"/>
                <w:szCs w:val="16"/>
                <w:i w:val="1"/>
                <w:iCs w:val="1"/>
                <w:color w:val="auto"/>
              </w:rPr>
              <w:t>Vested and Unexercised</w:t>
            </w:r>
          </w:p>
        </w:tc>
        <w:tc>
          <w:tcPr>
            <w:tcW w:w="1020" w:type="dxa"/>
            <w:vAlign w:val="bottom"/>
            <w:tcBorders>
              <w:bottom w:val="single" w:sz="8" w:color="D8D7D7"/>
            </w:tcBorders>
          </w:tcPr>
          <w:p>
            <w:pPr>
              <w:spacing w:after="0"/>
              <w:rPr>
                <w:sz w:val="21"/>
                <w:szCs w:val="21"/>
                <w:color w:val="auto"/>
              </w:rPr>
            </w:pPr>
          </w:p>
        </w:tc>
        <w:tc>
          <w:tcPr>
            <w:tcW w:w="1160" w:type="dxa"/>
            <w:vAlign w:val="bottom"/>
            <w:tcBorders>
              <w:bottom w:val="single" w:sz="8" w:color="D8D7D7"/>
            </w:tcBorders>
          </w:tcPr>
          <w:p>
            <w:pPr>
              <w:jc w:val="right"/>
              <w:ind w:right="140"/>
              <w:spacing w:after="0"/>
              <w:rPr>
                <w:sz w:val="20"/>
                <w:szCs w:val="20"/>
                <w:color w:val="auto"/>
              </w:rPr>
            </w:pPr>
            <w:r>
              <w:rPr>
                <w:rFonts w:ascii="Arial" w:cs="Arial" w:eastAsia="Arial" w:hAnsi="Arial"/>
                <w:sz w:val="16"/>
                <w:szCs w:val="16"/>
                <w:i w:val="1"/>
                <w:iCs w:val="1"/>
                <w:color w:val="auto"/>
              </w:rPr>
              <w:t>4,300,000</w:t>
            </w:r>
          </w:p>
        </w:tc>
        <w:tc>
          <w:tcPr>
            <w:tcW w:w="420" w:type="dxa"/>
            <w:vAlign w:val="bottom"/>
            <w:tcBorders>
              <w:bottom w:val="single" w:sz="8" w:color="D8D7D7"/>
            </w:tcBorders>
          </w:tcPr>
          <w:p>
            <w:pPr>
              <w:spacing w:after="0"/>
              <w:rPr>
                <w:sz w:val="21"/>
                <w:szCs w:val="21"/>
                <w:color w:val="auto"/>
              </w:rPr>
            </w:pPr>
          </w:p>
        </w:tc>
        <w:tc>
          <w:tcPr>
            <w:tcW w:w="102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i w:val="1"/>
                <w:iCs w:val="1"/>
                <w:color w:val="auto"/>
              </w:rPr>
              <w:t>4,200,000</w:t>
            </w:r>
          </w:p>
        </w:tc>
      </w:tr>
      <w:tr>
        <w:trPr>
          <w:trHeight w:val="250"/>
        </w:trPr>
        <w:tc>
          <w:tcPr>
            <w:tcW w:w="5460" w:type="dxa"/>
            <w:vAlign w:val="bottom"/>
            <w:tcBorders>
              <w:bottom w:val="single" w:sz="8" w:color="D8D7D7"/>
            </w:tcBorders>
          </w:tcPr>
          <w:p>
            <w:pPr>
              <w:ind w:left="320"/>
              <w:spacing w:after="0"/>
              <w:rPr>
                <w:sz w:val="20"/>
                <w:szCs w:val="20"/>
                <w:color w:val="auto"/>
              </w:rPr>
            </w:pPr>
            <w:r>
              <w:rPr>
                <w:rFonts w:ascii="Arial" w:cs="Arial" w:eastAsia="Arial" w:hAnsi="Arial"/>
                <w:sz w:val="16"/>
                <w:szCs w:val="16"/>
                <w:i w:val="1"/>
                <w:iCs w:val="1"/>
                <w:color w:val="auto"/>
              </w:rPr>
              <w:t>Unvested</w:t>
            </w:r>
          </w:p>
        </w:tc>
        <w:tc>
          <w:tcPr>
            <w:tcW w:w="1020" w:type="dxa"/>
            <w:vAlign w:val="bottom"/>
            <w:tcBorders>
              <w:bottom w:val="single" w:sz="8" w:color="D8D7D7"/>
            </w:tcBorders>
          </w:tcPr>
          <w:p>
            <w:pPr>
              <w:spacing w:after="0"/>
              <w:rPr>
                <w:sz w:val="21"/>
                <w:szCs w:val="21"/>
                <w:color w:val="auto"/>
              </w:rPr>
            </w:pPr>
          </w:p>
        </w:tc>
        <w:tc>
          <w:tcPr>
            <w:tcW w:w="116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i w:val="1"/>
                <w:iCs w:val="1"/>
                <w:color w:val="auto"/>
              </w:rPr>
              <w:t>1,100,000</w:t>
            </w:r>
          </w:p>
        </w:tc>
        <w:tc>
          <w:tcPr>
            <w:tcW w:w="420" w:type="dxa"/>
            <w:vAlign w:val="bottom"/>
            <w:tcBorders>
              <w:bottom w:val="single" w:sz="8" w:color="D8D7D7"/>
            </w:tcBorders>
          </w:tcPr>
          <w:p>
            <w:pPr>
              <w:spacing w:after="0"/>
              <w:rPr>
                <w:sz w:val="21"/>
                <w:szCs w:val="21"/>
                <w:color w:val="auto"/>
              </w:rPr>
            </w:pPr>
          </w:p>
        </w:tc>
        <w:tc>
          <w:tcPr>
            <w:tcW w:w="1020" w:type="dxa"/>
            <w:vAlign w:val="bottom"/>
            <w:tcBorders>
              <w:bottom w:val="single" w:sz="8" w:color="D8D7D7"/>
            </w:tcBorders>
          </w:tcPr>
          <w:p>
            <w:pPr>
              <w:jc w:val="right"/>
              <w:spacing w:after="0"/>
              <w:rPr>
                <w:sz w:val="20"/>
                <w:szCs w:val="20"/>
                <w:color w:val="auto"/>
              </w:rPr>
            </w:pPr>
            <w:r>
              <w:rPr>
                <w:rFonts w:ascii="Arial" w:cs="Arial" w:eastAsia="Arial" w:hAnsi="Arial"/>
                <w:sz w:val="16"/>
                <w:szCs w:val="16"/>
                <w:i w:val="1"/>
                <w:iCs w:val="1"/>
                <w:color w:val="auto"/>
              </w:rPr>
              <w:t>0</w:t>
            </w:r>
          </w:p>
        </w:tc>
      </w:tr>
      <w:tr>
        <w:trPr>
          <w:trHeight w:val="250"/>
        </w:trPr>
        <w:tc>
          <w:tcPr>
            <w:tcW w:w="54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Weighted Average Exercise Price of Outstanding Stock Options</w:t>
            </w:r>
          </w:p>
        </w:tc>
        <w:tc>
          <w:tcPr>
            <w:tcW w:w="10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8D7D7"/>
            </w:tcBorders>
          </w:tcPr>
          <w:p>
            <w:pPr>
              <w:jc w:val="right"/>
              <w:ind w:right="140"/>
              <w:spacing w:after="0"/>
              <w:rPr>
                <w:sz w:val="20"/>
                <w:szCs w:val="20"/>
                <w:color w:val="auto"/>
              </w:rPr>
            </w:pPr>
            <w:r>
              <w:rPr>
                <w:rFonts w:ascii="Arial" w:cs="Arial" w:eastAsia="Arial" w:hAnsi="Arial"/>
                <w:sz w:val="16"/>
                <w:szCs w:val="16"/>
                <w:color w:val="auto"/>
              </w:rPr>
              <w:t>43.66</w:t>
            </w:r>
          </w:p>
        </w:tc>
        <w:tc>
          <w:tcPr>
            <w:tcW w:w="4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43.92</w:t>
            </w:r>
          </w:p>
        </w:tc>
      </w:tr>
      <w:tr>
        <w:trPr>
          <w:trHeight w:val="250"/>
        </w:trPr>
        <w:tc>
          <w:tcPr>
            <w:tcW w:w="54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Weighted Average Remaining Term of Outstanding Stock Options</w:t>
            </w:r>
          </w:p>
        </w:tc>
        <w:tc>
          <w:tcPr>
            <w:tcW w:w="1020" w:type="dxa"/>
            <w:vAlign w:val="bottom"/>
            <w:tcBorders>
              <w:bottom w:val="single" w:sz="8" w:color="D8D7D7"/>
            </w:tcBorders>
          </w:tcPr>
          <w:p>
            <w:pPr>
              <w:spacing w:after="0"/>
              <w:rPr>
                <w:sz w:val="21"/>
                <w:szCs w:val="21"/>
                <w:color w:val="auto"/>
              </w:rPr>
            </w:pPr>
          </w:p>
        </w:tc>
        <w:tc>
          <w:tcPr>
            <w:tcW w:w="1160" w:type="dxa"/>
            <w:vAlign w:val="bottom"/>
            <w:tcBorders>
              <w:bottom w:val="single" w:sz="8" w:color="D8D7D7"/>
            </w:tcBorders>
          </w:tcPr>
          <w:p>
            <w:pPr>
              <w:jc w:val="right"/>
              <w:ind w:right="120"/>
              <w:spacing w:after="0"/>
              <w:rPr>
                <w:sz w:val="20"/>
                <w:szCs w:val="20"/>
                <w:color w:val="auto"/>
              </w:rPr>
            </w:pPr>
            <w:r>
              <w:rPr>
                <w:rFonts w:ascii="Arial" w:cs="Arial" w:eastAsia="Arial" w:hAnsi="Arial"/>
                <w:sz w:val="16"/>
                <w:szCs w:val="16"/>
                <w:color w:val="auto"/>
              </w:rPr>
              <w:t>5.65</w:t>
            </w:r>
          </w:p>
        </w:tc>
        <w:tc>
          <w:tcPr>
            <w:tcW w:w="420" w:type="dxa"/>
            <w:vAlign w:val="bottom"/>
            <w:tcBorders>
              <w:bottom w:val="single" w:sz="8" w:color="D8D7D7"/>
            </w:tcBorders>
          </w:tcPr>
          <w:p>
            <w:pPr>
              <w:spacing w:after="0"/>
              <w:rPr>
                <w:sz w:val="21"/>
                <w:szCs w:val="21"/>
                <w:color w:val="auto"/>
              </w:rPr>
            </w:pPr>
          </w:p>
        </w:tc>
        <w:tc>
          <w:tcPr>
            <w:tcW w:w="102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5.49</w:t>
            </w:r>
          </w:p>
        </w:tc>
      </w:tr>
      <w:tr>
        <w:trPr>
          <w:trHeight w:val="250"/>
        </w:trPr>
        <w:tc>
          <w:tcPr>
            <w:tcW w:w="54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Outstanding Full Value Awards under the Plans</w:t>
            </w:r>
          </w:p>
        </w:tc>
        <w:tc>
          <w:tcPr>
            <w:tcW w:w="1020" w:type="dxa"/>
            <w:vAlign w:val="bottom"/>
            <w:tcBorders>
              <w:bottom w:val="single" w:sz="8" w:color="D8D7D7"/>
            </w:tcBorders>
          </w:tcPr>
          <w:p>
            <w:pPr>
              <w:spacing w:after="0"/>
              <w:rPr>
                <w:sz w:val="21"/>
                <w:szCs w:val="21"/>
                <w:color w:val="auto"/>
              </w:rPr>
            </w:pPr>
          </w:p>
        </w:tc>
        <w:tc>
          <w:tcPr>
            <w:tcW w:w="1160" w:type="dxa"/>
            <w:vAlign w:val="bottom"/>
            <w:tcBorders>
              <w:bottom w:val="single" w:sz="8" w:color="D8D7D7"/>
            </w:tcBorders>
          </w:tcPr>
          <w:p>
            <w:pPr>
              <w:jc w:val="right"/>
              <w:ind w:right="160"/>
              <w:spacing w:after="0"/>
              <w:rPr>
                <w:sz w:val="20"/>
                <w:szCs w:val="20"/>
                <w:color w:val="auto"/>
              </w:rPr>
            </w:pPr>
            <w:r>
              <w:rPr>
                <w:rFonts w:ascii="Arial" w:cs="Arial" w:eastAsia="Arial" w:hAnsi="Arial"/>
                <w:sz w:val="16"/>
                <w:szCs w:val="16"/>
                <w:color w:val="auto"/>
              </w:rPr>
              <w:t>19,200,000</w:t>
            </w:r>
          </w:p>
        </w:tc>
        <w:tc>
          <w:tcPr>
            <w:tcW w:w="420" w:type="dxa"/>
            <w:vAlign w:val="bottom"/>
            <w:tcBorders>
              <w:bottom w:val="single" w:sz="8" w:color="D8D7D7"/>
            </w:tcBorders>
          </w:tcPr>
          <w:p>
            <w:pPr>
              <w:spacing w:after="0"/>
              <w:rPr>
                <w:sz w:val="21"/>
                <w:szCs w:val="21"/>
                <w:color w:val="auto"/>
              </w:rPr>
            </w:pPr>
          </w:p>
        </w:tc>
        <w:tc>
          <w:tcPr>
            <w:tcW w:w="102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16,200,000</w:t>
            </w:r>
          </w:p>
        </w:tc>
      </w:tr>
      <w:tr>
        <w:trPr>
          <w:trHeight w:val="250"/>
        </w:trPr>
        <w:tc>
          <w:tcPr>
            <w:tcW w:w="5460" w:type="dxa"/>
            <w:vAlign w:val="bottom"/>
            <w:tcBorders>
              <w:bottom w:val="single" w:sz="8" w:color="D8D7D7"/>
            </w:tcBorders>
          </w:tcPr>
          <w:p>
            <w:pPr>
              <w:ind w:left="320"/>
              <w:spacing w:after="0"/>
              <w:rPr>
                <w:sz w:val="20"/>
                <w:szCs w:val="20"/>
                <w:color w:val="auto"/>
              </w:rPr>
            </w:pPr>
            <w:r>
              <w:rPr>
                <w:rFonts w:ascii="Arial" w:cs="Arial" w:eastAsia="Arial" w:hAnsi="Arial"/>
                <w:sz w:val="16"/>
                <w:szCs w:val="16"/>
                <w:i w:val="1"/>
                <w:iCs w:val="1"/>
                <w:color w:val="auto"/>
              </w:rPr>
              <w:t>PSUs (at target)</w:t>
            </w:r>
          </w:p>
        </w:tc>
        <w:tc>
          <w:tcPr>
            <w:tcW w:w="1020" w:type="dxa"/>
            <w:vAlign w:val="bottom"/>
            <w:tcBorders>
              <w:bottom w:val="single" w:sz="8" w:color="D8D7D7"/>
            </w:tcBorders>
          </w:tcPr>
          <w:p>
            <w:pPr>
              <w:spacing w:after="0"/>
              <w:rPr>
                <w:sz w:val="21"/>
                <w:szCs w:val="21"/>
                <w:color w:val="auto"/>
              </w:rPr>
            </w:pPr>
          </w:p>
        </w:tc>
        <w:tc>
          <w:tcPr>
            <w:tcW w:w="1160" w:type="dxa"/>
            <w:vAlign w:val="bottom"/>
            <w:tcBorders>
              <w:bottom w:val="single" w:sz="8" w:color="D8D7D7"/>
            </w:tcBorders>
          </w:tcPr>
          <w:p>
            <w:pPr>
              <w:ind w:left="180"/>
              <w:spacing w:after="0"/>
              <w:rPr>
                <w:sz w:val="20"/>
                <w:szCs w:val="20"/>
                <w:color w:val="auto"/>
              </w:rPr>
            </w:pPr>
            <w:r>
              <w:rPr>
                <w:rFonts w:ascii="Arial" w:cs="Arial" w:eastAsia="Arial" w:hAnsi="Arial"/>
                <w:sz w:val="16"/>
                <w:szCs w:val="16"/>
                <w:i w:val="1"/>
                <w:iCs w:val="1"/>
                <w:color w:val="auto"/>
              </w:rPr>
              <w:t>12,300,000</w:t>
            </w:r>
          </w:p>
        </w:tc>
        <w:tc>
          <w:tcPr>
            <w:tcW w:w="420" w:type="dxa"/>
            <w:vAlign w:val="bottom"/>
            <w:tcBorders>
              <w:bottom w:val="single" w:sz="8" w:color="D8D7D7"/>
            </w:tcBorders>
          </w:tcPr>
          <w:p>
            <w:pPr>
              <w:spacing w:after="0"/>
              <w:rPr>
                <w:sz w:val="21"/>
                <w:szCs w:val="21"/>
                <w:color w:val="auto"/>
              </w:rPr>
            </w:pPr>
          </w:p>
        </w:tc>
        <w:tc>
          <w:tcPr>
            <w:tcW w:w="102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i w:val="1"/>
                <w:iCs w:val="1"/>
                <w:color w:val="auto"/>
              </w:rPr>
              <w:t>9,000,000</w:t>
            </w:r>
          </w:p>
        </w:tc>
      </w:tr>
      <w:tr>
        <w:trPr>
          <w:trHeight w:val="250"/>
        </w:trPr>
        <w:tc>
          <w:tcPr>
            <w:tcW w:w="5460" w:type="dxa"/>
            <w:vAlign w:val="bottom"/>
            <w:tcBorders>
              <w:bottom w:val="single" w:sz="8" w:color="D8D7D7"/>
            </w:tcBorders>
          </w:tcPr>
          <w:p>
            <w:pPr>
              <w:ind w:left="320"/>
              <w:spacing w:after="0"/>
              <w:rPr>
                <w:sz w:val="20"/>
                <w:szCs w:val="20"/>
                <w:color w:val="auto"/>
              </w:rPr>
            </w:pPr>
            <w:r>
              <w:rPr>
                <w:rFonts w:ascii="Arial" w:cs="Arial" w:eastAsia="Arial" w:hAnsi="Arial"/>
                <w:sz w:val="16"/>
                <w:szCs w:val="16"/>
                <w:i w:val="1"/>
                <w:iCs w:val="1"/>
                <w:color w:val="auto"/>
              </w:rPr>
              <w:t>RSUs</w:t>
            </w:r>
          </w:p>
        </w:tc>
        <w:tc>
          <w:tcPr>
            <w:tcW w:w="1020" w:type="dxa"/>
            <w:vAlign w:val="bottom"/>
            <w:tcBorders>
              <w:bottom w:val="single" w:sz="8" w:color="D8D7D7"/>
            </w:tcBorders>
          </w:tcPr>
          <w:p>
            <w:pPr>
              <w:spacing w:after="0"/>
              <w:rPr>
                <w:sz w:val="21"/>
                <w:szCs w:val="21"/>
                <w:color w:val="auto"/>
              </w:rPr>
            </w:pPr>
          </w:p>
        </w:tc>
        <w:tc>
          <w:tcPr>
            <w:tcW w:w="1160" w:type="dxa"/>
            <w:vAlign w:val="bottom"/>
            <w:tcBorders>
              <w:bottom w:val="single" w:sz="8" w:color="D8D7D7"/>
            </w:tcBorders>
          </w:tcPr>
          <w:p>
            <w:pPr>
              <w:jc w:val="right"/>
              <w:ind w:right="140"/>
              <w:spacing w:after="0"/>
              <w:rPr>
                <w:sz w:val="20"/>
                <w:szCs w:val="20"/>
                <w:color w:val="auto"/>
              </w:rPr>
            </w:pPr>
            <w:r>
              <w:rPr>
                <w:rFonts w:ascii="Arial" w:cs="Arial" w:eastAsia="Arial" w:hAnsi="Arial"/>
                <w:sz w:val="16"/>
                <w:szCs w:val="16"/>
                <w:i w:val="1"/>
                <w:iCs w:val="1"/>
                <w:color w:val="auto"/>
              </w:rPr>
              <w:t>6,900,000</w:t>
            </w:r>
          </w:p>
        </w:tc>
        <w:tc>
          <w:tcPr>
            <w:tcW w:w="420" w:type="dxa"/>
            <w:vAlign w:val="bottom"/>
            <w:tcBorders>
              <w:bottom w:val="single" w:sz="8" w:color="D8D7D7"/>
            </w:tcBorders>
          </w:tcPr>
          <w:p>
            <w:pPr>
              <w:spacing w:after="0"/>
              <w:rPr>
                <w:sz w:val="21"/>
                <w:szCs w:val="21"/>
                <w:color w:val="auto"/>
              </w:rPr>
            </w:pPr>
          </w:p>
        </w:tc>
        <w:tc>
          <w:tcPr>
            <w:tcW w:w="1020" w:type="dxa"/>
            <w:vAlign w:val="bottom"/>
            <w:tcBorders>
              <w:bottom w:val="single" w:sz="8" w:color="D8D7D7"/>
            </w:tcBorders>
          </w:tcPr>
          <w:p>
            <w:pPr>
              <w:jc w:val="right"/>
              <w:spacing w:after="0"/>
              <w:rPr>
                <w:sz w:val="20"/>
                <w:szCs w:val="20"/>
                <w:color w:val="auto"/>
              </w:rPr>
            </w:pPr>
            <w:r>
              <w:rPr>
                <w:rFonts w:ascii="Arial" w:cs="Arial" w:eastAsia="Arial" w:hAnsi="Arial"/>
                <w:sz w:val="16"/>
                <w:szCs w:val="16"/>
                <w:i w:val="1"/>
                <w:iCs w:val="1"/>
                <w:color w:val="auto"/>
              </w:rPr>
              <w:t>7,200,000</w:t>
            </w:r>
          </w:p>
        </w:tc>
      </w:tr>
      <w:tr>
        <w:trPr>
          <w:trHeight w:val="251"/>
        </w:trPr>
        <w:tc>
          <w:tcPr>
            <w:tcW w:w="54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Total Outstanding Awards under the Plans </w:t>
            </w:r>
            <w:r>
              <w:rPr>
                <w:rFonts w:ascii="Arial" w:cs="Arial" w:eastAsia="Arial" w:hAnsi="Arial"/>
                <w:sz w:val="21"/>
                <w:szCs w:val="21"/>
                <w:color w:val="auto"/>
                <w:vertAlign w:val="superscript"/>
              </w:rPr>
              <w:t>(1)</w:t>
            </w:r>
          </w:p>
        </w:tc>
        <w:tc>
          <w:tcPr>
            <w:tcW w:w="1020" w:type="dxa"/>
            <w:vAlign w:val="bottom"/>
            <w:tcBorders>
              <w:bottom w:val="single" w:sz="8" w:color="D8D7D7"/>
            </w:tcBorders>
          </w:tcPr>
          <w:p>
            <w:pPr>
              <w:spacing w:after="0"/>
              <w:rPr>
                <w:sz w:val="21"/>
                <w:szCs w:val="21"/>
                <w:color w:val="auto"/>
              </w:rPr>
            </w:pPr>
          </w:p>
        </w:tc>
        <w:tc>
          <w:tcPr>
            <w:tcW w:w="1160" w:type="dxa"/>
            <w:vAlign w:val="bottom"/>
            <w:tcBorders>
              <w:bottom w:val="single" w:sz="8" w:color="D8D7D7"/>
            </w:tcBorders>
          </w:tcPr>
          <w:p>
            <w:pPr>
              <w:jc w:val="right"/>
              <w:ind w:right="200"/>
              <w:spacing w:after="0"/>
              <w:rPr>
                <w:sz w:val="20"/>
                <w:szCs w:val="20"/>
                <w:color w:val="auto"/>
              </w:rPr>
            </w:pPr>
            <w:r>
              <w:rPr>
                <w:rFonts w:ascii="Arial" w:cs="Arial" w:eastAsia="Arial" w:hAnsi="Arial"/>
                <w:sz w:val="16"/>
                <w:szCs w:val="16"/>
                <w:color w:val="auto"/>
              </w:rPr>
              <w:t>24,600,000</w:t>
            </w:r>
          </w:p>
        </w:tc>
        <w:tc>
          <w:tcPr>
            <w:tcW w:w="420" w:type="dxa"/>
            <w:vAlign w:val="bottom"/>
            <w:tcBorders>
              <w:bottom w:val="single" w:sz="8" w:color="D8D7D7"/>
            </w:tcBorders>
          </w:tcPr>
          <w:p>
            <w:pPr>
              <w:spacing w:after="0"/>
              <w:rPr>
                <w:sz w:val="21"/>
                <w:szCs w:val="21"/>
                <w:color w:val="auto"/>
              </w:rPr>
            </w:pPr>
          </w:p>
        </w:tc>
        <w:tc>
          <w:tcPr>
            <w:tcW w:w="102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20,400,000</w:t>
            </w:r>
          </w:p>
        </w:tc>
      </w:tr>
      <w:tr>
        <w:trPr>
          <w:trHeight w:val="250"/>
        </w:trPr>
        <w:tc>
          <w:tcPr>
            <w:tcW w:w="5460" w:type="dxa"/>
            <w:vAlign w:val="bottom"/>
            <w:tcBorders>
              <w:bottom w:val="single" w:sz="8" w:color="0956FF"/>
            </w:tcBorders>
          </w:tcPr>
          <w:p>
            <w:pPr>
              <w:ind w:left="60"/>
              <w:spacing w:after="0"/>
              <w:rPr>
                <w:sz w:val="20"/>
                <w:szCs w:val="20"/>
                <w:color w:val="auto"/>
              </w:rPr>
            </w:pPr>
            <w:r>
              <w:rPr>
                <w:rFonts w:ascii="Arial" w:cs="Arial" w:eastAsia="Arial" w:hAnsi="Arial"/>
                <w:sz w:val="16"/>
                <w:szCs w:val="16"/>
                <w:color w:val="auto"/>
              </w:rPr>
              <w:t>Shares Available under the Plans</w:t>
            </w:r>
            <w:r>
              <w:rPr>
                <w:rFonts w:ascii="Arial" w:cs="Arial" w:eastAsia="Arial" w:hAnsi="Arial"/>
                <w:sz w:val="21"/>
                <w:szCs w:val="21"/>
                <w:color w:val="auto"/>
                <w:vertAlign w:val="superscript"/>
              </w:rPr>
              <w:t>(2)</w:t>
            </w:r>
          </w:p>
        </w:tc>
        <w:tc>
          <w:tcPr>
            <w:tcW w:w="1020" w:type="dxa"/>
            <w:vAlign w:val="bottom"/>
            <w:tcBorders>
              <w:bottom w:val="single" w:sz="8" w:color="0956FF"/>
            </w:tcBorders>
          </w:tcPr>
          <w:p>
            <w:pPr>
              <w:spacing w:after="0"/>
              <w:rPr>
                <w:sz w:val="21"/>
                <w:szCs w:val="21"/>
                <w:color w:val="auto"/>
              </w:rPr>
            </w:pPr>
          </w:p>
        </w:tc>
        <w:tc>
          <w:tcPr>
            <w:tcW w:w="1160" w:type="dxa"/>
            <w:vAlign w:val="bottom"/>
            <w:tcBorders>
              <w:bottom w:val="single" w:sz="8" w:color="0956FF"/>
            </w:tcBorders>
          </w:tcPr>
          <w:p>
            <w:pPr>
              <w:jc w:val="right"/>
              <w:ind w:right="180"/>
              <w:spacing w:after="0"/>
              <w:rPr>
                <w:sz w:val="20"/>
                <w:szCs w:val="20"/>
                <w:color w:val="auto"/>
              </w:rPr>
            </w:pPr>
            <w:r>
              <w:rPr>
                <w:rFonts w:ascii="Arial" w:cs="Arial" w:eastAsia="Arial" w:hAnsi="Arial"/>
                <w:sz w:val="16"/>
                <w:szCs w:val="16"/>
                <w:color w:val="auto"/>
              </w:rPr>
              <w:t>36,600,000</w:t>
            </w:r>
          </w:p>
        </w:tc>
        <w:tc>
          <w:tcPr>
            <w:tcW w:w="420" w:type="dxa"/>
            <w:vAlign w:val="bottom"/>
            <w:tcBorders>
              <w:bottom w:val="single" w:sz="8" w:color="0956FF"/>
            </w:tcBorders>
          </w:tcPr>
          <w:p>
            <w:pPr>
              <w:spacing w:after="0"/>
              <w:rPr>
                <w:sz w:val="21"/>
                <w:szCs w:val="21"/>
                <w:color w:val="auto"/>
              </w:rPr>
            </w:pPr>
          </w:p>
        </w:tc>
        <w:tc>
          <w:tcPr>
            <w:tcW w:w="1020" w:type="dxa"/>
            <w:vAlign w:val="bottom"/>
            <w:tcBorders>
              <w:bottom w:val="single" w:sz="8" w:color="0956FF"/>
            </w:tcBorders>
          </w:tcPr>
          <w:p>
            <w:pPr>
              <w:jc w:val="right"/>
              <w:ind w:right="40"/>
              <w:spacing w:after="0"/>
              <w:rPr>
                <w:sz w:val="20"/>
                <w:szCs w:val="20"/>
                <w:color w:val="auto"/>
              </w:rPr>
            </w:pPr>
            <w:r>
              <w:rPr>
                <w:rFonts w:ascii="Arial" w:cs="Arial" w:eastAsia="Arial" w:hAnsi="Arial"/>
                <w:sz w:val="16"/>
                <w:szCs w:val="16"/>
                <w:color w:val="auto"/>
              </w:rPr>
              <w:t>28,700,000</w:t>
            </w:r>
          </w:p>
        </w:tc>
      </w:tr>
    </w:tbl>
    <w:p>
      <w:pPr>
        <w:spacing w:after="0" w:line="57"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outstanding awards under the 2020 LTIP and vested and unexercised options under our 2017 Long-Term Incentive Plan.</w:t>
      </w:r>
    </w:p>
    <w:p>
      <w:pPr>
        <w:spacing w:after="0" w:line="52" w:lineRule="exact"/>
        <w:rPr>
          <w:rFonts w:ascii="Arial" w:cs="Arial" w:eastAsia="Arial" w:hAnsi="Arial"/>
          <w:sz w:val="19"/>
          <w:szCs w:val="19"/>
          <w:color w:val="auto"/>
          <w:vertAlign w:val="superscript"/>
        </w:rPr>
      </w:pPr>
    </w:p>
    <w:p>
      <w:pPr>
        <w:ind w:left="200" w:right="160" w:hanging="192"/>
        <w:spacing w:after="0" w:line="270" w:lineRule="auto"/>
        <w:tabs>
          <w:tab w:leader="none" w:pos="20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New awards are currently granted under our 2020 LTIP, effective June 17, 2020, when the plan was approved by our shareholders. Shares that remained available for issuance under the Company’s predecessor plans were only used to settle outstanding awards that were granted under such plans prior to June 17, 2020. Any shares that remained available for issuance under a predecessor plan will not be used and have been excluded.</w:t>
      </w:r>
    </w:p>
    <w:p>
      <w:pPr>
        <w:spacing w:after="0" w:line="110"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b w:val="1"/>
          <w:bCs w:val="1"/>
          <w:color w:val="auto"/>
        </w:rPr>
        <w:t xml:space="preserve">Overhang Percentage </w:t>
      </w:r>
      <w:r>
        <w:rPr>
          <w:rFonts w:ascii="Arial" w:cs="Arial" w:eastAsia="Arial" w:hAnsi="Arial"/>
          <w:sz w:val="16"/>
          <w:szCs w:val="16"/>
          <w:color w:val="auto"/>
        </w:rPr>
        <w:t>— The total potential equity dilution, including the shares requested under Amendment No. 2, would</w:t>
      </w:r>
      <w:r>
        <w:rPr>
          <w:rFonts w:ascii="Arial" w:cs="Arial" w:eastAsia="Arial" w:hAnsi="Arial"/>
          <w:sz w:val="16"/>
          <w:szCs w:val="16"/>
          <w:b w:val="1"/>
          <w:bCs w:val="1"/>
          <w:color w:val="auto"/>
        </w:rPr>
        <w:t xml:space="preserve"> </w:t>
      </w:r>
      <w:r>
        <w:rPr>
          <w:rFonts w:ascii="Arial" w:cs="Arial" w:eastAsia="Arial" w:hAnsi="Arial"/>
          <w:sz w:val="16"/>
          <w:szCs w:val="16"/>
          <w:color w:val="auto"/>
        </w:rPr>
        <w:t>be approximately 8.4% on a fully diluted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w:t>
            </w:r>
          </w:p>
        </w:tc>
        <w:tc>
          <w:tcPr>
            <w:tcW w:w="638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Total Outstanding Awards under the Plans ( </w:t>
            </w:r>
            <w:r>
              <w:rPr>
                <w:rFonts w:ascii="Arial" w:cs="Arial" w:eastAsia="Arial" w:hAnsi="Arial"/>
                <w:sz w:val="16"/>
                <w:szCs w:val="16"/>
                <w:i w:val="1"/>
                <w:iCs w:val="1"/>
                <w:color w:val="auto"/>
              </w:rPr>
              <w:t>as of February 28, 2026</w:t>
            </w:r>
            <w:r>
              <w:rPr>
                <w:rFonts w:ascii="Arial" w:cs="Arial" w:eastAsia="Arial" w:hAnsi="Arial"/>
                <w:sz w:val="16"/>
                <w:szCs w:val="16"/>
                <w:color w:val="auto"/>
              </w:rPr>
              <w:t>)</w:t>
            </w:r>
          </w:p>
        </w:tc>
        <w:tc>
          <w:tcPr>
            <w:tcW w:w="2440" w:type="dxa"/>
            <w:vAlign w:val="bottom"/>
            <w:tcBorders>
              <w:bottom w:val="single" w:sz="8" w:color="D8D7D7"/>
            </w:tcBorders>
          </w:tcPr>
          <w:p>
            <w:pPr>
              <w:jc w:val="right"/>
              <w:ind w:right="139"/>
              <w:spacing w:after="0"/>
              <w:rPr>
                <w:sz w:val="20"/>
                <w:szCs w:val="20"/>
                <w:color w:val="auto"/>
              </w:rPr>
            </w:pPr>
            <w:r>
              <w:rPr>
                <w:rFonts w:ascii="Arial" w:cs="Arial" w:eastAsia="Arial" w:hAnsi="Arial"/>
                <w:sz w:val="16"/>
                <w:szCs w:val="16"/>
                <w:color w:val="auto"/>
              </w:rPr>
              <w:t>20,400,000</w:t>
            </w:r>
          </w:p>
        </w:tc>
      </w:tr>
      <w:tr>
        <w:trPr>
          <w:trHeight w:val="249"/>
        </w:trPr>
        <w:tc>
          <w:tcPr>
            <w:tcW w:w="2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B</w:t>
            </w:r>
          </w:p>
        </w:tc>
        <w:tc>
          <w:tcPr>
            <w:tcW w:w="638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Shares Available under the Plans (</w:t>
            </w:r>
            <w:r>
              <w:rPr>
                <w:rFonts w:ascii="Arial" w:cs="Arial" w:eastAsia="Arial" w:hAnsi="Arial"/>
                <w:sz w:val="16"/>
                <w:szCs w:val="16"/>
                <w:i w:val="1"/>
                <w:iCs w:val="1"/>
                <w:color w:val="auto"/>
              </w:rPr>
              <w:t>as of February 28, 202</w:t>
            </w:r>
            <w:r>
              <w:rPr>
                <w:rFonts w:ascii="Arial" w:cs="Arial" w:eastAsia="Arial" w:hAnsi="Arial"/>
                <w:sz w:val="16"/>
                <w:szCs w:val="16"/>
                <w:color w:val="auto"/>
              </w:rPr>
              <w:t>6)</w:t>
            </w:r>
          </w:p>
        </w:tc>
        <w:tc>
          <w:tcPr>
            <w:tcW w:w="2440" w:type="dxa"/>
            <w:vAlign w:val="bottom"/>
            <w:tcBorders>
              <w:bottom w:val="single" w:sz="8" w:color="D8D7D7"/>
            </w:tcBorders>
          </w:tcPr>
          <w:p>
            <w:pPr>
              <w:jc w:val="center"/>
              <w:ind w:left="1159"/>
              <w:spacing w:after="0"/>
              <w:rPr>
                <w:sz w:val="20"/>
                <w:szCs w:val="20"/>
                <w:color w:val="auto"/>
              </w:rPr>
            </w:pPr>
            <w:r>
              <w:rPr>
                <w:rFonts w:ascii="Arial" w:cs="Arial" w:eastAsia="Arial" w:hAnsi="Arial"/>
                <w:sz w:val="16"/>
                <w:szCs w:val="16"/>
                <w:color w:val="auto"/>
                <w:w w:val="99"/>
              </w:rPr>
              <w:t>28,700,000</w:t>
            </w:r>
          </w:p>
        </w:tc>
      </w:tr>
      <w:tr>
        <w:trPr>
          <w:trHeight w:val="250"/>
        </w:trPr>
        <w:tc>
          <w:tcPr>
            <w:tcW w:w="2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C</w:t>
            </w:r>
          </w:p>
        </w:tc>
        <w:tc>
          <w:tcPr>
            <w:tcW w:w="638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Shares Requested under Amendment No. 2</w:t>
            </w:r>
          </w:p>
        </w:tc>
        <w:tc>
          <w:tcPr>
            <w:tcW w:w="2440" w:type="dxa"/>
            <w:vAlign w:val="bottom"/>
            <w:tcBorders>
              <w:bottom w:val="single" w:sz="8" w:color="D8D7D7"/>
            </w:tcBorders>
          </w:tcPr>
          <w:p>
            <w:pPr>
              <w:jc w:val="center"/>
              <w:ind w:left="1139"/>
              <w:spacing w:after="0"/>
              <w:rPr>
                <w:sz w:val="20"/>
                <w:szCs w:val="20"/>
                <w:color w:val="auto"/>
              </w:rPr>
            </w:pPr>
            <w:r>
              <w:rPr>
                <w:rFonts w:ascii="Arial" w:cs="Arial" w:eastAsia="Arial" w:hAnsi="Arial"/>
                <w:sz w:val="16"/>
                <w:szCs w:val="16"/>
                <w:color w:val="auto"/>
              </w:rPr>
              <w:t>27,000,000</w:t>
            </w:r>
          </w:p>
        </w:tc>
      </w:tr>
      <w:tr>
        <w:trPr>
          <w:trHeight w:val="250"/>
        </w:trPr>
        <w:tc>
          <w:tcPr>
            <w:tcW w:w="2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D</w:t>
            </w:r>
          </w:p>
        </w:tc>
        <w:tc>
          <w:tcPr>
            <w:tcW w:w="638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GM Common Stock Outstanding (</w:t>
            </w:r>
            <w:r>
              <w:rPr>
                <w:rFonts w:ascii="Arial" w:cs="Arial" w:eastAsia="Arial" w:hAnsi="Arial"/>
                <w:sz w:val="16"/>
                <w:szCs w:val="16"/>
                <w:i w:val="1"/>
                <w:iCs w:val="1"/>
                <w:color w:val="auto"/>
              </w:rPr>
              <w:t>as of the Record Date</w:t>
            </w:r>
            <w:r>
              <w:rPr>
                <w:rFonts w:ascii="Arial" w:cs="Arial" w:eastAsia="Arial" w:hAnsi="Arial"/>
                <w:sz w:val="16"/>
                <w:szCs w:val="16"/>
                <w:color w:val="auto"/>
              </w:rPr>
              <w:t>)</w:t>
            </w:r>
          </w:p>
        </w:tc>
        <w:tc>
          <w:tcPr>
            <w:tcW w:w="2440" w:type="dxa"/>
            <w:vAlign w:val="bottom"/>
            <w:tcBorders>
              <w:bottom w:val="single" w:sz="8" w:color="D8D7D7"/>
            </w:tcBorders>
          </w:tcPr>
          <w:p>
            <w:pPr>
              <w:jc w:val="center"/>
              <w:ind w:left="1179"/>
              <w:spacing w:after="0"/>
              <w:rPr>
                <w:sz w:val="20"/>
                <w:szCs w:val="20"/>
                <w:color w:val="auto"/>
              </w:rPr>
            </w:pPr>
            <w:r>
              <w:rPr>
                <w:rFonts w:ascii="Arial" w:cs="Arial" w:eastAsia="Arial" w:hAnsi="Arial"/>
                <w:sz w:val="16"/>
                <w:szCs w:val="16"/>
                <w:color w:val="auto"/>
              </w:rPr>
              <w:t>901,656,578</w:t>
            </w:r>
          </w:p>
        </w:tc>
      </w:tr>
      <w:tr>
        <w:trPr>
          <w:trHeight w:val="250"/>
        </w:trPr>
        <w:tc>
          <w:tcPr>
            <w:tcW w:w="260" w:type="dxa"/>
            <w:vAlign w:val="bottom"/>
            <w:tcBorders>
              <w:bottom w:val="single" w:sz="8" w:color="0956FF"/>
            </w:tcBorders>
          </w:tcPr>
          <w:p>
            <w:pPr>
              <w:spacing w:after="0"/>
              <w:rPr>
                <w:sz w:val="21"/>
                <w:szCs w:val="21"/>
                <w:color w:val="auto"/>
              </w:rPr>
            </w:pPr>
          </w:p>
        </w:tc>
        <w:tc>
          <w:tcPr>
            <w:tcW w:w="6380" w:type="dxa"/>
            <w:vAlign w:val="bottom"/>
            <w:tcBorders>
              <w:bottom w:val="single" w:sz="8" w:color="0956FF"/>
            </w:tcBorders>
          </w:tcPr>
          <w:p>
            <w:pPr>
              <w:ind w:left="60"/>
              <w:spacing w:after="0"/>
              <w:rPr>
                <w:sz w:val="20"/>
                <w:szCs w:val="20"/>
                <w:color w:val="auto"/>
              </w:rPr>
            </w:pPr>
            <w:r>
              <w:rPr>
                <w:rFonts w:ascii="Arial" w:cs="Arial" w:eastAsia="Arial" w:hAnsi="Arial"/>
                <w:sz w:val="16"/>
                <w:szCs w:val="16"/>
                <w:color w:val="auto"/>
              </w:rPr>
              <w:t>Overhang Percentage [ (A + B + C) / D ]</w:t>
            </w:r>
          </w:p>
        </w:tc>
        <w:tc>
          <w:tcPr>
            <w:tcW w:w="2440" w:type="dxa"/>
            <w:vAlign w:val="bottom"/>
            <w:tcBorders>
              <w:bottom w:val="single" w:sz="8" w:color="0956FF"/>
            </w:tcBorders>
          </w:tcPr>
          <w:p>
            <w:pPr>
              <w:jc w:val="right"/>
              <w:spacing w:after="0"/>
              <w:rPr>
                <w:sz w:val="20"/>
                <w:szCs w:val="20"/>
                <w:color w:val="auto"/>
              </w:rPr>
            </w:pPr>
            <w:r>
              <w:rPr>
                <w:rFonts w:ascii="Arial" w:cs="Arial" w:eastAsia="Arial" w:hAnsi="Arial"/>
                <w:sz w:val="16"/>
                <w:szCs w:val="16"/>
                <w:color w:val="auto"/>
              </w:rPr>
              <w:t>8.4%</w:t>
            </w:r>
          </w:p>
        </w:tc>
      </w:tr>
    </w:tbl>
    <w:p>
      <w:pPr>
        <w:spacing w:after="0" w:line="200" w:lineRule="exact"/>
        <w:rPr>
          <w:sz w:val="20"/>
          <w:szCs w:val="20"/>
          <w:color w:val="auto"/>
        </w:rPr>
      </w:pP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82</w:t>
      </w:r>
    </w:p>
    <w:p>
      <w:pPr>
        <w:sectPr>
          <w:pgSz w:w="11900" w:h="16838" w:orient="portrait"/>
          <w:cols w:equalWidth="0" w:num="1">
            <w:col w:w="9080"/>
          </w:cols>
          <w:pgMar w:left="1400" w:top="657" w:right="1419" w:bottom="1440" w:gutter="0" w:footer="0" w:header="0"/>
          <w:type w:val="continuous"/>
        </w:sectPr>
      </w:pPr>
    </w:p>
    <w:bookmarkStart w:id="89" w:name="page90"/>
    <w:bookmarkEnd w:id="89"/>
    <w:p>
      <w:pPr>
        <w:ind w:left="4300"/>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p>
      <w:pPr>
        <w:spacing w:after="0" w:line="38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color w:val="auto"/>
        </w:rPr>
        <w:t xml:space="preserve">Share Usage </w:t>
      </w:r>
      <w:r>
        <w:rPr>
          <w:rFonts w:ascii="Arial" w:cs="Arial" w:eastAsia="Arial" w:hAnsi="Arial"/>
          <w:sz w:val="16"/>
          <w:szCs w:val="16"/>
          <w:color w:val="auto"/>
        </w:rPr>
        <w:t>— The annual share usage under the Company’s equity incentive plans for the last three fiscal years is</w:t>
      </w:r>
      <w:r>
        <w:rPr>
          <w:rFonts w:ascii="Arial" w:cs="Arial" w:eastAsia="Arial" w:hAnsi="Arial"/>
          <w:sz w:val="16"/>
          <w:szCs w:val="16"/>
          <w:b w:val="1"/>
          <w:bCs w:val="1"/>
          <w:color w:val="auto"/>
        </w:rPr>
        <w:t xml:space="preserve"> </w:t>
      </w:r>
      <w:r>
        <w:rPr>
          <w:rFonts w:ascii="Arial" w:cs="Arial" w:eastAsia="Arial" w:hAnsi="Arial"/>
          <w:sz w:val="16"/>
          <w:szCs w:val="16"/>
          <w:color w:val="auto"/>
        </w:rPr>
        <w:t>presented below. The features of these plans are discussed further in Note 22, “Stock Incentive Plans,” to the Consolidated Financial Statements in our 2025 Form 10-K.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shd w:val="clear" w:color="auto" w:fill="ECEBEB"/>
          </w:tcPr>
          <w:p>
            <w:pPr>
              <w:spacing w:after="0"/>
              <w:rPr>
                <w:sz w:val="20"/>
                <w:szCs w:val="20"/>
                <w:color w:val="auto"/>
              </w:rPr>
            </w:pPr>
          </w:p>
        </w:tc>
        <w:tc>
          <w:tcPr>
            <w:tcW w:w="1460" w:type="dxa"/>
            <w:vAlign w:val="bottom"/>
            <w:shd w:val="clear" w:color="auto" w:fill="ECEBEB"/>
          </w:tcPr>
          <w:p>
            <w:pPr>
              <w:spacing w:after="0"/>
              <w:rPr>
                <w:sz w:val="20"/>
                <w:szCs w:val="20"/>
                <w:color w:val="auto"/>
              </w:rPr>
            </w:pPr>
          </w:p>
        </w:tc>
        <w:tc>
          <w:tcPr>
            <w:tcW w:w="1380" w:type="dxa"/>
            <w:vAlign w:val="bottom"/>
            <w:shd w:val="clear" w:color="auto" w:fill="ECEBEB"/>
          </w:tcPr>
          <w:p>
            <w:pPr>
              <w:spacing w:after="0"/>
              <w:rPr>
                <w:sz w:val="20"/>
                <w:szCs w:val="20"/>
                <w:color w:val="auto"/>
              </w:rPr>
            </w:pPr>
          </w:p>
        </w:tc>
        <w:tc>
          <w:tcPr>
            <w:tcW w:w="1400" w:type="dxa"/>
            <w:vAlign w:val="bottom"/>
            <w:shd w:val="clear" w:color="auto" w:fill="ECEBEB"/>
          </w:tcPr>
          <w:p>
            <w:pPr>
              <w:spacing w:after="0"/>
              <w:rPr>
                <w:sz w:val="20"/>
                <w:szCs w:val="20"/>
                <w:color w:val="auto"/>
              </w:rPr>
            </w:pPr>
          </w:p>
        </w:tc>
        <w:tc>
          <w:tcPr>
            <w:tcW w:w="800" w:type="dxa"/>
            <w:vAlign w:val="bottom"/>
            <w:shd w:val="clear" w:color="auto" w:fill="ECEBEB"/>
          </w:tcPr>
          <w:p>
            <w:pPr>
              <w:jc w:val="center"/>
              <w:ind w:right="4"/>
              <w:spacing w:after="0"/>
              <w:rPr>
                <w:sz w:val="20"/>
                <w:szCs w:val="20"/>
                <w:color w:val="auto"/>
              </w:rPr>
            </w:pPr>
            <w:r>
              <w:rPr>
                <w:rFonts w:ascii="Arial" w:cs="Arial" w:eastAsia="Arial" w:hAnsi="Arial"/>
                <w:sz w:val="14"/>
                <w:szCs w:val="14"/>
                <w:b w:val="1"/>
                <w:bCs w:val="1"/>
                <w:color w:val="auto"/>
              </w:rPr>
              <w:t>Three-</w:t>
            </w:r>
          </w:p>
        </w:tc>
      </w:tr>
      <w:tr>
        <w:trPr>
          <w:trHeight w:val="176"/>
        </w:trPr>
        <w:tc>
          <w:tcPr>
            <w:tcW w:w="4020" w:type="dxa"/>
            <w:vAlign w:val="bottom"/>
            <w:shd w:val="clear" w:color="auto" w:fill="ECEBEB"/>
          </w:tcPr>
          <w:p>
            <w:pPr>
              <w:spacing w:after="0"/>
              <w:rPr>
                <w:sz w:val="15"/>
                <w:szCs w:val="15"/>
                <w:color w:val="auto"/>
              </w:rPr>
            </w:pPr>
          </w:p>
        </w:tc>
        <w:tc>
          <w:tcPr>
            <w:tcW w:w="1460" w:type="dxa"/>
            <w:vAlign w:val="bottom"/>
            <w:shd w:val="clear" w:color="auto" w:fill="ECEBEB"/>
          </w:tcPr>
          <w:p>
            <w:pPr>
              <w:spacing w:after="0"/>
              <w:rPr>
                <w:sz w:val="15"/>
                <w:szCs w:val="15"/>
                <w:color w:val="auto"/>
              </w:rPr>
            </w:pPr>
          </w:p>
        </w:tc>
        <w:tc>
          <w:tcPr>
            <w:tcW w:w="1380" w:type="dxa"/>
            <w:vAlign w:val="bottom"/>
            <w:shd w:val="clear" w:color="auto" w:fill="ECEBEB"/>
          </w:tcPr>
          <w:p>
            <w:pPr>
              <w:spacing w:after="0"/>
              <w:rPr>
                <w:sz w:val="15"/>
                <w:szCs w:val="15"/>
                <w:color w:val="auto"/>
              </w:rPr>
            </w:pPr>
          </w:p>
        </w:tc>
        <w:tc>
          <w:tcPr>
            <w:tcW w:w="1400" w:type="dxa"/>
            <w:vAlign w:val="bottom"/>
            <w:shd w:val="clear" w:color="auto" w:fill="ECEBEB"/>
          </w:tcPr>
          <w:p>
            <w:pPr>
              <w:spacing w:after="0"/>
              <w:rPr>
                <w:sz w:val="15"/>
                <w:szCs w:val="15"/>
                <w:color w:val="auto"/>
              </w:rPr>
            </w:pPr>
          </w:p>
        </w:tc>
        <w:tc>
          <w:tcPr>
            <w:tcW w:w="800" w:type="dxa"/>
            <w:vAlign w:val="bottom"/>
            <w:shd w:val="clear" w:color="auto" w:fill="ECEBEB"/>
          </w:tcPr>
          <w:p>
            <w:pPr>
              <w:jc w:val="center"/>
              <w:spacing w:after="0"/>
              <w:rPr>
                <w:sz w:val="20"/>
                <w:szCs w:val="20"/>
                <w:color w:val="auto"/>
              </w:rPr>
            </w:pPr>
            <w:r>
              <w:rPr>
                <w:rFonts w:ascii="Arial" w:cs="Arial" w:eastAsia="Arial" w:hAnsi="Arial"/>
                <w:sz w:val="14"/>
                <w:szCs w:val="14"/>
                <w:b w:val="1"/>
                <w:bCs w:val="1"/>
                <w:color w:val="auto"/>
                <w:w w:val="98"/>
              </w:rPr>
              <w:t>Year</w:t>
            </w:r>
          </w:p>
        </w:tc>
      </w:tr>
      <w:tr>
        <w:trPr>
          <w:trHeight w:val="185"/>
        </w:trPr>
        <w:tc>
          <w:tcPr>
            <w:tcW w:w="4020" w:type="dxa"/>
            <w:vAlign w:val="bottom"/>
            <w:tcBorders>
              <w:bottom w:val="single" w:sz="8" w:color="0956FF"/>
            </w:tcBorders>
            <w:shd w:val="clear" w:color="auto" w:fill="ECEBEB"/>
          </w:tcPr>
          <w:p>
            <w:pPr>
              <w:spacing w:after="0"/>
              <w:rPr>
                <w:sz w:val="16"/>
                <w:szCs w:val="16"/>
                <w:color w:val="auto"/>
              </w:rPr>
            </w:pPr>
          </w:p>
        </w:tc>
        <w:tc>
          <w:tcPr>
            <w:tcW w:w="1460" w:type="dxa"/>
            <w:vAlign w:val="bottom"/>
            <w:tcBorders>
              <w:bottom w:val="single" w:sz="8" w:color="0956FF"/>
            </w:tcBorders>
            <w:shd w:val="clear" w:color="auto" w:fill="ECEBEB"/>
          </w:tcPr>
          <w:p>
            <w:pPr>
              <w:ind w:left="460"/>
              <w:spacing w:after="0"/>
              <w:rPr>
                <w:sz w:val="20"/>
                <w:szCs w:val="20"/>
                <w:color w:val="auto"/>
              </w:rPr>
            </w:pPr>
            <w:r>
              <w:rPr>
                <w:rFonts w:ascii="Arial" w:cs="Arial" w:eastAsia="Arial" w:hAnsi="Arial"/>
                <w:sz w:val="14"/>
                <w:szCs w:val="14"/>
                <w:b w:val="1"/>
                <w:bCs w:val="1"/>
                <w:color w:val="auto"/>
              </w:rPr>
              <w:t>2025</w:t>
            </w:r>
          </w:p>
        </w:tc>
        <w:tc>
          <w:tcPr>
            <w:tcW w:w="1380" w:type="dxa"/>
            <w:vAlign w:val="bottom"/>
            <w:tcBorders>
              <w:bottom w:val="single" w:sz="8" w:color="0956FF"/>
            </w:tcBorders>
            <w:shd w:val="clear" w:color="auto" w:fill="ECEBEB"/>
          </w:tcPr>
          <w:p>
            <w:pPr>
              <w:jc w:val="right"/>
              <w:ind w:right="560"/>
              <w:spacing w:after="0"/>
              <w:rPr>
                <w:sz w:val="20"/>
                <w:szCs w:val="20"/>
                <w:color w:val="auto"/>
              </w:rPr>
            </w:pPr>
            <w:r>
              <w:rPr>
                <w:rFonts w:ascii="Arial" w:cs="Arial" w:eastAsia="Arial" w:hAnsi="Arial"/>
                <w:sz w:val="14"/>
                <w:szCs w:val="14"/>
                <w:b w:val="1"/>
                <w:bCs w:val="1"/>
                <w:color w:val="auto"/>
              </w:rPr>
              <w:t>2024</w:t>
            </w:r>
          </w:p>
        </w:tc>
        <w:tc>
          <w:tcPr>
            <w:tcW w:w="1400" w:type="dxa"/>
            <w:vAlign w:val="bottom"/>
            <w:tcBorders>
              <w:bottom w:val="single" w:sz="8" w:color="0956FF"/>
            </w:tcBorders>
            <w:shd w:val="clear" w:color="auto" w:fill="ECEBEB"/>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0956FF"/>
            </w:tcBorders>
            <w:shd w:val="clear" w:color="auto" w:fill="ECEBEB"/>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243"/>
        </w:trPr>
        <w:tc>
          <w:tcPr>
            <w:tcW w:w="40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  Full Value Awards Granted During Fiscal Year</w:t>
            </w:r>
          </w:p>
        </w:tc>
        <w:tc>
          <w:tcPr>
            <w:tcW w:w="1460" w:type="dxa"/>
            <w:vAlign w:val="bottom"/>
            <w:tcBorders>
              <w:bottom w:val="single" w:sz="8" w:color="D8D7D7"/>
            </w:tcBorders>
          </w:tcPr>
          <w:p>
            <w:pPr>
              <w:jc w:val="right"/>
              <w:ind w:right="220"/>
              <w:spacing w:after="0"/>
              <w:rPr>
                <w:sz w:val="20"/>
                <w:szCs w:val="20"/>
                <w:color w:val="auto"/>
              </w:rPr>
            </w:pPr>
            <w:r>
              <w:rPr>
                <w:rFonts w:ascii="Arial" w:cs="Arial" w:eastAsia="Arial" w:hAnsi="Arial"/>
                <w:sz w:val="16"/>
                <w:szCs w:val="16"/>
                <w:color w:val="auto"/>
              </w:rPr>
              <w:t>8,600,000</w:t>
            </w:r>
          </w:p>
        </w:tc>
        <w:tc>
          <w:tcPr>
            <w:tcW w:w="1380" w:type="dxa"/>
            <w:vAlign w:val="bottom"/>
            <w:tcBorders>
              <w:bottom w:val="single" w:sz="8" w:color="D8D7D7"/>
            </w:tcBorders>
          </w:tcPr>
          <w:p>
            <w:pPr>
              <w:jc w:val="right"/>
              <w:ind w:right="180"/>
              <w:spacing w:after="0"/>
              <w:rPr>
                <w:sz w:val="20"/>
                <w:szCs w:val="20"/>
                <w:color w:val="auto"/>
              </w:rPr>
            </w:pPr>
            <w:r>
              <w:rPr>
                <w:rFonts w:ascii="Arial" w:cs="Arial" w:eastAsia="Arial" w:hAnsi="Arial"/>
                <w:sz w:val="16"/>
                <w:szCs w:val="16"/>
                <w:color w:val="auto"/>
              </w:rPr>
              <w:t>10,000,000</w:t>
            </w:r>
          </w:p>
        </w:tc>
        <w:tc>
          <w:tcPr>
            <w:tcW w:w="1400" w:type="dxa"/>
            <w:vAlign w:val="bottom"/>
            <w:tcBorders>
              <w:bottom w:val="single" w:sz="8" w:color="D8D7D7"/>
            </w:tcBorders>
          </w:tcPr>
          <w:p>
            <w:pPr>
              <w:jc w:val="right"/>
              <w:ind w:right="160"/>
              <w:spacing w:after="0"/>
              <w:rPr>
                <w:sz w:val="20"/>
                <w:szCs w:val="20"/>
                <w:color w:val="auto"/>
              </w:rPr>
            </w:pPr>
            <w:r>
              <w:rPr>
                <w:rFonts w:ascii="Arial" w:cs="Arial" w:eastAsia="Arial" w:hAnsi="Arial"/>
                <w:sz w:val="16"/>
                <w:szCs w:val="16"/>
                <w:color w:val="auto"/>
              </w:rPr>
              <w:t>9,850,000</w:t>
            </w:r>
          </w:p>
        </w:tc>
        <w:tc>
          <w:tcPr>
            <w:tcW w:w="800" w:type="dxa"/>
            <w:vAlign w:val="bottom"/>
            <w:tcBorders>
              <w:bottom w:val="single" w:sz="8" w:color="D8D7D7"/>
            </w:tcBorders>
          </w:tcPr>
          <w:p>
            <w:pPr>
              <w:spacing w:after="0"/>
              <w:rPr>
                <w:sz w:val="21"/>
                <w:szCs w:val="21"/>
                <w:color w:val="auto"/>
              </w:rPr>
            </w:pPr>
          </w:p>
        </w:tc>
      </w:tr>
      <w:tr>
        <w:trPr>
          <w:trHeight w:val="250"/>
        </w:trPr>
        <w:tc>
          <w:tcPr>
            <w:tcW w:w="4020" w:type="dxa"/>
            <w:vAlign w:val="bottom"/>
            <w:tcBorders>
              <w:bottom w:val="single" w:sz="8" w:color="D8D7D7"/>
            </w:tcBorders>
          </w:tcPr>
          <w:p>
            <w:pPr>
              <w:ind w:left="320"/>
              <w:spacing w:after="0"/>
              <w:rPr>
                <w:sz w:val="20"/>
                <w:szCs w:val="20"/>
                <w:color w:val="auto"/>
              </w:rPr>
            </w:pPr>
            <w:r>
              <w:rPr>
                <w:rFonts w:ascii="Arial" w:cs="Arial" w:eastAsia="Arial" w:hAnsi="Arial"/>
                <w:sz w:val="16"/>
                <w:szCs w:val="16"/>
                <w:i w:val="1"/>
                <w:iCs w:val="1"/>
                <w:color w:val="auto"/>
              </w:rPr>
              <w:t>PSUs Granted (at target)</w:t>
            </w:r>
          </w:p>
        </w:tc>
        <w:tc>
          <w:tcPr>
            <w:tcW w:w="1460" w:type="dxa"/>
            <w:vAlign w:val="bottom"/>
            <w:tcBorders>
              <w:bottom w:val="single" w:sz="8" w:color="D8D7D7"/>
            </w:tcBorders>
          </w:tcPr>
          <w:p>
            <w:pPr>
              <w:ind w:left="460"/>
              <w:spacing w:after="0"/>
              <w:rPr>
                <w:sz w:val="20"/>
                <w:szCs w:val="20"/>
                <w:color w:val="auto"/>
              </w:rPr>
            </w:pPr>
            <w:r>
              <w:rPr>
                <w:rFonts w:ascii="Arial" w:cs="Arial" w:eastAsia="Arial" w:hAnsi="Arial"/>
                <w:sz w:val="16"/>
                <w:szCs w:val="16"/>
                <w:color w:val="auto"/>
              </w:rPr>
              <w:t>4,100,000</w:t>
            </w:r>
          </w:p>
        </w:tc>
        <w:tc>
          <w:tcPr>
            <w:tcW w:w="1380" w:type="dxa"/>
            <w:vAlign w:val="bottom"/>
            <w:tcBorders>
              <w:bottom w:val="single" w:sz="8" w:color="D8D7D7"/>
            </w:tcBorders>
          </w:tcPr>
          <w:p>
            <w:pPr>
              <w:jc w:val="right"/>
              <w:ind w:right="200"/>
              <w:spacing w:after="0"/>
              <w:rPr>
                <w:sz w:val="20"/>
                <w:szCs w:val="20"/>
                <w:color w:val="auto"/>
              </w:rPr>
            </w:pPr>
            <w:r>
              <w:rPr>
                <w:rFonts w:ascii="Arial" w:cs="Arial" w:eastAsia="Arial" w:hAnsi="Arial"/>
                <w:sz w:val="16"/>
                <w:szCs w:val="16"/>
                <w:color w:val="auto"/>
              </w:rPr>
              <w:t>4,300,000</w:t>
            </w:r>
          </w:p>
        </w:tc>
        <w:tc>
          <w:tcPr>
            <w:tcW w:w="1400" w:type="dxa"/>
            <w:vAlign w:val="bottom"/>
            <w:tcBorders>
              <w:bottom w:val="single" w:sz="8" w:color="D8D7D7"/>
            </w:tcBorders>
          </w:tcPr>
          <w:p>
            <w:pPr>
              <w:jc w:val="right"/>
              <w:ind w:right="160"/>
              <w:spacing w:after="0"/>
              <w:rPr>
                <w:sz w:val="20"/>
                <w:szCs w:val="20"/>
                <w:color w:val="auto"/>
              </w:rPr>
            </w:pPr>
            <w:r>
              <w:rPr>
                <w:rFonts w:ascii="Arial" w:cs="Arial" w:eastAsia="Arial" w:hAnsi="Arial"/>
                <w:sz w:val="16"/>
                <w:szCs w:val="16"/>
                <w:color w:val="auto"/>
              </w:rPr>
              <w:t>7,200,000</w:t>
            </w:r>
          </w:p>
        </w:tc>
        <w:tc>
          <w:tcPr>
            <w:tcW w:w="800" w:type="dxa"/>
            <w:vAlign w:val="bottom"/>
            <w:tcBorders>
              <w:bottom w:val="single" w:sz="8" w:color="D8D7D7"/>
            </w:tcBorders>
          </w:tcPr>
          <w:p>
            <w:pPr>
              <w:spacing w:after="0"/>
              <w:rPr>
                <w:sz w:val="21"/>
                <w:szCs w:val="21"/>
                <w:color w:val="auto"/>
              </w:rPr>
            </w:pPr>
          </w:p>
        </w:tc>
      </w:tr>
      <w:tr>
        <w:trPr>
          <w:trHeight w:val="250"/>
        </w:trPr>
        <w:tc>
          <w:tcPr>
            <w:tcW w:w="4020" w:type="dxa"/>
            <w:vAlign w:val="bottom"/>
            <w:tcBorders>
              <w:bottom w:val="single" w:sz="8" w:color="D8D7D7"/>
            </w:tcBorders>
          </w:tcPr>
          <w:p>
            <w:pPr>
              <w:ind w:left="320"/>
              <w:spacing w:after="0"/>
              <w:rPr>
                <w:sz w:val="20"/>
                <w:szCs w:val="20"/>
                <w:color w:val="auto"/>
              </w:rPr>
            </w:pPr>
            <w:r>
              <w:rPr>
                <w:rFonts w:ascii="Arial" w:cs="Arial" w:eastAsia="Arial" w:hAnsi="Arial"/>
                <w:sz w:val="16"/>
                <w:szCs w:val="16"/>
                <w:i w:val="1"/>
                <w:iCs w:val="1"/>
                <w:color w:val="auto"/>
              </w:rPr>
              <w:t>RSUs Granted</w:t>
            </w:r>
          </w:p>
        </w:tc>
        <w:tc>
          <w:tcPr>
            <w:tcW w:w="1460" w:type="dxa"/>
            <w:vAlign w:val="bottom"/>
            <w:tcBorders>
              <w:bottom w:val="single" w:sz="8" w:color="D8D7D7"/>
            </w:tcBorders>
          </w:tcPr>
          <w:p>
            <w:pPr>
              <w:jc w:val="right"/>
              <w:ind w:right="240"/>
              <w:spacing w:after="0"/>
              <w:rPr>
                <w:sz w:val="20"/>
                <w:szCs w:val="20"/>
                <w:color w:val="auto"/>
              </w:rPr>
            </w:pPr>
            <w:r>
              <w:rPr>
                <w:rFonts w:ascii="Arial" w:cs="Arial" w:eastAsia="Arial" w:hAnsi="Arial"/>
                <w:sz w:val="16"/>
                <w:szCs w:val="16"/>
                <w:color w:val="auto"/>
              </w:rPr>
              <w:t>4,500,000</w:t>
            </w:r>
          </w:p>
        </w:tc>
        <w:tc>
          <w:tcPr>
            <w:tcW w:w="1380" w:type="dxa"/>
            <w:vAlign w:val="bottom"/>
            <w:tcBorders>
              <w:bottom w:val="single" w:sz="8" w:color="D8D7D7"/>
            </w:tcBorders>
          </w:tcPr>
          <w:p>
            <w:pPr>
              <w:jc w:val="right"/>
              <w:ind w:right="180"/>
              <w:spacing w:after="0"/>
              <w:rPr>
                <w:sz w:val="20"/>
                <w:szCs w:val="20"/>
                <w:color w:val="auto"/>
              </w:rPr>
            </w:pPr>
            <w:r>
              <w:rPr>
                <w:rFonts w:ascii="Arial" w:cs="Arial" w:eastAsia="Arial" w:hAnsi="Arial"/>
                <w:sz w:val="16"/>
                <w:szCs w:val="16"/>
                <w:color w:val="auto"/>
              </w:rPr>
              <w:t>5,700,000</w:t>
            </w:r>
          </w:p>
        </w:tc>
        <w:tc>
          <w:tcPr>
            <w:tcW w:w="1400" w:type="dxa"/>
            <w:vAlign w:val="bottom"/>
            <w:tcBorders>
              <w:bottom w:val="single" w:sz="8" w:color="D8D7D7"/>
            </w:tcBorders>
          </w:tcPr>
          <w:p>
            <w:pPr>
              <w:jc w:val="right"/>
              <w:ind w:right="160"/>
              <w:spacing w:after="0"/>
              <w:rPr>
                <w:sz w:val="20"/>
                <w:szCs w:val="20"/>
                <w:color w:val="auto"/>
              </w:rPr>
            </w:pPr>
            <w:r>
              <w:rPr>
                <w:rFonts w:ascii="Arial" w:cs="Arial" w:eastAsia="Arial" w:hAnsi="Arial"/>
                <w:sz w:val="16"/>
                <w:szCs w:val="16"/>
                <w:color w:val="auto"/>
              </w:rPr>
              <w:t>2,650,000</w:t>
            </w:r>
          </w:p>
        </w:tc>
        <w:tc>
          <w:tcPr>
            <w:tcW w:w="800" w:type="dxa"/>
            <w:vAlign w:val="bottom"/>
            <w:tcBorders>
              <w:bottom w:val="single" w:sz="8" w:color="D8D7D7"/>
            </w:tcBorders>
          </w:tcPr>
          <w:p>
            <w:pPr>
              <w:spacing w:after="0"/>
              <w:rPr>
                <w:sz w:val="21"/>
                <w:szCs w:val="21"/>
                <w:color w:val="auto"/>
              </w:rPr>
            </w:pPr>
          </w:p>
        </w:tc>
      </w:tr>
      <w:tr>
        <w:trPr>
          <w:trHeight w:val="250"/>
        </w:trPr>
        <w:tc>
          <w:tcPr>
            <w:tcW w:w="40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B  Stock Options Granted During Fiscal Year</w:t>
            </w:r>
          </w:p>
        </w:tc>
        <w:tc>
          <w:tcPr>
            <w:tcW w:w="146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D8D7D7"/>
            </w:tcBorders>
          </w:tcPr>
          <w:p>
            <w:pPr>
              <w:jc w:val="center"/>
              <w:ind w:left="80"/>
              <w:spacing w:after="0"/>
              <w:rPr>
                <w:sz w:val="20"/>
                <w:szCs w:val="20"/>
                <w:color w:val="auto"/>
              </w:rPr>
            </w:pPr>
            <w:r>
              <w:rPr>
                <w:rFonts w:ascii="Arial" w:cs="Arial" w:eastAsia="Arial" w:hAnsi="Arial"/>
                <w:sz w:val="16"/>
                <w:szCs w:val="16"/>
                <w:color w:val="auto"/>
              </w:rPr>
              <w:t>4,450,000</w:t>
            </w:r>
          </w:p>
        </w:tc>
        <w:tc>
          <w:tcPr>
            <w:tcW w:w="800" w:type="dxa"/>
            <w:vAlign w:val="bottom"/>
            <w:tcBorders>
              <w:bottom w:val="single" w:sz="8" w:color="D8D7D7"/>
            </w:tcBorders>
          </w:tcPr>
          <w:p>
            <w:pPr>
              <w:spacing w:after="0"/>
              <w:rPr>
                <w:sz w:val="21"/>
                <w:szCs w:val="21"/>
                <w:color w:val="auto"/>
              </w:rPr>
            </w:pPr>
          </w:p>
        </w:tc>
      </w:tr>
      <w:tr>
        <w:trPr>
          <w:trHeight w:val="250"/>
        </w:trPr>
        <w:tc>
          <w:tcPr>
            <w:tcW w:w="4020" w:type="dxa"/>
            <w:vAlign w:val="bottom"/>
            <w:tcBorders>
              <w:bottom w:val="single" w:sz="8" w:color="D8D7D7"/>
            </w:tcBorders>
          </w:tcPr>
          <w:p>
            <w:pPr>
              <w:ind w:left="320"/>
              <w:spacing w:after="0"/>
              <w:rPr>
                <w:sz w:val="20"/>
                <w:szCs w:val="20"/>
                <w:color w:val="auto"/>
              </w:rPr>
            </w:pPr>
            <w:r>
              <w:rPr>
                <w:rFonts w:ascii="Arial" w:cs="Arial" w:eastAsia="Arial" w:hAnsi="Arial"/>
                <w:sz w:val="16"/>
                <w:szCs w:val="16"/>
                <w:i w:val="1"/>
                <w:iCs w:val="1"/>
                <w:color w:val="auto"/>
              </w:rPr>
              <w:t>Timed-Based Stock Options Granted</w:t>
            </w:r>
          </w:p>
        </w:tc>
        <w:tc>
          <w:tcPr>
            <w:tcW w:w="146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D8D7D7"/>
            </w:tcBorders>
          </w:tcPr>
          <w:p>
            <w:pPr>
              <w:jc w:val="center"/>
              <w:ind w:left="80"/>
              <w:spacing w:after="0"/>
              <w:rPr>
                <w:sz w:val="20"/>
                <w:szCs w:val="20"/>
                <w:color w:val="auto"/>
              </w:rPr>
            </w:pPr>
            <w:r>
              <w:rPr>
                <w:rFonts w:ascii="Arial" w:cs="Arial" w:eastAsia="Arial" w:hAnsi="Arial"/>
                <w:sz w:val="16"/>
                <w:szCs w:val="16"/>
                <w:color w:val="auto"/>
              </w:rPr>
              <w:t>4,450,000</w:t>
            </w:r>
          </w:p>
        </w:tc>
        <w:tc>
          <w:tcPr>
            <w:tcW w:w="800" w:type="dxa"/>
            <w:vAlign w:val="bottom"/>
            <w:tcBorders>
              <w:bottom w:val="single" w:sz="8" w:color="D8D7D7"/>
            </w:tcBorders>
          </w:tcPr>
          <w:p>
            <w:pPr>
              <w:spacing w:after="0"/>
              <w:rPr>
                <w:sz w:val="21"/>
                <w:szCs w:val="21"/>
                <w:color w:val="auto"/>
              </w:rPr>
            </w:pPr>
          </w:p>
        </w:tc>
      </w:tr>
      <w:tr>
        <w:trPr>
          <w:trHeight w:val="250"/>
        </w:trPr>
        <w:tc>
          <w:tcPr>
            <w:tcW w:w="4020" w:type="dxa"/>
            <w:vAlign w:val="bottom"/>
            <w:tcBorders>
              <w:bottom w:val="single" w:sz="8" w:color="D8D7D7"/>
            </w:tcBorders>
          </w:tcPr>
          <w:p>
            <w:pPr>
              <w:ind w:left="320"/>
              <w:spacing w:after="0"/>
              <w:rPr>
                <w:sz w:val="20"/>
                <w:szCs w:val="20"/>
                <w:color w:val="auto"/>
              </w:rPr>
            </w:pPr>
            <w:r>
              <w:rPr>
                <w:rFonts w:ascii="Arial" w:cs="Arial" w:eastAsia="Arial" w:hAnsi="Arial"/>
                <w:sz w:val="16"/>
                <w:szCs w:val="16"/>
                <w:i w:val="1"/>
                <w:iCs w:val="1"/>
                <w:color w:val="auto"/>
              </w:rPr>
              <w:t>Performance Stock Options Granted</w:t>
            </w:r>
          </w:p>
        </w:tc>
        <w:tc>
          <w:tcPr>
            <w:tcW w:w="146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8D7D7"/>
            </w:tcBorders>
          </w:tcPr>
          <w:p>
            <w:pPr>
              <w:spacing w:after="0"/>
              <w:rPr>
                <w:sz w:val="21"/>
                <w:szCs w:val="21"/>
                <w:color w:val="auto"/>
              </w:rPr>
            </w:pPr>
          </w:p>
        </w:tc>
      </w:tr>
      <w:tr>
        <w:trPr>
          <w:trHeight w:val="250"/>
        </w:trPr>
        <w:tc>
          <w:tcPr>
            <w:tcW w:w="40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C  Total Awards Granted During Fiscal Year [A + B]</w:t>
            </w:r>
          </w:p>
        </w:tc>
        <w:tc>
          <w:tcPr>
            <w:tcW w:w="1460" w:type="dxa"/>
            <w:vAlign w:val="bottom"/>
            <w:tcBorders>
              <w:bottom w:val="single" w:sz="8" w:color="D8D7D7"/>
            </w:tcBorders>
          </w:tcPr>
          <w:p>
            <w:pPr>
              <w:jc w:val="right"/>
              <w:ind w:right="220"/>
              <w:spacing w:after="0"/>
              <w:rPr>
                <w:sz w:val="20"/>
                <w:szCs w:val="20"/>
                <w:color w:val="auto"/>
              </w:rPr>
            </w:pPr>
            <w:r>
              <w:rPr>
                <w:rFonts w:ascii="Arial" w:cs="Arial" w:eastAsia="Arial" w:hAnsi="Arial"/>
                <w:sz w:val="16"/>
                <w:szCs w:val="16"/>
                <w:color w:val="auto"/>
              </w:rPr>
              <w:t>8,600,000</w:t>
            </w:r>
          </w:p>
        </w:tc>
        <w:tc>
          <w:tcPr>
            <w:tcW w:w="1380" w:type="dxa"/>
            <w:vAlign w:val="bottom"/>
            <w:tcBorders>
              <w:bottom w:val="single" w:sz="8" w:color="D8D7D7"/>
            </w:tcBorders>
          </w:tcPr>
          <w:p>
            <w:pPr>
              <w:jc w:val="right"/>
              <w:ind w:right="180"/>
              <w:spacing w:after="0"/>
              <w:rPr>
                <w:sz w:val="20"/>
                <w:szCs w:val="20"/>
                <w:color w:val="auto"/>
              </w:rPr>
            </w:pPr>
            <w:r>
              <w:rPr>
                <w:rFonts w:ascii="Arial" w:cs="Arial" w:eastAsia="Arial" w:hAnsi="Arial"/>
                <w:sz w:val="16"/>
                <w:szCs w:val="16"/>
                <w:color w:val="auto"/>
              </w:rPr>
              <w:t>10,000,000</w:t>
            </w:r>
          </w:p>
        </w:tc>
        <w:tc>
          <w:tcPr>
            <w:tcW w:w="1400" w:type="dxa"/>
            <w:vAlign w:val="bottom"/>
            <w:tcBorders>
              <w:bottom w:val="single" w:sz="8" w:color="D8D7D7"/>
            </w:tcBorders>
          </w:tcPr>
          <w:p>
            <w:pPr>
              <w:jc w:val="center"/>
              <w:ind w:left="40"/>
              <w:spacing w:after="0"/>
              <w:rPr>
                <w:sz w:val="20"/>
                <w:szCs w:val="20"/>
                <w:color w:val="auto"/>
              </w:rPr>
            </w:pPr>
            <w:r>
              <w:rPr>
                <w:rFonts w:ascii="Arial" w:cs="Arial" w:eastAsia="Arial" w:hAnsi="Arial"/>
                <w:sz w:val="16"/>
                <w:szCs w:val="16"/>
                <w:color w:val="auto"/>
                <w:w w:val="99"/>
              </w:rPr>
              <w:t>14,300,000</w:t>
            </w:r>
          </w:p>
        </w:tc>
        <w:tc>
          <w:tcPr>
            <w:tcW w:w="800" w:type="dxa"/>
            <w:vAlign w:val="bottom"/>
            <w:tcBorders>
              <w:bottom w:val="single" w:sz="8" w:color="D8D7D7"/>
            </w:tcBorders>
          </w:tcPr>
          <w:p>
            <w:pPr>
              <w:spacing w:after="0"/>
              <w:rPr>
                <w:sz w:val="21"/>
                <w:szCs w:val="21"/>
                <w:color w:val="auto"/>
              </w:rPr>
            </w:pPr>
          </w:p>
        </w:tc>
      </w:tr>
      <w:tr>
        <w:trPr>
          <w:trHeight w:val="215"/>
        </w:trPr>
        <w:tc>
          <w:tcPr>
            <w:tcW w:w="4020" w:type="dxa"/>
            <w:vAlign w:val="bottom"/>
          </w:tcPr>
          <w:p>
            <w:pPr>
              <w:ind w:left="60"/>
              <w:spacing w:after="0"/>
              <w:rPr>
                <w:sz w:val="20"/>
                <w:szCs w:val="20"/>
                <w:color w:val="auto"/>
              </w:rPr>
            </w:pPr>
            <w:r>
              <w:rPr>
                <w:rFonts w:ascii="Arial" w:cs="Arial" w:eastAsia="Arial" w:hAnsi="Arial"/>
                <w:sz w:val="16"/>
                <w:szCs w:val="16"/>
                <w:color w:val="auto"/>
              </w:rPr>
              <w:t>D  Basic Weighted-Average GM Common</w:t>
            </w:r>
          </w:p>
        </w:tc>
        <w:tc>
          <w:tcPr>
            <w:tcW w:w="1460" w:type="dxa"/>
            <w:vAlign w:val="bottom"/>
          </w:tcPr>
          <w:p>
            <w:pPr>
              <w:jc w:val="right"/>
              <w:ind w:right="240"/>
              <w:spacing w:after="0"/>
              <w:rPr>
                <w:sz w:val="20"/>
                <w:szCs w:val="20"/>
                <w:color w:val="auto"/>
              </w:rPr>
            </w:pPr>
            <w:r>
              <w:rPr>
                <w:rFonts w:ascii="Arial" w:cs="Arial" w:eastAsia="Arial" w:hAnsi="Arial"/>
                <w:sz w:val="16"/>
                <w:szCs w:val="16"/>
                <w:color w:val="auto"/>
              </w:rPr>
              <w:t>955,000,000</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1,115,000,000</w:t>
            </w:r>
          </w:p>
        </w:tc>
        <w:tc>
          <w:tcPr>
            <w:tcW w:w="1400" w:type="dxa"/>
            <w:vAlign w:val="bottom"/>
          </w:tcPr>
          <w:p>
            <w:pPr>
              <w:jc w:val="right"/>
              <w:ind w:right="160"/>
              <w:spacing w:after="0"/>
              <w:rPr>
                <w:sz w:val="20"/>
                <w:szCs w:val="20"/>
                <w:color w:val="auto"/>
              </w:rPr>
            </w:pPr>
            <w:r>
              <w:rPr>
                <w:rFonts w:ascii="Arial" w:cs="Arial" w:eastAsia="Arial" w:hAnsi="Arial"/>
                <w:sz w:val="16"/>
                <w:szCs w:val="16"/>
                <w:color w:val="auto"/>
              </w:rPr>
              <w:t>1,364,000,000</w:t>
            </w:r>
          </w:p>
        </w:tc>
        <w:tc>
          <w:tcPr>
            <w:tcW w:w="800" w:type="dxa"/>
            <w:vAlign w:val="bottom"/>
          </w:tcPr>
          <w:p>
            <w:pPr>
              <w:spacing w:after="0"/>
              <w:rPr>
                <w:sz w:val="18"/>
                <w:szCs w:val="18"/>
                <w:color w:val="auto"/>
              </w:rPr>
            </w:pPr>
          </w:p>
        </w:tc>
      </w:tr>
      <w:tr>
        <w:trPr>
          <w:trHeight w:val="215"/>
        </w:trPr>
        <w:tc>
          <w:tcPr>
            <w:tcW w:w="4020" w:type="dxa"/>
            <w:vAlign w:val="bottom"/>
          </w:tcPr>
          <w:p>
            <w:pPr>
              <w:ind w:left="320"/>
              <w:spacing w:after="0"/>
              <w:rPr>
                <w:sz w:val="20"/>
                <w:szCs w:val="20"/>
                <w:color w:val="auto"/>
              </w:rPr>
            </w:pPr>
            <w:r>
              <w:rPr>
                <w:rFonts w:ascii="Arial" w:cs="Arial" w:eastAsia="Arial" w:hAnsi="Arial"/>
                <w:sz w:val="16"/>
                <w:szCs w:val="16"/>
                <w:color w:val="auto"/>
              </w:rPr>
              <w:t>Stock Outstanding</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9"/>
        </w:trPr>
        <w:tc>
          <w:tcPr>
            <w:tcW w:w="4020" w:type="dxa"/>
            <w:vAlign w:val="bottom"/>
            <w:tcBorders>
              <w:bottom w:val="single" w:sz="8" w:color="D8D7D7"/>
            </w:tcBorders>
          </w:tcPr>
          <w:p>
            <w:pPr>
              <w:spacing w:after="0"/>
              <w:rPr>
                <w:sz w:val="2"/>
                <w:szCs w:val="2"/>
                <w:color w:val="auto"/>
              </w:rPr>
            </w:pPr>
          </w:p>
        </w:tc>
        <w:tc>
          <w:tcPr>
            <w:tcW w:w="1460" w:type="dxa"/>
            <w:vAlign w:val="bottom"/>
            <w:tcBorders>
              <w:bottom w:val="single" w:sz="8" w:color="D8D7D7"/>
            </w:tcBorders>
          </w:tcPr>
          <w:p>
            <w:pPr>
              <w:spacing w:after="0"/>
              <w:rPr>
                <w:sz w:val="2"/>
                <w:szCs w:val="2"/>
                <w:color w:val="auto"/>
              </w:rPr>
            </w:pPr>
          </w:p>
        </w:tc>
        <w:tc>
          <w:tcPr>
            <w:tcW w:w="1380" w:type="dxa"/>
            <w:vAlign w:val="bottom"/>
            <w:tcBorders>
              <w:bottom w:val="single" w:sz="8" w:color="D8D7D7"/>
            </w:tcBorders>
          </w:tcPr>
          <w:p>
            <w:pPr>
              <w:spacing w:after="0"/>
              <w:rPr>
                <w:sz w:val="2"/>
                <w:szCs w:val="2"/>
                <w:color w:val="auto"/>
              </w:rPr>
            </w:pPr>
          </w:p>
        </w:tc>
        <w:tc>
          <w:tcPr>
            <w:tcW w:w="140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r>
      <w:tr>
        <w:trPr>
          <w:trHeight w:val="209"/>
        </w:trPr>
        <w:tc>
          <w:tcPr>
            <w:tcW w:w="4020" w:type="dxa"/>
            <w:vAlign w:val="bottom"/>
          </w:tcPr>
          <w:p>
            <w:pPr>
              <w:ind w:left="320"/>
              <w:spacing w:after="0"/>
              <w:rPr>
                <w:sz w:val="20"/>
                <w:szCs w:val="20"/>
                <w:color w:val="auto"/>
              </w:rPr>
            </w:pPr>
            <w:r>
              <w:rPr>
                <w:rFonts w:ascii="Arial" w:cs="Arial" w:eastAsia="Arial" w:hAnsi="Arial"/>
                <w:sz w:val="16"/>
                <w:szCs w:val="16"/>
                <w:color w:val="auto"/>
              </w:rPr>
              <w:t>Burn Rate Including Performance Awards</w:t>
            </w:r>
          </w:p>
        </w:tc>
        <w:tc>
          <w:tcPr>
            <w:tcW w:w="1460" w:type="dxa"/>
            <w:vAlign w:val="bottom"/>
          </w:tcPr>
          <w:p>
            <w:pPr>
              <w:jc w:val="right"/>
              <w:ind w:right="100"/>
              <w:spacing w:after="0"/>
              <w:rPr>
                <w:sz w:val="20"/>
                <w:szCs w:val="20"/>
                <w:color w:val="auto"/>
              </w:rPr>
            </w:pPr>
            <w:r>
              <w:rPr>
                <w:rFonts w:ascii="Arial" w:cs="Arial" w:eastAsia="Arial" w:hAnsi="Arial"/>
                <w:sz w:val="16"/>
                <w:szCs w:val="16"/>
                <w:color w:val="auto"/>
              </w:rPr>
              <w:t>0.9%</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0.9%</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8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5"/>
        </w:trPr>
        <w:tc>
          <w:tcPr>
            <w:tcW w:w="4020" w:type="dxa"/>
            <w:vAlign w:val="bottom"/>
          </w:tcPr>
          <w:p>
            <w:pPr>
              <w:ind w:left="320"/>
              <w:spacing w:after="0"/>
              <w:rPr>
                <w:sz w:val="20"/>
                <w:szCs w:val="20"/>
                <w:color w:val="auto"/>
              </w:rPr>
            </w:pPr>
            <w:r>
              <w:rPr>
                <w:rFonts w:ascii="Arial" w:cs="Arial" w:eastAsia="Arial" w:hAnsi="Arial"/>
                <w:sz w:val="16"/>
                <w:szCs w:val="16"/>
                <w:color w:val="auto"/>
              </w:rPr>
              <w:t>Granted [C / D]</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9"/>
        </w:trPr>
        <w:tc>
          <w:tcPr>
            <w:tcW w:w="4020" w:type="dxa"/>
            <w:vAlign w:val="bottom"/>
            <w:tcBorders>
              <w:bottom w:val="single" w:sz="8" w:color="D8D7D7"/>
            </w:tcBorders>
          </w:tcPr>
          <w:p>
            <w:pPr>
              <w:spacing w:after="0"/>
              <w:rPr>
                <w:sz w:val="2"/>
                <w:szCs w:val="2"/>
                <w:color w:val="auto"/>
              </w:rPr>
            </w:pPr>
          </w:p>
        </w:tc>
        <w:tc>
          <w:tcPr>
            <w:tcW w:w="1460" w:type="dxa"/>
            <w:vAlign w:val="bottom"/>
            <w:tcBorders>
              <w:bottom w:val="single" w:sz="8" w:color="D8D7D7"/>
            </w:tcBorders>
          </w:tcPr>
          <w:p>
            <w:pPr>
              <w:spacing w:after="0"/>
              <w:rPr>
                <w:sz w:val="2"/>
                <w:szCs w:val="2"/>
                <w:color w:val="auto"/>
              </w:rPr>
            </w:pPr>
          </w:p>
        </w:tc>
        <w:tc>
          <w:tcPr>
            <w:tcW w:w="1380" w:type="dxa"/>
            <w:vAlign w:val="bottom"/>
            <w:tcBorders>
              <w:bottom w:val="single" w:sz="8" w:color="D8D7D7"/>
            </w:tcBorders>
          </w:tcPr>
          <w:p>
            <w:pPr>
              <w:spacing w:after="0"/>
              <w:rPr>
                <w:sz w:val="2"/>
                <w:szCs w:val="2"/>
                <w:color w:val="auto"/>
              </w:rPr>
            </w:pPr>
          </w:p>
        </w:tc>
        <w:tc>
          <w:tcPr>
            <w:tcW w:w="1400" w:type="dxa"/>
            <w:vAlign w:val="bottom"/>
            <w:tcBorders>
              <w:bottom w:val="single" w:sz="8" w:color="D8D7D7"/>
            </w:tcBorders>
          </w:tcPr>
          <w:p>
            <w:pPr>
              <w:spacing w:after="0"/>
              <w:rPr>
                <w:sz w:val="2"/>
                <w:szCs w:val="2"/>
                <w:color w:val="auto"/>
              </w:rPr>
            </w:pPr>
          </w:p>
        </w:tc>
        <w:tc>
          <w:tcPr>
            <w:tcW w:w="800" w:type="dxa"/>
            <w:vAlign w:val="bottom"/>
            <w:tcBorders>
              <w:bottom w:val="single" w:sz="8" w:color="D8D7D7"/>
            </w:tcBorders>
          </w:tcPr>
          <w:p>
            <w:pPr>
              <w:spacing w:after="0"/>
              <w:rPr>
                <w:sz w:val="2"/>
                <w:szCs w:val="2"/>
                <w:color w:val="auto"/>
              </w:rPr>
            </w:pPr>
          </w:p>
        </w:tc>
      </w:tr>
      <w:tr>
        <w:trPr>
          <w:trHeight w:val="199"/>
        </w:trPr>
        <w:tc>
          <w:tcPr>
            <w:tcW w:w="4020" w:type="dxa"/>
            <w:vAlign w:val="bottom"/>
          </w:tcPr>
          <w:p>
            <w:pPr>
              <w:ind w:left="320"/>
              <w:spacing w:after="0"/>
              <w:rPr>
                <w:sz w:val="20"/>
                <w:szCs w:val="20"/>
                <w:color w:val="auto"/>
              </w:rPr>
            </w:pPr>
            <w:r>
              <w:rPr>
                <w:rFonts w:ascii="Arial" w:cs="Arial" w:eastAsia="Arial" w:hAnsi="Arial"/>
                <w:sz w:val="16"/>
                <w:szCs w:val="16"/>
                <w:color w:val="auto"/>
              </w:rPr>
              <w:t>Burn Rate Including Performance Awards</w:t>
            </w:r>
          </w:p>
        </w:tc>
        <w:tc>
          <w:tcPr>
            <w:tcW w:w="1460" w:type="dxa"/>
            <w:vAlign w:val="bottom"/>
          </w:tcPr>
          <w:p>
            <w:pPr>
              <w:jc w:val="right"/>
              <w:ind w:right="100"/>
              <w:spacing w:after="0"/>
              <w:rPr>
                <w:sz w:val="20"/>
                <w:szCs w:val="20"/>
                <w:color w:val="auto"/>
              </w:rPr>
            </w:pPr>
            <w:r>
              <w:rPr>
                <w:rFonts w:ascii="Arial" w:cs="Arial" w:eastAsia="Arial" w:hAnsi="Arial"/>
                <w:sz w:val="16"/>
                <w:szCs w:val="16"/>
                <w:color w:val="auto"/>
              </w:rPr>
              <w:t>0.9%</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0.7%</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8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54"/>
        </w:trPr>
        <w:tc>
          <w:tcPr>
            <w:tcW w:w="4020" w:type="dxa"/>
            <w:vAlign w:val="bottom"/>
            <w:tcBorders>
              <w:bottom w:val="single" w:sz="8" w:color="0956FF"/>
            </w:tcBorders>
          </w:tcPr>
          <w:p>
            <w:pPr>
              <w:ind w:left="320"/>
              <w:spacing w:after="0"/>
              <w:rPr>
                <w:sz w:val="20"/>
                <w:szCs w:val="20"/>
                <w:color w:val="auto"/>
              </w:rPr>
            </w:pPr>
            <w:r>
              <w:rPr>
                <w:rFonts w:ascii="Arial" w:cs="Arial" w:eastAsia="Arial" w:hAnsi="Arial"/>
                <w:sz w:val="16"/>
                <w:szCs w:val="16"/>
                <w:color w:val="auto"/>
              </w:rPr>
              <w:t xml:space="preserve">Vested/Earned [C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 D]</w:t>
            </w:r>
          </w:p>
        </w:tc>
        <w:tc>
          <w:tcPr>
            <w:tcW w:w="1460" w:type="dxa"/>
            <w:vAlign w:val="bottom"/>
            <w:tcBorders>
              <w:bottom w:val="single" w:sz="8" w:color="0956FF"/>
            </w:tcBorders>
          </w:tcPr>
          <w:p>
            <w:pPr>
              <w:spacing w:after="0"/>
              <w:rPr>
                <w:sz w:val="22"/>
                <w:szCs w:val="22"/>
                <w:color w:val="auto"/>
              </w:rPr>
            </w:pPr>
          </w:p>
        </w:tc>
        <w:tc>
          <w:tcPr>
            <w:tcW w:w="1380" w:type="dxa"/>
            <w:vAlign w:val="bottom"/>
            <w:tcBorders>
              <w:bottom w:val="single" w:sz="8" w:color="0956FF"/>
            </w:tcBorders>
          </w:tcPr>
          <w:p>
            <w:pPr>
              <w:spacing w:after="0"/>
              <w:rPr>
                <w:sz w:val="22"/>
                <w:szCs w:val="22"/>
                <w:color w:val="auto"/>
              </w:rPr>
            </w:pPr>
          </w:p>
        </w:tc>
        <w:tc>
          <w:tcPr>
            <w:tcW w:w="1400" w:type="dxa"/>
            <w:vAlign w:val="bottom"/>
            <w:tcBorders>
              <w:bottom w:val="single" w:sz="8" w:color="0956FF"/>
            </w:tcBorders>
          </w:tcPr>
          <w:p>
            <w:pPr>
              <w:spacing w:after="0"/>
              <w:rPr>
                <w:sz w:val="22"/>
                <w:szCs w:val="22"/>
                <w:color w:val="auto"/>
              </w:rPr>
            </w:pPr>
          </w:p>
        </w:tc>
        <w:tc>
          <w:tcPr>
            <w:tcW w:w="800" w:type="dxa"/>
            <w:vAlign w:val="bottom"/>
            <w:tcBorders>
              <w:bottom w:val="single" w:sz="8" w:color="0956FF"/>
            </w:tcBorders>
          </w:tcPr>
          <w:p>
            <w:pPr>
              <w:spacing w:after="0"/>
              <w:rPr>
                <w:sz w:val="22"/>
                <w:szCs w:val="22"/>
                <w:color w:val="auto"/>
              </w:rPr>
            </w:pPr>
          </w:p>
        </w:tc>
      </w:tr>
    </w:tbl>
    <w:p>
      <w:pPr>
        <w:spacing w:after="0" w:line="85" w:lineRule="exact"/>
        <w:rPr>
          <w:sz w:val="20"/>
          <w:szCs w:val="20"/>
          <w:color w:val="auto"/>
        </w:rPr>
      </w:pPr>
    </w:p>
    <w:p>
      <w:pPr>
        <w:ind w:left="200" w:right="300" w:hanging="192"/>
        <w:spacing w:after="0" w:line="239" w:lineRule="auto"/>
        <w:tabs>
          <w:tab w:leader="none" w:pos="200"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Awards with performance conditions include PSUs, and the following table details the amounts granted and vested or earned in the last three fiscal years:</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247"/>
        </w:trPr>
        <w:tc>
          <w:tcPr>
            <w:tcW w:w="4640" w:type="dxa"/>
            <w:vAlign w:val="bottom"/>
            <w:shd w:val="clear" w:color="auto" w:fill="ECEBEB"/>
          </w:tcPr>
          <w:p>
            <w:pPr>
              <w:spacing w:after="0"/>
              <w:rPr>
                <w:sz w:val="21"/>
                <w:szCs w:val="21"/>
                <w:color w:val="auto"/>
              </w:rPr>
            </w:pPr>
          </w:p>
        </w:tc>
        <w:tc>
          <w:tcPr>
            <w:tcW w:w="422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4640" w:type="dxa"/>
            <w:vAlign w:val="bottom"/>
            <w:tcBorders>
              <w:bottom w:val="single" w:sz="8" w:color="0956FF"/>
            </w:tcBorders>
            <w:shd w:val="clear" w:color="auto" w:fill="ECEBEB"/>
          </w:tcPr>
          <w:p>
            <w:pPr>
              <w:spacing w:after="0"/>
              <w:rPr>
                <w:sz w:val="14"/>
                <w:szCs w:val="14"/>
                <w:color w:val="auto"/>
              </w:rPr>
            </w:pPr>
          </w:p>
        </w:tc>
        <w:tc>
          <w:tcPr>
            <w:tcW w:w="422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PSUs</w:t>
            </w:r>
          </w:p>
        </w:tc>
      </w:tr>
      <w:tr>
        <w:trPr>
          <w:trHeight w:val="237"/>
        </w:trPr>
        <w:tc>
          <w:tcPr>
            <w:tcW w:w="464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auto"/>
              </w:rPr>
              <w:t>2025</w:t>
            </w:r>
          </w:p>
        </w:tc>
        <w:tc>
          <w:tcPr>
            <w:tcW w:w="4220" w:type="dxa"/>
            <w:vAlign w:val="bottom"/>
            <w:tcBorders>
              <w:bottom w:val="single" w:sz="8" w:color="D8D7D7"/>
            </w:tcBorders>
          </w:tcPr>
          <w:p>
            <w:pPr>
              <w:spacing w:after="0"/>
              <w:rPr>
                <w:sz w:val="20"/>
                <w:szCs w:val="20"/>
                <w:color w:val="auto"/>
              </w:rPr>
            </w:pPr>
          </w:p>
        </w:tc>
      </w:tr>
      <w:tr>
        <w:trPr>
          <w:trHeight w:val="236"/>
        </w:trPr>
        <w:tc>
          <w:tcPr>
            <w:tcW w:w="4640" w:type="dxa"/>
            <w:vAlign w:val="bottom"/>
            <w:tcBorders>
              <w:bottom w:val="single" w:sz="8" w:color="D8D7D7"/>
            </w:tcBorders>
          </w:tcPr>
          <w:p>
            <w:pPr>
              <w:ind w:left="60"/>
              <w:spacing w:after="0"/>
              <w:rPr>
                <w:sz w:val="20"/>
                <w:szCs w:val="20"/>
                <w:color w:val="auto"/>
              </w:rPr>
            </w:pPr>
            <w:r>
              <w:rPr>
                <w:rFonts w:ascii="Arial" w:cs="Arial" w:eastAsia="Arial" w:hAnsi="Arial"/>
                <w:sz w:val="14"/>
                <w:szCs w:val="14"/>
                <w:color w:val="auto"/>
              </w:rPr>
              <w:t>Granted</w:t>
            </w:r>
          </w:p>
        </w:tc>
        <w:tc>
          <w:tcPr>
            <w:tcW w:w="4220" w:type="dxa"/>
            <w:vAlign w:val="bottom"/>
            <w:tcBorders>
              <w:bottom w:val="single" w:sz="8" w:color="D8D7D7"/>
            </w:tcBorders>
          </w:tcPr>
          <w:p>
            <w:pPr>
              <w:jc w:val="right"/>
              <w:ind w:right="15"/>
              <w:spacing w:after="0"/>
              <w:rPr>
                <w:sz w:val="20"/>
                <w:szCs w:val="20"/>
                <w:color w:val="auto"/>
              </w:rPr>
            </w:pPr>
            <w:r>
              <w:rPr>
                <w:rFonts w:ascii="Arial" w:cs="Arial" w:eastAsia="Arial" w:hAnsi="Arial"/>
                <w:sz w:val="13"/>
                <w:szCs w:val="13"/>
                <w:color w:val="auto"/>
              </w:rPr>
              <w:t>4,100,000</w:t>
            </w:r>
          </w:p>
        </w:tc>
      </w:tr>
      <w:tr>
        <w:trPr>
          <w:trHeight w:val="237"/>
        </w:trPr>
        <w:tc>
          <w:tcPr>
            <w:tcW w:w="4640" w:type="dxa"/>
            <w:vAlign w:val="bottom"/>
            <w:tcBorders>
              <w:bottom w:val="single" w:sz="8" w:color="D8D7D7"/>
            </w:tcBorders>
          </w:tcPr>
          <w:p>
            <w:pPr>
              <w:ind w:left="60"/>
              <w:spacing w:after="0"/>
              <w:rPr>
                <w:sz w:val="20"/>
                <w:szCs w:val="20"/>
                <w:color w:val="auto"/>
              </w:rPr>
            </w:pPr>
            <w:r>
              <w:rPr>
                <w:rFonts w:ascii="Arial" w:cs="Arial" w:eastAsia="Arial" w:hAnsi="Arial"/>
                <w:sz w:val="14"/>
                <w:szCs w:val="14"/>
                <w:color w:val="auto"/>
              </w:rPr>
              <w:t>Vested or Earned</w:t>
            </w:r>
          </w:p>
        </w:tc>
        <w:tc>
          <w:tcPr>
            <w:tcW w:w="4220" w:type="dxa"/>
            <w:vAlign w:val="bottom"/>
            <w:tcBorders>
              <w:bottom w:val="single" w:sz="8" w:color="D8D7D7"/>
            </w:tcBorders>
          </w:tcPr>
          <w:p>
            <w:pPr>
              <w:jc w:val="right"/>
              <w:ind w:right="15"/>
              <w:spacing w:after="0"/>
              <w:rPr>
                <w:sz w:val="20"/>
                <w:szCs w:val="20"/>
                <w:color w:val="auto"/>
              </w:rPr>
            </w:pPr>
            <w:r>
              <w:rPr>
                <w:rFonts w:ascii="Arial" w:cs="Arial" w:eastAsia="Arial" w:hAnsi="Arial"/>
                <w:sz w:val="13"/>
                <w:szCs w:val="13"/>
                <w:color w:val="auto"/>
              </w:rPr>
              <w:t>4,100,000</w:t>
            </w:r>
          </w:p>
        </w:tc>
      </w:tr>
      <w:tr>
        <w:trPr>
          <w:trHeight w:val="236"/>
        </w:trPr>
        <w:tc>
          <w:tcPr>
            <w:tcW w:w="464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auto"/>
              </w:rPr>
              <w:t>2024</w:t>
            </w:r>
          </w:p>
        </w:tc>
        <w:tc>
          <w:tcPr>
            <w:tcW w:w="4220" w:type="dxa"/>
            <w:vAlign w:val="bottom"/>
            <w:tcBorders>
              <w:bottom w:val="single" w:sz="8" w:color="D8D7D7"/>
            </w:tcBorders>
          </w:tcPr>
          <w:p>
            <w:pPr>
              <w:spacing w:after="0"/>
              <w:rPr>
                <w:sz w:val="20"/>
                <w:szCs w:val="20"/>
                <w:color w:val="auto"/>
              </w:rPr>
            </w:pPr>
          </w:p>
        </w:tc>
      </w:tr>
      <w:tr>
        <w:trPr>
          <w:trHeight w:val="237"/>
        </w:trPr>
        <w:tc>
          <w:tcPr>
            <w:tcW w:w="4640" w:type="dxa"/>
            <w:vAlign w:val="bottom"/>
            <w:tcBorders>
              <w:bottom w:val="single" w:sz="8" w:color="D8D7D7"/>
            </w:tcBorders>
          </w:tcPr>
          <w:p>
            <w:pPr>
              <w:ind w:left="60"/>
              <w:spacing w:after="0"/>
              <w:rPr>
                <w:sz w:val="20"/>
                <w:szCs w:val="20"/>
                <w:color w:val="auto"/>
              </w:rPr>
            </w:pPr>
            <w:r>
              <w:rPr>
                <w:rFonts w:ascii="Arial" w:cs="Arial" w:eastAsia="Arial" w:hAnsi="Arial"/>
                <w:sz w:val="14"/>
                <w:szCs w:val="14"/>
                <w:color w:val="auto"/>
              </w:rPr>
              <w:t>Granted</w:t>
            </w:r>
          </w:p>
        </w:tc>
        <w:tc>
          <w:tcPr>
            <w:tcW w:w="4220" w:type="dxa"/>
            <w:vAlign w:val="bottom"/>
            <w:tcBorders>
              <w:bottom w:val="single" w:sz="8" w:color="D8D7D7"/>
            </w:tcBorders>
          </w:tcPr>
          <w:p>
            <w:pPr>
              <w:jc w:val="right"/>
              <w:ind w:right="35"/>
              <w:spacing w:after="0"/>
              <w:rPr>
                <w:sz w:val="20"/>
                <w:szCs w:val="20"/>
                <w:color w:val="auto"/>
              </w:rPr>
            </w:pPr>
            <w:r>
              <w:rPr>
                <w:rFonts w:ascii="Arial" w:cs="Arial" w:eastAsia="Arial" w:hAnsi="Arial"/>
                <w:sz w:val="13"/>
                <w:szCs w:val="13"/>
                <w:color w:val="auto"/>
              </w:rPr>
              <w:t>4,300,000</w:t>
            </w:r>
          </w:p>
        </w:tc>
      </w:tr>
      <w:tr>
        <w:trPr>
          <w:trHeight w:val="236"/>
        </w:trPr>
        <w:tc>
          <w:tcPr>
            <w:tcW w:w="4640" w:type="dxa"/>
            <w:vAlign w:val="bottom"/>
            <w:tcBorders>
              <w:bottom w:val="single" w:sz="8" w:color="D8D7D7"/>
            </w:tcBorders>
          </w:tcPr>
          <w:p>
            <w:pPr>
              <w:ind w:left="60"/>
              <w:spacing w:after="0"/>
              <w:rPr>
                <w:sz w:val="20"/>
                <w:szCs w:val="20"/>
                <w:color w:val="auto"/>
              </w:rPr>
            </w:pPr>
            <w:r>
              <w:rPr>
                <w:rFonts w:ascii="Arial" w:cs="Arial" w:eastAsia="Arial" w:hAnsi="Arial"/>
                <w:sz w:val="14"/>
                <w:szCs w:val="14"/>
                <w:color w:val="auto"/>
              </w:rPr>
              <w:t>Vested or Earned</w:t>
            </w:r>
          </w:p>
        </w:tc>
        <w:tc>
          <w:tcPr>
            <w:tcW w:w="4220" w:type="dxa"/>
            <w:vAlign w:val="bottom"/>
            <w:tcBorders>
              <w:bottom w:val="single" w:sz="8" w:color="D8D7D7"/>
            </w:tcBorders>
          </w:tcPr>
          <w:p>
            <w:pPr>
              <w:jc w:val="right"/>
              <w:ind w:right="35"/>
              <w:spacing w:after="0"/>
              <w:rPr>
                <w:sz w:val="20"/>
                <w:szCs w:val="20"/>
                <w:color w:val="auto"/>
              </w:rPr>
            </w:pPr>
            <w:r>
              <w:rPr>
                <w:rFonts w:ascii="Arial" w:cs="Arial" w:eastAsia="Arial" w:hAnsi="Arial"/>
                <w:sz w:val="13"/>
                <w:szCs w:val="13"/>
                <w:color w:val="auto"/>
              </w:rPr>
              <w:t>2,400,000</w:t>
            </w:r>
          </w:p>
        </w:tc>
      </w:tr>
      <w:tr>
        <w:trPr>
          <w:trHeight w:val="237"/>
        </w:trPr>
        <w:tc>
          <w:tcPr>
            <w:tcW w:w="4640" w:type="dxa"/>
            <w:vAlign w:val="bottom"/>
            <w:tcBorders>
              <w:bottom w:val="single" w:sz="8" w:color="D8D7D7"/>
            </w:tcBorders>
          </w:tcPr>
          <w:p>
            <w:pPr>
              <w:ind w:left="60"/>
              <w:spacing w:after="0"/>
              <w:rPr>
                <w:sz w:val="20"/>
                <w:szCs w:val="20"/>
                <w:color w:val="auto"/>
              </w:rPr>
            </w:pPr>
            <w:r>
              <w:rPr>
                <w:rFonts w:ascii="Arial" w:cs="Arial" w:eastAsia="Arial" w:hAnsi="Arial"/>
                <w:sz w:val="14"/>
                <w:szCs w:val="14"/>
                <w:b w:val="1"/>
                <w:bCs w:val="1"/>
                <w:color w:val="auto"/>
              </w:rPr>
              <w:t>2023</w:t>
            </w:r>
          </w:p>
        </w:tc>
        <w:tc>
          <w:tcPr>
            <w:tcW w:w="4220" w:type="dxa"/>
            <w:vAlign w:val="bottom"/>
            <w:tcBorders>
              <w:bottom w:val="single" w:sz="8" w:color="D8D7D7"/>
            </w:tcBorders>
          </w:tcPr>
          <w:p>
            <w:pPr>
              <w:spacing w:after="0"/>
              <w:rPr>
                <w:sz w:val="20"/>
                <w:szCs w:val="20"/>
                <w:color w:val="auto"/>
              </w:rPr>
            </w:pPr>
          </w:p>
        </w:tc>
      </w:tr>
      <w:tr>
        <w:trPr>
          <w:trHeight w:val="236"/>
        </w:trPr>
        <w:tc>
          <w:tcPr>
            <w:tcW w:w="4640" w:type="dxa"/>
            <w:vAlign w:val="bottom"/>
            <w:tcBorders>
              <w:bottom w:val="single" w:sz="8" w:color="D8D7D7"/>
            </w:tcBorders>
          </w:tcPr>
          <w:p>
            <w:pPr>
              <w:ind w:left="60"/>
              <w:spacing w:after="0"/>
              <w:rPr>
                <w:sz w:val="20"/>
                <w:szCs w:val="20"/>
                <w:color w:val="auto"/>
              </w:rPr>
            </w:pPr>
            <w:r>
              <w:rPr>
                <w:rFonts w:ascii="Arial" w:cs="Arial" w:eastAsia="Arial" w:hAnsi="Arial"/>
                <w:sz w:val="14"/>
                <w:szCs w:val="14"/>
                <w:color w:val="auto"/>
              </w:rPr>
              <w:t>Granted</w:t>
            </w:r>
          </w:p>
        </w:tc>
        <w:tc>
          <w:tcPr>
            <w:tcW w:w="4220" w:type="dxa"/>
            <w:vAlign w:val="bottom"/>
            <w:tcBorders>
              <w:bottom w:val="single" w:sz="8" w:color="D8D7D7"/>
            </w:tcBorders>
          </w:tcPr>
          <w:p>
            <w:pPr>
              <w:jc w:val="right"/>
              <w:ind w:right="35"/>
              <w:spacing w:after="0"/>
              <w:rPr>
                <w:sz w:val="20"/>
                <w:szCs w:val="20"/>
                <w:color w:val="auto"/>
              </w:rPr>
            </w:pPr>
            <w:r>
              <w:rPr>
                <w:rFonts w:ascii="Arial" w:cs="Arial" w:eastAsia="Arial" w:hAnsi="Arial"/>
                <w:sz w:val="13"/>
                <w:szCs w:val="13"/>
                <w:color w:val="auto"/>
              </w:rPr>
              <w:t>7,200,000</w:t>
            </w:r>
          </w:p>
        </w:tc>
      </w:tr>
      <w:tr>
        <w:trPr>
          <w:trHeight w:val="237"/>
        </w:trPr>
        <w:tc>
          <w:tcPr>
            <w:tcW w:w="4640" w:type="dxa"/>
            <w:vAlign w:val="bottom"/>
            <w:tcBorders>
              <w:bottom w:val="single" w:sz="8" w:color="0956FF"/>
            </w:tcBorders>
          </w:tcPr>
          <w:p>
            <w:pPr>
              <w:ind w:left="60"/>
              <w:spacing w:after="0"/>
              <w:rPr>
                <w:sz w:val="20"/>
                <w:szCs w:val="20"/>
                <w:color w:val="auto"/>
              </w:rPr>
            </w:pPr>
            <w:r>
              <w:rPr>
                <w:rFonts w:ascii="Arial" w:cs="Arial" w:eastAsia="Arial" w:hAnsi="Arial"/>
                <w:sz w:val="14"/>
                <w:szCs w:val="14"/>
                <w:color w:val="auto"/>
              </w:rPr>
              <w:t>Vested or Earned</w:t>
            </w:r>
          </w:p>
        </w:tc>
        <w:tc>
          <w:tcPr>
            <w:tcW w:w="4220" w:type="dxa"/>
            <w:vAlign w:val="bottom"/>
            <w:tcBorders>
              <w:bottom w:val="single" w:sz="8" w:color="0956FF"/>
            </w:tcBorders>
          </w:tcPr>
          <w:p>
            <w:pPr>
              <w:jc w:val="right"/>
              <w:ind w:right="15"/>
              <w:spacing w:after="0"/>
              <w:rPr>
                <w:sz w:val="20"/>
                <w:szCs w:val="20"/>
                <w:color w:val="auto"/>
              </w:rPr>
            </w:pPr>
            <w:r>
              <w:rPr>
                <w:rFonts w:ascii="Arial" w:cs="Arial" w:eastAsia="Arial" w:hAnsi="Arial"/>
                <w:sz w:val="13"/>
                <w:szCs w:val="13"/>
                <w:color w:val="auto"/>
              </w:rPr>
              <w:t>6,100,000</w:t>
            </w:r>
          </w:p>
        </w:tc>
      </w:tr>
    </w:tbl>
    <w:p>
      <w:pPr>
        <w:spacing w:after="0" w:line="200" w:lineRule="exact"/>
        <w:rPr>
          <w:sz w:val="20"/>
          <w:szCs w:val="20"/>
          <w:color w:val="auto"/>
        </w:rPr>
      </w:pP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83</w:t>
      </w:r>
    </w:p>
    <w:p>
      <w:pPr>
        <w:sectPr>
          <w:pgSz w:w="11900" w:h="16838" w:orient="portrait"/>
          <w:cols w:equalWidth="0" w:num="1">
            <w:col w:w="9100"/>
          </w:cols>
          <w:pgMar w:left="1400" w:top="657" w:right="13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Summary of the 2020 LTIP</w:t>
      </w:r>
    </w:p>
    <w:p>
      <w:pPr>
        <w:spacing w:after="0" w:line="9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 xml:space="preserve">The principal features of the 2020 LTIP, as proposed to be amended, are summarized below. The following summary does not purport to be a complete description of all the provisions of the 2020 LTIP. It is qualified in its entirety by reference to the complete text of Amendment No. 2 as set forth in Appendix B, Amendment No. 1, which was filed as Appendix B to our 2023 Proxy Statement, and the full text of the 2020 LTIP which was filed as Appendix B to our 2020 Proxy Statement, each of which is available at </w:t>
      </w:r>
      <w:r>
        <w:rPr>
          <w:rFonts w:ascii="Arial" w:cs="Arial" w:eastAsia="Arial" w:hAnsi="Arial"/>
          <w:sz w:val="16"/>
          <w:szCs w:val="16"/>
          <w:u w:val="single" w:color="auto"/>
          <w:color w:val="0956FF"/>
        </w:rPr>
        <w:t>investor.gm.com</w:t>
      </w:r>
      <w:r>
        <w:rPr>
          <w:rFonts w:ascii="Arial" w:cs="Arial" w:eastAsia="Arial" w:hAnsi="Arial"/>
          <w:sz w:val="16"/>
          <w:szCs w:val="16"/>
          <w:color w:val="auto"/>
        </w:rPr>
        <w:t xml:space="preserve"> or on the SEC’s website at </w:t>
      </w:r>
      <w:r>
        <w:rPr>
          <w:rFonts w:ascii="Arial" w:cs="Arial" w:eastAsia="Arial" w:hAnsi="Arial"/>
          <w:sz w:val="16"/>
          <w:szCs w:val="16"/>
          <w:u w:val="single" w:color="auto"/>
          <w:color w:val="0956FF"/>
        </w:rPr>
        <w:t>www.sec.gov</w:t>
      </w:r>
      <w:r>
        <w:rPr>
          <w:rFonts w:ascii="Arial" w:cs="Arial" w:eastAsia="Arial" w:hAnsi="Arial"/>
          <w:sz w:val="16"/>
          <w:szCs w:val="16"/>
          <w:color w:val="auto"/>
        </w:rPr>
        <w: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2380" w:type="dxa"/>
            <w:vAlign w:val="bottom"/>
            <w:tcBorders>
              <w:bottom w:val="single" w:sz="8" w:color="ECEBEB"/>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Key Provisions</w:t>
            </w:r>
          </w:p>
        </w:tc>
        <w:tc>
          <w:tcPr>
            <w:tcW w:w="6680" w:type="dxa"/>
            <w:vAlign w:val="bottom"/>
            <w:tcBorders>
              <w:bottom w:val="single" w:sz="8" w:color="ECEBEB"/>
            </w:tcBorders>
            <w:shd w:val="clear" w:color="auto" w:fill="ECEBEB"/>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2380" w:type="dxa"/>
            <w:vAlign w:val="bottom"/>
            <w:tcBorders>
              <w:top w:val="single" w:sz="8" w:color="0956FF"/>
            </w:tcBorders>
          </w:tcPr>
          <w:p>
            <w:pPr>
              <w:ind w:left="60"/>
              <w:spacing w:after="0"/>
              <w:rPr>
                <w:sz w:val="20"/>
                <w:szCs w:val="20"/>
                <w:color w:val="auto"/>
              </w:rPr>
            </w:pPr>
            <w:r>
              <w:rPr>
                <w:rFonts w:ascii="Arial" w:cs="Arial" w:eastAsia="Arial" w:hAnsi="Arial"/>
                <w:sz w:val="16"/>
                <w:szCs w:val="16"/>
                <w:b w:val="1"/>
                <w:bCs w:val="1"/>
                <w:color w:val="0956FF"/>
              </w:rPr>
              <w:t>Eligible Participants</w:t>
            </w:r>
          </w:p>
        </w:tc>
        <w:tc>
          <w:tcPr>
            <w:tcW w:w="6680" w:type="dxa"/>
            <w:vAlign w:val="bottom"/>
            <w:tcBorders>
              <w:top w:val="single" w:sz="8" w:color="0956FF"/>
            </w:tcBorders>
          </w:tcPr>
          <w:p>
            <w:pPr>
              <w:ind w:left="40"/>
              <w:spacing w:after="0"/>
              <w:rPr>
                <w:sz w:val="20"/>
                <w:szCs w:val="20"/>
                <w:color w:val="auto"/>
              </w:rPr>
            </w:pPr>
            <w:r>
              <w:rPr>
                <w:rFonts w:ascii="Arial" w:cs="Arial" w:eastAsia="Arial" w:hAnsi="Arial"/>
                <w:sz w:val="16"/>
                <w:szCs w:val="16"/>
                <w:color w:val="auto"/>
              </w:rPr>
              <w:t>Officers, employees, consultants, advisors, and non-employee directors who are</w:t>
            </w:r>
          </w:p>
        </w:tc>
      </w:tr>
      <w:tr>
        <w:trPr>
          <w:trHeight w:val="215"/>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designated by the Compensation Committee to participate in the 2020 LTIP.</w:t>
            </w:r>
          </w:p>
        </w:tc>
      </w:tr>
      <w:tr>
        <w:trPr>
          <w:trHeight w:val="56"/>
        </w:trPr>
        <w:tc>
          <w:tcPr>
            <w:tcW w:w="2380" w:type="dxa"/>
            <w:vAlign w:val="bottom"/>
            <w:tcBorders>
              <w:bottom w:val="single" w:sz="8" w:color="D8D7D7"/>
            </w:tcBorders>
          </w:tcPr>
          <w:p>
            <w:pPr>
              <w:spacing w:after="0"/>
              <w:rPr>
                <w:sz w:val="4"/>
                <w:szCs w:val="4"/>
                <w:color w:val="auto"/>
              </w:rPr>
            </w:pPr>
          </w:p>
        </w:tc>
        <w:tc>
          <w:tcPr>
            <w:tcW w:w="6680" w:type="dxa"/>
            <w:vAlign w:val="bottom"/>
            <w:tcBorders>
              <w:bottom w:val="single" w:sz="8" w:color="D8D7D7"/>
            </w:tcBorders>
          </w:tcPr>
          <w:p>
            <w:pPr>
              <w:spacing w:after="0"/>
              <w:rPr>
                <w:sz w:val="4"/>
                <w:szCs w:val="4"/>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Shares Subject to Plan</w:t>
            </w:r>
          </w:p>
        </w:tc>
        <w:tc>
          <w:tcPr>
            <w:tcW w:w="6680" w:type="dxa"/>
            <w:vAlign w:val="bottom"/>
          </w:tcPr>
          <w:p>
            <w:pPr>
              <w:ind w:left="40"/>
              <w:spacing w:after="0"/>
              <w:rPr>
                <w:sz w:val="20"/>
                <w:szCs w:val="20"/>
                <w:color w:val="auto"/>
              </w:rPr>
            </w:pPr>
            <w:r>
              <w:rPr>
                <w:rFonts w:ascii="Arial" w:cs="Arial" w:eastAsia="Arial" w:hAnsi="Arial"/>
                <w:sz w:val="16"/>
                <w:szCs w:val="16"/>
                <w:color w:val="auto"/>
              </w:rPr>
              <w:t>The 2020 LTIP initially authorized a pool of 50 million shares of common stock when it</w:t>
            </w:r>
          </w:p>
        </w:tc>
      </w:tr>
      <w:tr>
        <w:trPr>
          <w:trHeight w:val="215"/>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was approved by our shareholders effective June 17, 2020. Amendment No. 1 was</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approved by our shareholders effective June 21, 2023 which authorized an additional 27</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million shares for issuance. If Amendment No. 2 is approved by our shareholders, an</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additional 27 million shares of our common stock will be authorized for issuance under the</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2020 LTIP effective June 3, 2026, from which stock options, SARs, restricted stock, RSUs,</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performance awards, and other stock-based awards may be granted. The maximum</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number of shares that may be issued as incentive stock options shall not exceed the sum</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of the currently authorized share pool plus the shares requested under Amendment No. 2.</w:t>
            </w:r>
          </w:p>
        </w:tc>
      </w:tr>
      <w:tr>
        <w:trPr>
          <w:trHeight w:val="56"/>
        </w:trPr>
        <w:tc>
          <w:tcPr>
            <w:tcW w:w="2380" w:type="dxa"/>
            <w:vAlign w:val="bottom"/>
            <w:tcBorders>
              <w:bottom w:val="single" w:sz="8" w:color="D8D7D7"/>
            </w:tcBorders>
          </w:tcPr>
          <w:p>
            <w:pPr>
              <w:spacing w:after="0"/>
              <w:rPr>
                <w:sz w:val="4"/>
                <w:szCs w:val="4"/>
                <w:color w:val="auto"/>
              </w:rPr>
            </w:pPr>
          </w:p>
        </w:tc>
        <w:tc>
          <w:tcPr>
            <w:tcW w:w="6680" w:type="dxa"/>
            <w:vAlign w:val="bottom"/>
            <w:tcBorders>
              <w:bottom w:val="single" w:sz="8" w:color="D8D7D7"/>
            </w:tcBorders>
          </w:tcPr>
          <w:p>
            <w:pPr>
              <w:spacing w:after="0"/>
              <w:rPr>
                <w:sz w:val="4"/>
                <w:szCs w:val="4"/>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Plan Administration</w:t>
            </w:r>
          </w:p>
        </w:tc>
        <w:tc>
          <w:tcPr>
            <w:tcW w:w="6680" w:type="dxa"/>
            <w:vAlign w:val="bottom"/>
          </w:tcPr>
          <w:p>
            <w:pPr>
              <w:ind w:left="40"/>
              <w:spacing w:after="0"/>
              <w:rPr>
                <w:sz w:val="20"/>
                <w:szCs w:val="20"/>
                <w:color w:val="auto"/>
              </w:rPr>
            </w:pPr>
            <w:r>
              <w:rPr>
                <w:rFonts w:ascii="Arial" w:cs="Arial" w:eastAsia="Arial" w:hAnsi="Arial"/>
                <w:sz w:val="16"/>
                <w:szCs w:val="16"/>
                <w:color w:val="auto"/>
              </w:rPr>
              <w:t>The 2020 LTIP is administered by the Compensation Committee, which has the authority</w:t>
            </w:r>
          </w:p>
        </w:tc>
      </w:tr>
      <w:tr>
        <w:trPr>
          <w:trHeight w:val="215"/>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to: designate the eligible individuals who will receive awards; determine the type, amounts</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and terms and conditions of awards (including vesting terms); determine amounts payable</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that may be deferred; interpret and administer the 2020 LTIP; prescribe the form of award</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documentation under the 2020 LTIP; establish, amend, suspend, or waive any rules and</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regulations under the 2020 LTIP; and make any other determinations or take any other</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actions to administer the 2020 LTIP. Subject to the limits established by the</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Compensation Committee, the Compensation Committee may delegate to one or more</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members of the Compensation Committee or officers of the Company (including the CEO)</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the authority to grant awards and take other actions under the 2020 LTIP.</w:t>
            </w:r>
          </w:p>
        </w:tc>
      </w:tr>
      <w:tr>
        <w:trPr>
          <w:trHeight w:val="56"/>
        </w:trPr>
        <w:tc>
          <w:tcPr>
            <w:tcW w:w="2380" w:type="dxa"/>
            <w:vAlign w:val="bottom"/>
            <w:tcBorders>
              <w:bottom w:val="single" w:sz="8" w:color="D8D7D7"/>
            </w:tcBorders>
          </w:tcPr>
          <w:p>
            <w:pPr>
              <w:spacing w:after="0"/>
              <w:rPr>
                <w:sz w:val="4"/>
                <w:szCs w:val="4"/>
                <w:color w:val="auto"/>
              </w:rPr>
            </w:pPr>
          </w:p>
        </w:tc>
        <w:tc>
          <w:tcPr>
            <w:tcW w:w="6680" w:type="dxa"/>
            <w:vAlign w:val="bottom"/>
            <w:tcBorders>
              <w:bottom w:val="single" w:sz="8" w:color="D8D7D7"/>
            </w:tcBorders>
          </w:tcPr>
          <w:p>
            <w:pPr>
              <w:spacing w:after="0"/>
              <w:rPr>
                <w:sz w:val="4"/>
                <w:szCs w:val="4"/>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Award Types</w:t>
            </w:r>
          </w:p>
        </w:tc>
        <w:tc>
          <w:tcPr>
            <w:tcW w:w="6680" w:type="dxa"/>
            <w:vAlign w:val="bottom"/>
          </w:tcPr>
          <w:p>
            <w:pPr>
              <w:ind w:left="40"/>
              <w:spacing w:after="0"/>
              <w:rPr>
                <w:sz w:val="20"/>
                <w:szCs w:val="20"/>
                <w:color w:val="auto"/>
              </w:rPr>
            </w:pPr>
            <w:r>
              <w:rPr>
                <w:rFonts w:ascii="Arial" w:cs="Arial" w:eastAsia="Arial" w:hAnsi="Arial"/>
                <w:sz w:val="16"/>
                <w:szCs w:val="16"/>
                <w:color w:val="auto"/>
              </w:rPr>
              <w:t>Stock options, SARs, restricted stock, RSUs, performance awards, other stock-based</w:t>
            </w:r>
          </w:p>
        </w:tc>
      </w:tr>
      <w:tr>
        <w:trPr>
          <w:trHeight w:val="215"/>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awards, and cash incentive awards.</w:t>
            </w:r>
          </w:p>
        </w:tc>
      </w:tr>
      <w:tr>
        <w:trPr>
          <w:trHeight w:val="56"/>
        </w:trPr>
        <w:tc>
          <w:tcPr>
            <w:tcW w:w="2380" w:type="dxa"/>
            <w:vAlign w:val="bottom"/>
            <w:tcBorders>
              <w:bottom w:val="single" w:sz="8" w:color="D8D7D7"/>
            </w:tcBorders>
          </w:tcPr>
          <w:p>
            <w:pPr>
              <w:spacing w:after="0"/>
              <w:rPr>
                <w:sz w:val="4"/>
                <w:szCs w:val="4"/>
                <w:color w:val="auto"/>
              </w:rPr>
            </w:pPr>
          </w:p>
        </w:tc>
        <w:tc>
          <w:tcPr>
            <w:tcW w:w="6680" w:type="dxa"/>
            <w:vAlign w:val="bottom"/>
            <w:tcBorders>
              <w:bottom w:val="single" w:sz="8" w:color="D8D7D7"/>
            </w:tcBorders>
          </w:tcPr>
          <w:p>
            <w:pPr>
              <w:spacing w:after="0"/>
              <w:rPr>
                <w:sz w:val="4"/>
                <w:szCs w:val="4"/>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Stock Options and</w:t>
            </w:r>
          </w:p>
        </w:tc>
        <w:tc>
          <w:tcPr>
            <w:tcW w:w="6680" w:type="dxa"/>
            <w:vAlign w:val="bottom"/>
          </w:tcPr>
          <w:p>
            <w:pPr>
              <w:ind w:left="40"/>
              <w:spacing w:after="0"/>
              <w:rPr>
                <w:sz w:val="20"/>
                <w:szCs w:val="20"/>
                <w:color w:val="auto"/>
              </w:rPr>
            </w:pPr>
            <w:r>
              <w:rPr>
                <w:rFonts w:ascii="Arial" w:cs="Arial" w:eastAsia="Arial" w:hAnsi="Arial"/>
                <w:sz w:val="16"/>
                <w:szCs w:val="16"/>
                <w:color w:val="auto"/>
              </w:rPr>
              <w:t>The Compensation Committee is authorized to grant stock options to purchase shares of</w:t>
            </w:r>
          </w:p>
        </w:tc>
      </w:tr>
      <w:tr>
        <w:trPr>
          <w:trHeight w:val="216"/>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SARs</w:t>
            </w:r>
          </w:p>
        </w:tc>
        <w:tc>
          <w:tcPr>
            <w:tcW w:w="6680" w:type="dxa"/>
            <w:vAlign w:val="bottom"/>
          </w:tcPr>
          <w:p>
            <w:pPr>
              <w:ind w:left="40"/>
              <w:spacing w:after="0"/>
              <w:rPr>
                <w:sz w:val="20"/>
                <w:szCs w:val="20"/>
                <w:color w:val="auto"/>
              </w:rPr>
            </w:pPr>
            <w:r>
              <w:rPr>
                <w:rFonts w:ascii="Arial" w:cs="Arial" w:eastAsia="Arial" w:hAnsi="Arial"/>
                <w:sz w:val="16"/>
                <w:szCs w:val="16"/>
                <w:color w:val="auto"/>
              </w:rPr>
              <w:t>common stock (including incentive stock options) and SARs, which provide the right to</w:t>
            </w:r>
          </w:p>
        </w:tc>
      </w:tr>
      <w:tr>
        <w:trPr>
          <w:trHeight w:val="215"/>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receive a payment or a number of shares equal to the increase in value above the exercise</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price. The exercise price of stock options and SARs may not be lower than the fair market</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value of the underlying shares on the date of grant. The term of any stock option will not</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be more than ten years and two days (or for SARs or incentive stock options, ten years)</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from the date of grant.</w:t>
            </w:r>
          </w:p>
        </w:tc>
      </w:tr>
      <w:tr>
        <w:trPr>
          <w:trHeight w:val="56"/>
        </w:trPr>
        <w:tc>
          <w:tcPr>
            <w:tcW w:w="2380" w:type="dxa"/>
            <w:vAlign w:val="bottom"/>
            <w:tcBorders>
              <w:bottom w:val="single" w:sz="8" w:color="D8D7D7"/>
            </w:tcBorders>
          </w:tcPr>
          <w:p>
            <w:pPr>
              <w:spacing w:after="0"/>
              <w:rPr>
                <w:sz w:val="4"/>
                <w:szCs w:val="4"/>
                <w:color w:val="auto"/>
              </w:rPr>
            </w:pPr>
          </w:p>
        </w:tc>
        <w:tc>
          <w:tcPr>
            <w:tcW w:w="6680" w:type="dxa"/>
            <w:vAlign w:val="bottom"/>
            <w:tcBorders>
              <w:bottom w:val="single" w:sz="8" w:color="D8D7D7"/>
            </w:tcBorders>
          </w:tcPr>
          <w:p>
            <w:pPr>
              <w:spacing w:after="0"/>
              <w:rPr>
                <w:sz w:val="4"/>
                <w:szCs w:val="4"/>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Restricted Stock and</w:t>
            </w:r>
          </w:p>
        </w:tc>
        <w:tc>
          <w:tcPr>
            <w:tcW w:w="6680" w:type="dxa"/>
            <w:vAlign w:val="bottom"/>
          </w:tcPr>
          <w:p>
            <w:pPr>
              <w:ind w:left="40"/>
              <w:spacing w:after="0"/>
              <w:rPr>
                <w:sz w:val="20"/>
                <w:szCs w:val="20"/>
                <w:color w:val="auto"/>
              </w:rPr>
            </w:pPr>
            <w:r>
              <w:rPr>
                <w:rFonts w:ascii="Arial" w:cs="Arial" w:eastAsia="Arial" w:hAnsi="Arial"/>
                <w:sz w:val="16"/>
                <w:szCs w:val="16"/>
                <w:color w:val="auto"/>
              </w:rPr>
              <w:t>The Compensation Committee is authorized to grant restricted stock and RSUs, which</w:t>
            </w:r>
          </w:p>
        </w:tc>
      </w:tr>
      <w:tr>
        <w:trPr>
          <w:trHeight w:val="216"/>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RSUs</w:t>
            </w:r>
          </w:p>
        </w:tc>
        <w:tc>
          <w:tcPr>
            <w:tcW w:w="6680" w:type="dxa"/>
            <w:vAlign w:val="bottom"/>
          </w:tcPr>
          <w:p>
            <w:pPr>
              <w:ind w:left="40"/>
              <w:spacing w:after="0"/>
              <w:rPr>
                <w:sz w:val="20"/>
                <w:szCs w:val="20"/>
                <w:color w:val="auto"/>
              </w:rPr>
            </w:pPr>
            <w:r>
              <w:rPr>
                <w:rFonts w:ascii="Arial" w:cs="Arial" w:eastAsia="Arial" w:hAnsi="Arial"/>
                <w:sz w:val="16"/>
                <w:szCs w:val="16"/>
                <w:color w:val="auto"/>
              </w:rPr>
              <w:t>provide the right to receive the value of the underlying shares, either in cash, shares, or a</w:t>
            </w:r>
          </w:p>
        </w:tc>
      </w:tr>
      <w:tr>
        <w:trPr>
          <w:trHeight w:val="215"/>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combination thereof.</w:t>
            </w:r>
          </w:p>
        </w:tc>
      </w:tr>
      <w:tr>
        <w:trPr>
          <w:trHeight w:val="56"/>
        </w:trPr>
        <w:tc>
          <w:tcPr>
            <w:tcW w:w="2380" w:type="dxa"/>
            <w:vAlign w:val="bottom"/>
            <w:tcBorders>
              <w:bottom w:val="single" w:sz="8" w:color="D8D7D7"/>
            </w:tcBorders>
          </w:tcPr>
          <w:p>
            <w:pPr>
              <w:spacing w:after="0"/>
              <w:rPr>
                <w:sz w:val="4"/>
                <w:szCs w:val="4"/>
                <w:color w:val="auto"/>
              </w:rPr>
            </w:pPr>
          </w:p>
        </w:tc>
        <w:tc>
          <w:tcPr>
            <w:tcW w:w="6680" w:type="dxa"/>
            <w:vAlign w:val="bottom"/>
            <w:tcBorders>
              <w:bottom w:val="single" w:sz="8" w:color="D8D7D7"/>
            </w:tcBorders>
          </w:tcPr>
          <w:p>
            <w:pPr>
              <w:spacing w:after="0"/>
              <w:rPr>
                <w:sz w:val="4"/>
                <w:szCs w:val="4"/>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Performance Awards</w:t>
            </w:r>
          </w:p>
        </w:tc>
        <w:tc>
          <w:tcPr>
            <w:tcW w:w="6680" w:type="dxa"/>
            <w:vAlign w:val="bottom"/>
          </w:tcPr>
          <w:p>
            <w:pPr>
              <w:ind w:left="40"/>
              <w:spacing w:after="0"/>
              <w:rPr>
                <w:sz w:val="20"/>
                <w:szCs w:val="20"/>
                <w:color w:val="auto"/>
              </w:rPr>
            </w:pPr>
            <w:r>
              <w:rPr>
                <w:rFonts w:ascii="Arial" w:cs="Arial" w:eastAsia="Arial" w:hAnsi="Arial"/>
                <w:sz w:val="16"/>
                <w:szCs w:val="16"/>
                <w:color w:val="auto"/>
              </w:rPr>
              <w:t>The Compensation Committee is authorized to grant performance awards, which may be</w:t>
            </w:r>
          </w:p>
        </w:tc>
      </w:tr>
      <w:tr>
        <w:trPr>
          <w:trHeight w:val="215"/>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denominated in cash, shares, units, or a combination thereof, to be earned upon the</w:t>
            </w:r>
          </w:p>
        </w:tc>
      </w:tr>
      <w:tr>
        <w:trPr>
          <w:trHeight w:val="216"/>
        </w:trPr>
        <w:tc>
          <w:tcPr>
            <w:tcW w:w="2380" w:type="dxa"/>
            <w:vAlign w:val="bottom"/>
          </w:tcPr>
          <w:p>
            <w:pPr>
              <w:spacing w:after="0"/>
              <w:rPr>
                <w:sz w:val="18"/>
                <w:szCs w:val="18"/>
                <w:color w:val="auto"/>
              </w:rPr>
            </w:pPr>
          </w:p>
        </w:tc>
        <w:tc>
          <w:tcPr>
            <w:tcW w:w="6680" w:type="dxa"/>
            <w:vAlign w:val="bottom"/>
          </w:tcPr>
          <w:p>
            <w:pPr>
              <w:ind w:left="40"/>
              <w:spacing w:after="0"/>
              <w:rPr>
                <w:sz w:val="20"/>
                <w:szCs w:val="20"/>
                <w:color w:val="auto"/>
              </w:rPr>
            </w:pPr>
            <w:r>
              <w:rPr>
                <w:rFonts w:ascii="Arial" w:cs="Arial" w:eastAsia="Arial" w:hAnsi="Arial"/>
                <w:sz w:val="16"/>
                <w:szCs w:val="16"/>
                <w:color w:val="auto"/>
              </w:rPr>
              <w:t>achievement of performance conditions specified by the Compensation Committee.</w:t>
            </w:r>
          </w:p>
        </w:tc>
      </w:tr>
      <w:tr>
        <w:trPr>
          <w:trHeight w:val="56"/>
        </w:trPr>
        <w:tc>
          <w:tcPr>
            <w:tcW w:w="2380" w:type="dxa"/>
            <w:vAlign w:val="bottom"/>
            <w:tcBorders>
              <w:bottom w:val="single" w:sz="8" w:color="0956FF"/>
            </w:tcBorders>
          </w:tcPr>
          <w:p>
            <w:pPr>
              <w:spacing w:after="0"/>
              <w:rPr>
                <w:sz w:val="4"/>
                <w:szCs w:val="4"/>
                <w:color w:val="auto"/>
              </w:rPr>
            </w:pPr>
          </w:p>
        </w:tc>
        <w:tc>
          <w:tcPr>
            <w:tcW w:w="6680" w:type="dxa"/>
            <w:vAlign w:val="bottom"/>
            <w:tcBorders>
              <w:bottom w:val="single" w:sz="8" w:color="0956FF"/>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60"/>
          </w:cols>
          <w:pgMar w:left="1400" w:top="65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84</w:t>
      </w:r>
    </w:p>
    <w:p>
      <w:pPr>
        <w:sectPr>
          <w:pgSz w:w="11900" w:h="16838" w:orient="portrait"/>
          <w:cols w:equalWidth="0" w:num="1">
            <w:col w:w="9060"/>
          </w:cols>
          <w:pgMar w:left="1400" w:top="657" w:right="14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6720" w:type="dxa"/>
            <w:vAlign w:val="bottom"/>
            <w:gridSpan w:val="2"/>
          </w:tcPr>
          <w:p>
            <w:pPr>
              <w:ind w:left="1920"/>
              <w:spacing w:after="0"/>
              <w:rPr>
                <w:sz w:val="20"/>
                <w:szCs w:val="20"/>
                <w:color w:val="auto"/>
              </w:rPr>
            </w:pPr>
            <w:r>
              <w:rPr>
                <w:rFonts w:ascii="Arial" w:cs="Arial" w:eastAsia="Arial" w:hAnsi="Arial"/>
                <w:sz w:val="14"/>
                <w:szCs w:val="14"/>
                <w:b w:val="1"/>
                <w:bCs w:val="1"/>
                <w:color w:val="0956FF"/>
              </w:rPr>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tc>
      </w:tr>
      <w:tr>
        <w:trPr>
          <w:trHeight w:val="196"/>
        </w:trPr>
        <w:tc>
          <w:tcPr>
            <w:tcW w:w="2380" w:type="dxa"/>
            <w:vAlign w:val="bottom"/>
          </w:tcPr>
          <w:p>
            <w:pPr>
              <w:spacing w:after="0"/>
              <w:rPr>
                <w:sz w:val="17"/>
                <w:szCs w:val="17"/>
                <w:color w:val="auto"/>
              </w:rPr>
            </w:pPr>
          </w:p>
        </w:tc>
        <w:tc>
          <w:tcPr>
            <w:tcW w:w="6720" w:type="dxa"/>
            <w:vAlign w:val="bottom"/>
            <w:gridSpan w:val="2"/>
          </w:tcPr>
          <w:p>
            <w:pPr>
              <w:ind w:left="260"/>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tc>
      </w:tr>
      <w:tr>
        <w:trPr>
          <w:trHeight w:val="394"/>
        </w:trPr>
        <w:tc>
          <w:tcPr>
            <w:tcW w:w="2380" w:type="dxa"/>
            <w:vAlign w:val="bottom"/>
          </w:tcPr>
          <w:p>
            <w:pPr>
              <w:spacing w:after="0"/>
              <w:rPr>
                <w:sz w:val="24"/>
                <w:szCs w:val="24"/>
                <w:color w:val="auto"/>
              </w:rPr>
            </w:pPr>
          </w:p>
        </w:tc>
        <w:tc>
          <w:tcPr>
            <w:tcW w:w="6720" w:type="dxa"/>
            <w:vAlign w:val="bottom"/>
            <w:gridSpan w:val="2"/>
          </w:tcPr>
          <w:p>
            <w:pPr>
              <w:spacing w:after="0"/>
              <w:rPr>
                <w:sz w:val="24"/>
                <w:szCs w:val="24"/>
                <w:color w:val="auto"/>
              </w:rPr>
            </w:pPr>
          </w:p>
        </w:tc>
      </w:tr>
      <w:tr>
        <w:trPr>
          <w:trHeight w:val="316"/>
        </w:trPr>
        <w:tc>
          <w:tcPr>
            <w:tcW w:w="2380" w:type="dxa"/>
            <w:vAlign w:val="bottom"/>
            <w:tcBorders>
              <w:bottom w:val="single" w:sz="8" w:color="ECEBEB"/>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Key Provisions</w:t>
            </w:r>
          </w:p>
        </w:tc>
        <w:tc>
          <w:tcPr>
            <w:tcW w:w="6680" w:type="dxa"/>
            <w:vAlign w:val="bottom"/>
            <w:tcBorders>
              <w:bottom w:val="single" w:sz="8" w:color="ECEBEB"/>
            </w:tcBorders>
            <w:shd w:val="clear" w:color="auto" w:fill="ECEBEB"/>
          </w:tcPr>
          <w:p>
            <w:pPr>
              <w:ind w:left="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90"/>
        </w:trPr>
        <w:tc>
          <w:tcPr>
            <w:tcW w:w="2380" w:type="dxa"/>
            <w:vAlign w:val="bottom"/>
            <w:tcBorders>
              <w:top w:val="single" w:sz="8" w:color="0956FF"/>
            </w:tcBorders>
          </w:tcPr>
          <w:p>
            <w:pPr>
              <w:ind w:left="60"/>
              <w:spacing w:after="0"/>
              <w:rPr>
                <w:sz w:val="20"/>
                <w:szCs w:val="20"/>
                <w:color w:val="auto"/>
              </w:rPr>
            </w:pPr>
            <w:r>
              <w:rPr>
                <w:rFonts w:ascii="Arial" w:cs="Arial" w:eastAsia="Arial" w:hAnsi="Arial"/>
                <w:sz w:val="16"/>
                <w:szCs w:val="16"/>
                <w:b w:val="1"/>
                <w:bCs w:val="1"/>
                <w:color w:val="0956FF"/>
              </w:rPr>
              <w:t>Performance Measures</w:t>
            </w:r>
          </w:p>
        </w:tc>
        <w:tc>
          <w:tcPr>
            <w:tcW w:w="6680" w:type="dxa"/>
            <w:vAlign w:val="bottom"/>
            <w:tcBorders>
              <w:top w:val="single" w:sz="8" w:color="0956FF"/>
            </w:tcBorders>
          </w:tcPr>
          <w:p>
            <w:pPr>
              <w:ind w:left="40"/>
              <w:spacing w:after="0"/>
              <w:rPr>
                <w:sz w:val="20"/>
                <w:szCs w:val="20"/>
                <w:color w:val="auto"/>
              </w:rPr>
            </w:pPr>
            <w:r>
              <w:rPr>
                <w:rFonts w:ascii="Arial" w:cs="Arial" w:eastAsia="Arial" w:hAnsi="Arial"/>
                <w:sz w:val="16"/>
                <w:szCs w:val="16"/>
                <w:color w:val="auto"/>
              </w:rPr>
              <w:t>A performance award may be subject to a formula established in advance based on the</w:t>
            </w:r>
          </w:p>
        </w:tc>
        <w:tc>
          <w:tcPr>
            <w:tcW w:w="40" w:type="dxa"/>
            <w:vAlign w:val="bottom"/>
          </w:tcPr>
          <w:p>
            <w:pPr>
              <w:spacing w:after="0"/>
              <w:rPr>
                <w:sz w:val="24"/>
                <w:szCs w:val="24"/>
                <w:color w:val="auto"/>
              </w:rPr>
            </w:pPr>
          </w:p>
        </w:tc>
      </w:tr>
      <w:tr>
        <w:trPr>
          <w:trHeight w:val="215"/>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achievement during the performance period of one or more of the following performance</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criteria, expressed on an absolute or an adjusted basis, and which may be based on an</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 xml:space="preserve">absolute or relative measure (  </w:t>
            </w:r>
            <w:r>
              <w:rPr>
                <w:rFonts w:ascii="Arial" w:cs="Arial" w:eastAsia="Arial" w:hAnsi="Arial"/>
                <w:sz w:val="16"/>
                <w:szCs w:val="16"/>
                <w:i w:val="1"/>
                <w:iCs w:val="1"/>
                <w:color w:val="auto"/>
              </w:rPr>
              <w:t>e.g.</w:t>
            </w:r>
            <w:r>
              <w:rPr>
                <w:rFonts w:ascii="Arial" w:cs="Arial" w:eastAsia="Arial" w:hAnsi="Arial"/>
                <w:sz w:val="16"/>
                <w:szCs w:val="16"/>
                <w:color w:val="auto"/>
              </w:rPr>
              <w:t>, relative to the performance of other companies or</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an index):</w:t>
            </w:r>
          </w:p>
        </w:tc>
      </w:tr>
      <w:tr>
        <w:trPr>
          <w:trHeight w:val="351"/>
        </w:trPr>
        <w:tc>
          <w:tcPr>
            <w:tcW w:w="2380" w:type="dxa"/>
            <w:vAlign w:val="bottom"/>
          </w:tcPr>
          <w:p>
            <w:pPr>
              <w:spacing w:after="0"/>
              <w:rPr>
                <w:sz w:val="24"/>
                <w:szCs w:val="24"/>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Asset turnover, cash flow, contribution margin, cost objectives, cost reduction, earnings</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before interest and taxes, earnings before interest, taxes, depreciation and amortization,</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earnings per share, economic value added, free cash flow, increase in customer base,</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inventory turnover, liquidity, market share, net income, net income margin, operating cash</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flow, operating profit, operating profit margin, pre-tax income, productivity, profit margin,</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quality (internal or external measures), return on assets, return on net assets, return on</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capital, return on invested capital, return on equity, revenue, revenue growth, stockholder</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value, stock price, total shareholder return, warranty experience, and/or any other</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objective or subjective measure determined by the Compensation Committee in its</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sole discretion.</w:t>
            </w:r>
          </w:p>
        </w:tc>
      </w:tr>
      <w:tr>
        <w:trPr>
          <w:trHeight w:val="83"/>
        </w:trPr>
        <w:tc>
          <w:tcPr>
            <w:tcW w:w="2380" w:type="dxa"/>
            <w:vAlign w:val="bottom"/>
            <w:tcBorders>
              <w:bottom w:val="single" w:sz="8" w:color="D8D7D7"/>
            </w:tcBorders>
          </w:tcPr>
          <w:p>
            <w:pPr>
              <w:spacing w:after="0"/>
              <w:rPr>
                <w:sz w:val="7"/>
                <w:szCs w:val="7"/>
                <w:color w:val="auto"/>
              </w:rPr>
            </w:pPr>
          </w:p>
        </w:tc>
        <w:tc>
          <w:tcPr>
            <w:tcW w:w="6680" w:type="dxa"/>
            <w:vAlign w:val="bottom"/>
            <w:tcBorders>
              <w:bottom w:val="single" w:sz="8" w:color="D8D7D7"/>
            </w:tcBorders>
          </w:tcPr>
          <w:p>
            <w:pPr>
              <w:spacing w:after="0"/>
              <w:rPr>
                <w:sz w:val="7"/>
                <w:szCs w:val="7"/>
                <w:color w:val="auto"/>
              </w:rPr>
            </w:pPr>
          </w:p>
        </w:tc>
        <w:tc>
          <w:tcPr>
            <w:tcW w:w="40" w:type="dxa"/>
            <w:vAlign w:val="bottom"/>
          </w:tcPr>
          <w:p>
            <w:pPr>
              <w:spacing w:after="0"/>
              <w:rPr>
                <w:sz w:val="7"/>
                <w:szCs w:val="7"/>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Adjustments</w:t>
            </w: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With respect to the applicable performance period, if the Compensation Committee</w:t>
            </w:r>
          </w:p>
        </w:tc>
      </w:tr>
      <w:tr>
        <w:trPr>
          <w:trHeight w:val="215"/>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determines that a change in the business, operations, corporate structure, or capital</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structure of the Company, or the manner in which it conducts its business, or other events</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or circumstances render the applicable performance measures unsuitable, the</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Compensation Committee may in its discretion modify such performance objectives or the</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related minimum acceptable level of achievement, in whole or part, as the Compensation</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Committee deems appropriate and equitable.</w:t>
            </w:r>
          </w:p>
        </w:tc>
      </w:tr>
      <w:tr>
        <w:trPr>
          <w:trHeight w:val="56"/>
        </w:trPr>
        <w:tc>
          <w:tcPr>
            <w:tcW w:w="2380" w:type="dxa"/>
            <w:vAlign w:val="bottom"/>
            <w:tcBorders>
              <w:bottom w:val="single" w:sz="8" w:color="D8D7D7"/>
            </w:tcBorders>
          </w:tcPr>
          <w:p>
            <w:pPr>
              <w:spacing w:after="0"/>
              <w:rPr>
                <w:sz w:val="4"/>
                <w:szCs w:val="4"/>
                <w:color w:val="auto"/>
              </w:rPr>
            </w:pPr>
          </w:p>
        </w:tc>
        <w:tc>
          <w:tcPr>
            <w:tcW w:w="6680" w:type="dxa"/>
            <w:vAlign w:val="bottom"/>
            <w:tcBorders>
              <w:bottom w:val="single" w:sz="8" w:color="D8D7D7"/>
            </w:tcBorders>
          </w:tcPr>
          <w:p>
            <w:pPr>
              <w:spacing w:after="0"/>
              <w:rPr>
                <w:sz w:val="4"/>
                <w:szCs w:val="4"/>
                <w:color w:val="auto"/>
              </w:rPr>
            </w:pPr>
          </w:p>
        </w:tc>
        <w:tc>
          <w:tcPr>
            <w:tcW w:w="40" w:type="dxa"/>
            <w:vAlign w:val="bottom"/>
          </w:tcPr>
          <w:p>
            <w:pPr>
              <w:spacing w:after="0"/>
              <w:rPr>
                <w:sz w:val="4"/>
                <w:szCs w:val="4"/>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Dividend Equivalent</w:t>
            </w: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Restricted stock, RSUs, performance awards, and other stock-based awards will generally</w:t>
            </w:r>
          </w:p>
        </w:tc>
      </w:tr>
      <w:tr>
        <w:trPr>
          <w:trHeight w:val="216"/>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Rights</w:t>
            </w: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provide dividend equivalent rights, which will accrue and be paid upon vesting or</w:t>
            </w:r>
          </w:p>
        </w:tc>
      </w:tr>
      <w:tr>
        <w:trPr>
          <w:trHeight w:val="215"/>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settlement of awards, provided that no dividend payments will be made with respect to</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shares that are not ultimately earned and settled unless otherwise determined by the</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Compensation Committee. Stock options and SARs will not be eligible for dividend</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equivalent rights unless otherwise determined by the Compensation Committee.</w:t>
            </w:r>
          </w:p>
        </w:tc>
      </w:tr>
      <w:tr>
        <w:trPr>
          <w:trHeight w:val="56"/>
        </w:trPr>
        <w:tc>
          <w:tcPr>
            <w:tcW w:w="2380" w:type="dxa"/>
            <w:vAlign w:val="bottom"/>
            <w:tcBorders>
              <w:bottom w:val="single" w:sz="8" w:color="D8D7D7"/>
            </w:tcBorders>
          </w:tcPr>
          <w:p>
            <w:pPr>
              <w:spacing w:after="0"/>
              <w:rPr>
                <w:sz w:val="4"/>
                <w:szCs w:val="4"/>
                <w:color w:val="auto"/>
              </w:rPr>
            </w:pPr>
          </w:p>
        </w:tc>
        <w:tc>
          <w:tcPr>
            <w:tcW w:w="6680" w:type="dxa"/>
            <w:vAlign w:val="bottom"/>
            <w:tcBorders>
              <w:bottom w:val="single" w:sz="8" w:color="D8D7D7"/>
            </w:tcBorders>
          </w:tcPr>
          <w:p>
            <w:pPr>
              <w:spacing w:after="0"/>
              <w:rPr>
                <w:sz w:val="4"/>
                <w:szCs w:val="4"/>
                <w:color w:val="auto"/>
              </w:rPr>
            </w:pPr>
          </w:p>
        </w:tc>
        <w:tc>
          <w:tcPr>
            <w:tcW w:w="40" w:type="dxa"/>
            <w:vAlign w:val="bottom"/>
          </w:tcPr>
          <w:p>
            <w:pPr>
              <w:spacing w:after="0"/>
              <w:rPr>
                <w:sz w:val="4"/>
                <w:szCs w:val="4"/>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Minimum Vesting</w:t>
            </w: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Stock options and SARs: In general, no portion of an award is intended to vest prior to the</w:t>
            </w:r>
          </w:p>
        </w:tc>
      </w:tr>
      <w:tr>
        <w:trPr>
          <w:trHeight w:val="216"/>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Period</w:t>
            </w: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first anniversary of the vesting commencement date; however, the Compensation</w:t>
            </w:r>
          </w:p>
        </w:tc>
      </w:tr>
      <w:tr>
        <w:trPr>
          <w:trHeight w:val="215"/>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Committee may provide for shorter vesting if appropriate under the circumstances.</w:t>
            </w:r>
          </w:p>
        </w:tc>
      </w:tr>
      <w:tr>
        <w:trPr>
          <w:trHeight w:val="365"/>
        </w:trPr>
        <w:tc>
          <w:tcPr>
            <w:tcW w:w="2380" w:type="dxa"/>
            <w:vAlign w:val="bottom"/>
          </w:tcPr>
          <w:p>
            <w:pPr>
              <w:spacing w:after="0"/>
              <w:rPr>
                <w:sz w:val="24"/>
                <w:szCs w:val="24"/>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Restricted Stock, RSUs, and Performance Awards: Awards will generally vest in whole or in</w:t>
            </w:r>
          </w:p>
        </w:tc>
      </w:tr>
      <w:tr>
        <w:trPr>
          <w:trHeight w:val="204"/>
        </w:trPr>
        <w:tc>
          <w:tcPr>
            <w:tcW w:w="2380" w:type="dxa"/>
            <w:vAlign w:val="bottom"/>
          </w:tcPr>
          <w:p>
            <w:pPr>
              <w:spacing w:after="0"/>
              <w:rPr>
                <w:sz w:val="17"/>
                <w:szCs w:val="17"/>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part over a period of not less than three years from the vesting commencement date;</w:t>
            </w:r>
          </w:p>
        </w:tc>
      </w:tr>
      <w:tr>
        <w:trPr>
          <w:trHeight w:val="215"/>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however, the Compensation Committee may provide for shorter vesting if appropriate</w:t>
            </w:r>
          </w:p>
        </w:tc>
      </w:tr>
      <w:tr>
        <w:trPr>
          <w:trHeight w:val="216"/>
        </w:trPr>
        <w:tc>
          <w:tcPr>
            <w:tcW w:w="2380" w:type="dxa"/>
            <w:vAlign w:val="bottom"/>
          </w:tcPr>
          <w:p>
            <w:pPr>
              <w:spacing w:after="0"/>
              <w:rPr>
                <w:sz w:val="18"/>
                <w:szCs w:val="18"/>
                <w:color w:val="auto"/>
              </w:rPr>
            </w:pPr>
          </w:p>
        </w:tc>
        <w:tc>
          <w:tcPr>
            <w:tcW w:w="6720" w:type="dxa"/>
            <w:vAlign w:val="bottom"/>
            <w:gridSpan w:val="2"/>
          </w:tcPr>
          <w:p>
            <w:pPr>
              <w:ind w:left="40"/>
              <w:spacing w:after="0"/>
              <w:rPr>
                <w:sz w:val="20"/>
                <w:szCs w:val="20"/>
                <w:color w:val="auto"/>
              </w:rPr>
            </w:pPr>
            <w:r>
              <w:rPr>
                <w:rFonts w:ascii="Arial" w:cs="Arial" w:eastAsia="Arial" w:hAnsi="Arial"/>
                <w:sz w:val="16"/>
                <w:szCs w:val="16"/>
                <w:color w:val="auto"/>
              </w:rPr>
              <w:t>under the circumstances.</w:t>
            </w:r>
          </w:p>
        </w:tc>
      </w:tr>
      <w:tr>
        <w:trPr>
          <w:trHeight w:val="83"/>
        </w:trPr>
        <w:tc>
          <w:tcPr>
            <w:tcW w:w="2380" w:type="dxa"/>
            <w:vAlign w:val="bottom"/>
            <w:tcBorders>
              <w:bottom w:val="single" w:sz="8" w:color="0956FF"/>
            </w:tcBorders>
          </w:tcPr>
          <w:p>
            <w:pPr>
              <w:spacing w:after="0"/>
              <w:rPr>
                <w:sz w:val="7"/>
                <w:szCs w:val="7"/>
                <w:color w:val="auto"/>
              </w:rPr>
            </w:pPr>
          </w:p>
        </w:tc>
        <w:tc>
          <w:tcPr>
            <w:tcW w:w="6680" w:type="dxa"/>
            <w:vAlign w:val="bottom"/>
            <w:tcBorders>
              <w:bottom w:val="single" w:sz="8" w:color="0956FF"/>
            </w:tcBorders>
          </w:tcPr>
          <w:p>
            <w:pPr>
              <w:spacing w:after="0"/>
              <w:rPr>
                <w:sz w:val="7"/>
                <w:szCs w:val="7"/>
                <w:color w:val="auto"/>
              </w:rPr>
            </w:pPr>
          </w:p>
        </w:tc>
        <w:tc>
          <w:tcPr>
            <w:tcW w:w="40" w:type="dxa"/>
            <w:vAlign w:val="bottom"/>
          </w:tcPr>
          <w:p>
            <w:pPr>
              <w:spacing w:after="0"/>
              <w:rPr>
                <w:sz w:val="7"/>
                <w:szCs w:val="7"/>
                <w:color w:val="auto"/>
              </w:rPr>
            </w:pPr>
          </w:p>
        </w:tc>
      </w:tr>
    </w:tbl>
    <w:p>
      <w:pPr>
        <w:spacing w:after="0"/>
        <w:rPr>
          <w:sz w:val="20"/>
          <w:szCs w:val="20"/>
          <w:color w:val="auto"/>
        </w:rPr>
        <w:sectPr>
          <w:pgSz w:w="11900" w:h="16838" w:orient="portrait"/>
          <w:cols w:equalWidth="0" w:num="1">
            <w:col w:w="9100"/>
          </w:cols>
          <w:pgMar w:left="1400" w:top="657" w:right="1399" w:bottom="1440" w:gutter="0" w:footer="0" w:header="0"/>
        </w:sect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85</w:t>
      </w:r>
    </w:p>
    <w:p>
      <w:pPr>
        <w:sectPr>
          <w:pgSz w:w="11900" w:h="16838" w:orient="portrait"/>
          <w:cols w:equalWidth="0" w:num="1">
            <w:col w:w="9100"/>
          </w:cols>
          <w:pgMar w:left="1400" w:top="657" w:right="139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380" w:type="dxa"/>
            <w:vAlign w:val="bottom"/>
            <w:tcBorders>
              <w:bottom w:val="single" w:sz="8" w:color="ECEBEB"/>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Key Provisions</w:t>
            </w:r>
          </w:p>
        </w:tc>
        <w:tc>
          <w:tcPr>
            <w:tcW w:w="6680" w:type="dxa"/>
            <w:vAlign w:val="bottom"/>
            <w:tcBorders>
              <w:bottom w:val="single" w:sz="8" w:color="ECEBEB"/>
            </w:tcBorders>
            <w:shd w:val="clear" w:color="auto" w:fill="ECEBEB"/>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380" w:type="dxa"/>
            <w:vAlign w:val="bottom"/>
            <w:shd w:val="clear" w:color="auto" w:fill="0956FF"/>
          </w:tcPr>
          <w:p>
            <w:pPr>
              <w:spacing w:after="0" w:line="20" w:lineRule="exact"/>
              <w:rPr>
                <w:sz w:val="1"/>
                <w:szCs w:val="1"/>
                <w:color w:val="auto"/>
              </w:rPr>
            </w:pPr>
          </w:p>
        </w:tc>
        <w:tc>
          <w:tcPr>
            <w:tcW w:w="6680" w:type="dxa"/>
            <w:vAlign w:val="bottom"/>
            <w:shd w:val="clear" w:color="auto" w:fill="0956FF"/>
          </w:tcPr>
          <w:p>
            <w:pPr>
              <w:spacing w:after="0" w:line="20" w:lineRule="exact"/>
              <w:rPr>
                <w:sz w:val="1"/>
                <w:szCs w:val="1"/>
                <w:color w:val="auto"/>
              </w:rPr>
            </w:pPr>
          </w:p>
        </w:tc>
      </w:tr>
    </w:tbl>
    <w:p>
      <w:pPr>
        <w:spacing w:after="0" w:line="80" w:lineRule="exact"/>
        <w:rPr>
          <w:sz w:val="20"/>
          <w:szCs w:val="20"/>
          <w:color w:val="auto"/>
        </w:rPr>
      </w:pPr>
    </w:p>
    <w:p>
      <w:pPr>
        <w:ind w:left="60"/>
        <w:spacing w:after="0"/>
        <w:tabs>
          <w:tab w:leader="none" w:pos="2400" w:val="left"/>
        </w:tabs>
        <w:rPr>
          <w:sz w:val="20"/>
          <w:szCs w:val="20"/>
          <w:color w:val="auto"/>
        </w:rPr>
      </w:pPr>
      <w:r>
        <w:rPr>
          <w:rFonts w:ascii="Arial" w:cs="Arial" w:eastAsia="Arial" w:hAnsi="Arial"/>
          <w:sz w:val="16"/>
          <w:szCs w:val="16"/>
          <w:b w:val="1"/>
          <w:bCs w:val="1"/>
          <w:color w:val="0956FF"/>
        </w:rPr>
        <w:t>Effect of Termination of</w:t>
      </w:r>
      <w:r>
        <w:rPr>
          <w:sz w:val="20"/>
          <w:szCs w:val="20"/>
          <w:color w:val="auto"/>
        </w:rPr>
        <w:tab/>
      </w:r>
      <w:r>
        <w:rPr>
          <w:rFonts w:ascii="Arial" w:cs="Arial" w:eastAsia="Arial" w:hAnsi="Arial"/>
          <w:sz w:val="16"/>
          <w:szCs w:val="16"/>
          <w:color w:val="auto"/>
        </w:rPr>
        <w:t>Except as otherwise provided for in an award agreement, or as the Compensation</w:t>
      </w:r>
    </w:p>
    <w:p>
      <w:pPr>
        <w:spacing w:after="0" w:line="39" w:lineRule="exact"/>
        <w:rPr>
          <w:sz w:val="20"/>
          <w:szCs w:val="20"/>
          <w:color w:val="auto"/>
        </w:rPr>
      </w:pPr>
    </w:p>
    <w:p>
      <w:pPr>
        <w:ind w:left="2420" w:right="360" w:hanging="2359"/>
        <w:spacing w:after="0" w:line="313" w:lineRule="auto"/>
        <w:tabs>
          <w:tab w:leader="none" w:pos="2400" w:val="left"/>
        </w:tabs>
        <w:rPr>
          <w:sz w:val="20"/>
          <w:szCs w:val="20"/>
          <w:color w:val="auto"/>
        </w:rPr>
      </w:pPr>
      <w:r>
        <w:rPr>
          <w:rFonts w:ascii="Arial" w:cs="Arial" w:eastAsia="Arial" w:hAnsi="Arial"/>
          <w:sz w:val="16"/>
          <w:szCs w:val="16"/>
          <w:b w:val="1"/>
          <w:bCs w:val="1"/>
          <w:color w:val="0956FF"/>
        </w:rPr>
        <w:t>Service</w:t>
      </w:r>
      <w:r>
        <w:rPr>
          <w:sz w:val="20"/>
          <w:szCs w:val="20"/>
          <w:color w:val="auto"/>
        </w:rPr>
        <w:tab/>
      </w:r>
      <w:r>
        <w:rPr>
          <w:rFonts w:ascii="Arial" w:cs="Arial" w:eastAsia="Arial" w:hAnsi="Arial"/>
          <w:sz w:val="16"/>
          <w:szCs w:val="16"/>
          <w:color w:val="auto"/>
        </w:rPr>
        <w:t>Committee may determine in any individual case, a participant’s outstanding awards will be treated as set forth below upon his or her termination of service:</w:t>
      </w:r>
    </w:p>
    <w:p>
      <w:pPr>
        <w:spacing w:after="0" w:line="9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Death:</w:t>
      </w:r>
    </w:p>
    <w:p>
      <w:pPr>
        <w:spacing w:after="0" w:line="86" w:lineRule="exact"/>
        <w:rPr>
          <w:sz w:val="20"/>
          <w:szCs w:val="20"/>
          <w:color w:val="auto"/>
        </w:rPr>
      </w:pPr>
    </w:p>
    <w:p>
      <w:pPr>
        <w:ind w:left="2620" w:right="440" w:hanging="202"/>
        <w:spacing w:after="0" w:line="304" w:lineRule="auto"/>
        <w:tabs>
          <w:tab w:leader="none" w:pos="2620" w:val="left"/>
        </w:tabs>
        <w:numPr>
          <w:ilvl w:val="0"/>
          <w:numId w:val="106"/>
        </w:numPr>
        <w:rPr>
          <w:rFonts w:ascii="Arial" w:cs="Arial" w:eastAsia="Arial" w:hAnsi="Arial"/>
          <w:sz w:val="16"/>
          <w:szCs w:val="16"/>
          <w:color w:val="0956FF"/>
        </w:rPr>
      </w:pPr>
      <w:r>
        <w:rPr>
          <w:rFonts w:ascii="Arial" w:cs="Arial" w:eastAsia="Arial" w:hAnsi="Arial"/>
          <w:sz w:val="16"/>
          <w:szCs w:val="16"/>
          <w:color w:val="auto"/>
        </w:rPr>
        <w:t>Stock options and SARs immediately vest and remain exercisable until the earlier of three years after death or the original expiration date.</w:t>
      </w:r>
    </w:p>
    <w:p>
      <w:pPr>
        <w:spacing w:after="0" w:line="6" w:lineRule="exact"/>
        <w:rPr>
          <w:rFonts w:ascii="Arial" w:cs="Arial" w:eastAsia="Arial" w:hAnsi="Arial"/>
          <w:sz w:val="16"/>
          <w:szCs w:val="16"/>
          <w:color w:val="0956FF"/>
        </w:rPr>
      </w:pPr>
    </w:p>
    <w:p>
      <w:pPr>
        <w:ind w:left="2620" w:hanging="202"/>
        <w:spacing w:after="0"/>
        <w:tabs>
          <w:tab w:leader="none" w:pos="2620" w:val="left"/>
        </w:tabs>
        <w:numPr>
          <w:ilvl w:val="0"/>
          <w:numId w:val="106"/>
        </w:numPr>
        <w:rPr>
          <w:rFonts w:ascii="Arial" w:cs="Arial" w:eastAsia="Arial" w:hAnsi="Arial"/>
          <w:sz w:val="16"/>
          <w:szCs w:val="16"/>
          <w:color w:val="0956FF"/>
        </w:rPr>
      </w:pPr>
      <w:r>
        <w:rPr>
          <w:rFonts w:ascii="Arial" w:cs="Arial" w:eastAsia="Arial" w:hAnsi="Arial"/>
          <w:sz w:val="16"/>
          <w:szCs w:val="16"/>
          <w:color w:val="auto"/>
        </w:rPr>
        <w:t>Restricted stock and RSUs vest and are settled within 90 days after death.</w:t>
      </w:r>
    </w:p>
    <w:p>
      <w:pPr>
        <w:spacing w:after="0" w:line="86" w:lineRule="exact"/>
        <w:rPr>
          <w:rFonts w:ascii="Arial" w:cs="Arial" w:eastAsia="Arial" w:hAnsi="Arial"/>
          <w:sz w:val="16"/>
          <w:szCs w:val="16"/>
          <w:color w:val="0956FF"/>
        </w:rPr>
      </w:pPr>
    </w:p>
    <w:p>
      <w:pPr>
        <w:ind w:left="2620" w:right="240" w:hanging="202"/>
        <w:spacing w:after="0" w:line="301" w:lineRule="auto"/>
        <w:tabs>
          <w:tab w:leader="none" w:pos="2620" w:val="left"/>
        </w:tabs>
        <w:numPr>
          <w:ilvl w:val="0"/>
          <w:numId w:val="106"/>
        </w:numPr>
        <w:rPr>
          <w:rFonts w:ascii="Arial" w:cs="Arial" w:eastAsia="Arial" w:hAnsi="Arial"/>
          <w:sz w:val="16"/>
          <w:szCs w:val="16"/>
          <w:color w:val="0956FF"/>
        </w:rPr>
      </w:pPr>
      <w:r>
        <w:rPr>
          <w:rFonts w:ascii="Arial" w:cs="Arial" w:eastAsia="Arial" w:hAnsi="Arial"/>
          <w:sz w:val="16"/>
          <w:szCs w:val="16"/>
          <w:color w:val="auto"/>
        </w:rPr>
        <w:t>Performance awards will have any service-based vesting waived, will be earned based upon the achievement of the applicable performance conditions, and will be paid or settled on the scheduled settlement date(s).</w:t>
      </w:r>
    </w:p>
    <w:p>
      <w:pPr>
        <w:spacing w:after="0" w:line="10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Disability:</w:t>
      </w:r>
    </w:p>
    <w:p>
      <w:pPr>
        <w:spacing w:after="0" w:line="86" w:lineRule="exact"/>
        <w:rPr>
          <w:sz w:val="20"/>
          <w:szCs w:val="20"/>
          <w:color w:val="auto"/>
        </w:rPr>
      </w:pPr>
    </w:p>
    <w:p>
      <w:pPr>
        <w:ind w:left="2620" w:right="340" w:hanging="202"/>
        <w:spacing w:after="0" w:line="316" w:lineRule="auto"/>
        <w:tabs>
          <w:tab w:leader="none" w:pos="2620" w:val="left"/>
        </w:tabs>
        <w:numPr>
          <w:ilvl w:val="0"/>
          <w:numId w:val="107"/>
        </w:numPr>
        <w:rPr>
          <w:rFonts w:ascii="Arial" w:cs="Arial" w:eastAsia="Arial" w:hAnsi="Arial"/>
          <w:sz w:val="16"/>
          <w:szCs w:val="16"/>
          <w:color w:val="0956FF"/>
        </w:rPr>
      </w:pPr>
      <w:r>
        <w:rPr>
          <w:rFonts w:ascii="Arial" w:cs="Arial" w:eastAsia="Arial" w:hAnsi="Arial"/>
          <w:sz w:val="16"/>
          <w:szCs w:val="16"/>
          <w:color w:val="auto"/>
        </w:rPr>
        <w:t>Stock options and SARs continue to vest and become exercisable in accordance with the vesting schedule and remain exercisable until the original expiration date.</w:t>
      </w:r>
    </w:p>
    <w:p>
      <w:pPr>
        <w:spacing w:after="0" w:line="1" w:lineRule="exact"/>
        <w:rPr>
          <w:rFonts w:ascii="Arial" w:cs="Arial" w:eastAsia="Arial" w:hAnsi="Arial"/>
          <w:sz w:val="16"/>
          <w:szCs w:val="16"/>
          <w:color w:val="0956FF"/>
        </w:rPr>
      </w:pPr>
    </w:p>
    <w:p>
      <w:pPr>
        <w:ind w:left="2620" w:right="1300" w:hanging="202"/>
        <w:spacing w:after="0" w:line="316" w:lineRule="auto"/>
        <w:tabs>
          <w:tab w:leader="none" w:pos="2620" w:val="left"/>
        </w:tabs>
        <w:numPr>
          <w:ilvl w:val="0"/>
          <w:numId w:val="107"/>
        </w:numPr>
        <w:rPr>
          <w:rFonts w:ascii="Arial" w:cs="Arial" w:eastAsia="Arial" w:hAnsi="Arial"/>
          <w:sz w:val="16"/>
          <w:szCs w:val="16"/>
          <w:color w:val="0956FF"/>
        </w:rPr>
      </w:pPr>
      <w:r>
        <w:rPr>
          <w:rFonts w:ascii="Arial" w:cs="Arial" w:eastAsia="Arial" w:hAnsi="Arial"/>
          <w:sz w:val="16"/>
          <w:szCs w:val="16"/>
          <w:color w:val="auto"/>
        </w:rPr>
        <w:t>Restricted stock and RSUs continue to vest and settle on the scheduled settlement date(s).</w:t>
      </w:r>
    </w:p>
    <w:p>
      <w:pPr>
        <w:spacing w:after="0" w:line="1" w:lineRule="exact"/>
        <w:rPr>
          <w:rFonts w:ascii="Arial" w:cs="Arial" w:eastAsia="Arial" w:hAnsi="Arial"/>
          <w:sz w:val="16"/>
          <w:szCs w:val="16"/>
          <w:color w:val="0956FF"/>
        </w:rPr>
      </w:pPr>
    </w:p>
    <w:p>
      <w:pPr>
        <w:ind w:left="2620" w:right="240" w:hanging="202"/>
        <w:spacing w:after="0" w:line="301" w:lineRule="auto"/>
        <w:tabs>
          <w:tab w:leader="none" w:pos="2620" w:val="left"/>
        </w:tabs>
        <w:numPr>
          <w:ilvl w:val="0"/>
          <w:numId w:val="107"/>
        </w:numPr>
        <w:rPr>
          <w:rFonts w:ascii="Arial" w:cs="Arial" w:eastAsia="Arial" w:hAnsi="Arial"/>
          <w:sz w:val="16"/>
          <w:szCs w:val="16"/>
          <w:color w:val="0956FF"/>
        </w:rPr>
      </w:pPr>
      <w:r>
        <w:rPr>
          <w:rFonts w:ascii="Arial" w:cs="Arial" w:eastAsia="Arial" w:hAnsi="Arial"/>
          <w:sz w:val="16"/>
          <w:szCs w:val="16"/>
          <w:color w:val="auto"/>
        </w:rPr>
        <w:t>Performance awards will have any service-based vesting waived, will be earned based upon the achievement of the applicable performance conditions, and will be paid or settled on the scheduled settlement date(s).</w:t>
      </w:r>
    </w:p>
    <w:p>
      <w:pPr>
        <w:spacing w:after="0" w:line="91" w:lineRule="exact"/>
        <w:rPr>
          <w:sz w:val="20"/>
          <w:szCs w:val="20"/>
          <w:color w:val="auto"/>
        </w:rPr>
      </w:pPr>
    </w:p>
    <w:p>
      <w:pPr>
        <w:ind w:left="2420" w:right="600"/>
        <w:spacing w:after="0" w:line="316" w:lineRule="auto"/>
        <w:rPr>
          <w:sz w:val="20"/>
          <w:szCs w:val="20"/>
          <w:color w:val="auto"/>
        </w:rPr>
      </w:pPr>
      <w:r>
        <w:rPr>
          <w:rFonts w:ascii="Arial" w:cs="Arial" w:eastAsia="Arial" w:hAnsi="Arial"/>
          <w:sz w:val="16"/>
          <w:szCs w:val="16"/>
          <w:color w:val="auto"/>
        </w:rPr>
        <w:t>Full Career Status Termination (age 55 or older with ten or more years of continuous service or age 62 or older):</w:t>
      </w:r>
    </w:p>
    <w:p>
      <w:pPr>
        <w:spacing w:after="0" w:line="2" w:lineRule="exact"/>
        <w:rPr>
          <w:sz w:val="20"/>
          <w:szCs w:val="20"/>
          <w:color w:val="auto"/>
        </w:rPr>
      </w:pPr>
    </w:p>
    <w:p>
      <w:pPr>
        <w:ind w:left="2620" w:right="260" w:hanging="202"/>
        <w:spacing w:after="0" w:line="295" w:lineRule="auto"/>
        <w:tabs>
          <w:tab w:leader="none" w:pos="2620" w:val="left"/>
        </w:tabs>
        <w:numPr>
          <w:ilvl w:val="0"/>
          <w:numId w:val="108"/>
        </w:numPr>
        <w:rPr>
          <w:rFonts w:ascii="Arial" w:cs="Arial" w:eastAsia="Arial" w:hAnsi="Arial"/>
          <w:sz w:val="16"/>
          <w:szCs w:val="16"/>
          <w:color w:val="0956FF"/>
        </w:rPr>
      </w:pPr>
      <w:r>
        <w:rPr>
          <w:rFonts w:ascii="Arial" w:cs="Arial" w:eastAsia="Arial" w:hAnsi="Arial"/>
          <w:sz w:val="16"/>
          <w:szCs w:val="16"/>
          <w:color w:val="auto"/>
        </w:rPr>
        <w:t>Stock options and SARs continue to vest and become exercisable in accordance with the vesting schedule and remain exercisable until the original expiration date; provided that the amount of the award will be prorated if termination occurs prior to the one-year anniversary of the grant.</w:t>
      </w:r>
    </w:p>
    <w:p>
      <w:pPr>
        <w:spacing w:after="0" w:line="13" w:lineRule="exact"/>
        <w:rPr>
          <w:rFonts w:ascii="Arial" w:cs="Arial" w:eastAsia="Arial" w:hAnsi="Arial"/>
          <w:sz w:val="16"/>
          <w:szCs w:val="16"/>
          <w:color w:val="0956FF"/>
        </w:rPr>
      </w:pPr>
    </w:p>
    <w:p>
      <w:pPr>
        <w:jc w:val="both"/>
        <w:ind w:left="2620" w:right="480" w:hanging="202"/>
        <w:spacing w:after="0" w:line="301" w:lineRule="auto"/>
        <w:tabs>
          <w:tab w:leader="none" w:pos="2620" w:val="left"/>
        </w:tabs>
        <w:numPr>
          <w:ilvl w:val="0"/>
          <w:numId w:val="108"/>
        </w:numPr>
        <w:rPr>
          <w:rFonts w:ascii="Arial" w:cs="Arial" w:eastAsia="Arial" w:hAnsi="Arial"/>
          <w:sz w:val="16"/>
          <w:szCs w:val="16"/>
          <w:color w:val="0956FF"/>
        </w:rPr>
      </w:pPr>
      <w:r>
        <w:rPr>
          <w:rFonts w:ascii="Arial" w:cs="Arial" w:eastAsia="Arial" w:hAnsi="Arial"/>
          <w:sz w:val="16"/>
          <w:szCs w:val="16"/>
          <w:color w:val="auto"/>
        </w:rPr>
        <w:t>Restricted stock and RSUs continue to vest and settle on the scheduled settlement date(s); provided that the amount of the award will be prorated if termination occurs prior to the one-year anniversary of the grant.</w:t>
      </w:r>
    </w:p>
    <w:p>
      <w:pPr>
        <w:spacing w:after="0" w:line="9" w:lineRule="exact"/>
        <w:rPr>
          <w:rFonts w:ascii="Arial" w:cs="Arial" w:eastAsia="Arial" w:hAnsi="Arial"/>
          <w:sz w:val="16"/>
          <w:szCs w:val="16"/>
          <w:color w:val="0956FF"/>
        </w:rPr>
      </w:pPr>
    </w:p>
    <w:p>
      <w:pPr>
        <w:ind w:left="2620" w:right="240" w:hanging="202"/>
        <w:spacing w:after="0" w:line="295" w:lineRule="auto"/>
        <w:tabs>
          <w:tab w:leader="none" w:pos="2620" w:val="left"/>
        </w:tabs>
        <w:numPr>
          <w:ilvl w:val="0"/>
          <w:numId w:val="108"/>
        </w:numPr>
        <w:rPr>
          <w:rFonts w:ascii="Arial" w:cs="Arial" w:eastAsia="Arial" w:hAnsi="Arial"/>
          <w:sz w:val="16"/>
          <w:szCs w:val="16"/>
          <w:color w:val="0956FF"/>
        </w:rPr>
      </w:pPr>
      <w:r>
        <w:rPr>
          <w:rFonts w:ascii="Arial" w:cs="Arial" w:eastAsia="Arial" w:hAnsi="Arial"/>
          <w:sz w:val="16"/>
          <w:szCs w:val="16"/>
          <w:color w:val="auto"/>
        </w:rPr>
        <w:t>Performance awards will have any service-based vesting waived, will be earned based upon the achievement of the applicable performance conditions, and will be paid or settled on the scheduled settlement date(s); provided that the award will be prorated if termination occurs within the first year of the performance period.</w:t>
      </w:r>
    </w:p>
    <w:p>
      <w:pPr>
        <w:spacing w:after="0" w:line="94" w:lineRule="exact"/>
        <w:rPr>
          <w:sz w:val="20"/>
          <w:szCs w:val="20"/>
          <w:color w:val="auto"/>
        </w:rPr>
      </w:pPr>
    </w:p>
    <w:p>
      <w:pPr>
        <w:ind w:left="2420" w:right="1000"/>
        <w:spacing w:after="0" w:line="316" w:lineRule="auto"/>
        <w:rPr>
          <w:sz w:val="20"/>
          <w:szCs w:val="20"/>
          <w:color w:val="auto"/>
        </w:rPr>
      </w:pPr>
      <w:r>
        <w:rPr>
          <w:rFonts w:ascii="Arial" w:cs="Arial" w:eastAsia="Arial" w:hAnsi="Arial"/>
          <w:sz w:val="16"/>
          <w:szCs w:val="16"/>
          <w:color w:val="auto"/>
        </w:rPr>
        <w:t>Other Terminations, including Termination Pursuant to an Approved Separation Agreement or Program:</w:t>
      </w:r>
    </w:p>
    <w:p>
      <w:pPr>
        <w:spacing w:after="0" w:line="2" w:lineRule="exact"/>
        <w:rPr>
          <w:sz w:val="20"/>
          <w:szCs w:val="20"/>
          <w:color w:val="auto"/>
        </w:rPr>
      </w:pPr>
    </w:p>
    <w:p>
      <w:pPr>
        <w:ind w:left="2620" w:right="280" w:hanging="202"/>
        <w:spacing w:after="0" w:line="301" w:lineRule="auto"/>
        <w:tabs>
          <w:tab w:leader="none" w:pos="2620" w:val="left"/>
        </w:tabs>
        <w:numPr>
          <w:ilvl w:val="0"/>
          <w:numId w:val="109"/>
        </w:numPr>
        <w:rPr>
          <w:rFonts w:ascii="Arial" w:cs="Arial" w:eastAsia="Arial" w:hAnsi="Arial"/>
          <w:sz w:val="16"/>
          <w:szCs w:val="16"/>
          <w:color w:val="0956FF"/>
        </w:rPr>
      </w:pPr>
      <w:r>
        <w:rPr>
          <w:rFonts w:ascii="Arial" w:cs="Arial" w:eastAsia="Arial" w:hAnsi="Arial"/>
          <w:sz w:val="16"/>
          <w:szCs w:val="16"/>
          <w:color w:val="auto"/>
        </w:rPr>
        <w:t>The participant will not be entitled to retain any portion of an award; provided that any vested stock options or SARs shall remain exercisable until the earlier of 90 days after termination or the original expiration date.</w:t>
      </w:r>
    </w:p>
    <w:p>
      <w:pPr>
        <w:sectPr>
          <w:pgSz w:w="11900" w:h="16838" w:orient="portrait"/>
          <w:cols w:equalWidth="0" w:num="1">
            <w:col w:w="9060"/>
          </w:cols>
          <w:pgMar w:left="1400" w:top="65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86</w:t>
      </w:r>
    </w:p>
    <w:p>
      <w:pPr>
        <w:sectPr>
          <w:pgSz w:w="11900" w:h="16838" w:orient="portrait"/>
          <w:cols w:equalWidth="0" w:num="1">
            <w:col w:w="9060"/>
          </w:cols>
          <w:pgMar w:left="1400" w:top="657" w:right="14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20" w:type="dxa"/>
            <w:vAlign w:val="bottom"/>
            <w:gridSpan w:val="3"/>
          </w:tcPr>
          <w:p>
            <w:pPr>
              <w:ind w:left="1020"/>
              <w:spacing w:after="0"/>
              <w:rPr>
                <w:sz w:val="20"/>
                <w:szCs w:val="20"/>
                <w:color w:val="auto"/>
              </w:rPr>
            </w:pPr>
            <w:r>
              <w:rPr>
                <w:rFonts w:ascii="Arial" w:cs="Arial" w:eastAsia="Arial" w:hAnsi="Arial"/>
                <w:sz w:val="14"/>
                <w:szCs w:val="14"/>
                <w:b w:val="1"/>
                <w:bCs w:val="1"/>
                <w:color w:val="0956FF"/>
              </w:rPr>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tc>
      </w:tr>
      <w:tr>
        <w:trPr>
          <w:trHeight w:val="196"/>
        </w:trPr>
        <w:tc>
          <w:tcPr>
            <w:tcW w:w="2380" w:type="dxa"/>
            <w:vAlign w:val="bottom"/>
          </w:tcPr>
          <w:p>
            <w:pPr>
              <w:spacing w:after="0"/>
              <w:rPr>
                <w:sz w:val="17"/>
                <w:szCs w:val="17"/>
                <w:color w:val="auto"/>
              </w:rPr>
            </w:pPr>
          </w:p>
        </w:tc>
        <w:tc>
          <w:tcPr>
            <w:tcW w:w="6720" w:type="dxa"/>
            <w:vAlign w:val="bottom"/>
            <w:gridSpan w:val="4"/>
          </w:tcPr>
          <w:p>
            <w:pPr>
              <w:ind w:left="260"/>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tc>
      </w:tr>
      <w:tr>
        <w:trPr>
          <w:trHeight w:val="394"/>
        </w:trPr>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40" w:type="dxa"/>
            <w:vAlign w:val="bottom"/>
            <w:gridSpan w:val="2"/>
          </w:tcPr>
          <w:p>
            <w:pPr>
              <w:spacing w:after="0"/>
              <w:rPr>
                <w:sz w:val="24"/>
                <w:szCs w:val="24"/>
                <w:color w:val="auto"/>
              </w:rPr>
            </w:pPr>
          </w:p>
        </w:tc>
      </w:tr>
      <w:tr>
        <w:trPr>
          <w:trHeight w:val="316"/>
        </w:trPr>
        <w:tc>
          <w:tcPr>
            <w:tcW w:w="2380" w:type="dxa"/>
            <w:vAlign w:val="bottom"/>
            <w:tcBorders>
              <w:bottom w:val="single" w:sz="8" w:color="ECEBEB"/>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Key Provisions</w:t>
            </w:r>
          </w:p>
        </w:tc>
        <w:tc>
          <w:tcPr>
            <w:tcW w:w="6680" w:type="dxa"/>
            <w:vAlign w:val="bottom"/>
            <w:tcBorders>
              <w:bottom w:val="single" w:sz="8" w:color="ECEBEB"/>
            </w:tcBorders>
            <w:gridSpan w:val="3"/>
            <w:shd w:val="clear" w:color="auto" w:fill="ECEBEB"/>
          </w:tcPr>
          <w:p>
            <w:pPr>
              <w:ind w:left="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90"/>
        </w:trPr>
        <w:tc>
          <w:tcPr>
            <w:tcW w:w="2380" w:type="dxa"/>
            <w:vAlign w:val="bottom"/>
            <w:tcBorders>
              <w:top w:val="single" w:sz="8" w:color="0956FF"/>
            </w:tcBorders>
          </w:tcPr>
          <w:p>
            <w:pPr>
              <w:ind w:left="60"/>
              <w:spacing w:after="0"/>
              <w:rPr>
                <w:sz w:val="20"/>
                <w:szCs w:val="20"/>
                <w:color w:val="auto"/>
              </w:rPr>
            </w:pPr>
            <w:r>
              <w:rPr>
                <w:rFonts w:ascii="Arial" w:cs="Arial" w:eastAsia="Arial" w:hAnsi="Arial"/>
                <w:sz w:val="16"/>
                <w:szCs w:val="16"/>
                <w:b w:val="1"/>
                <w:bCs w:val="1"/>
                <w:color w:val="0956FF"/>
              </w:rPr>
              <w:t>Change in Control</w:t>
            </w:r>
          </w:p>
        </w:tc>
        <w:tc>
          <w:tcPr>
            <w:tcW w:w="6680" w:type="dxa"/>
            <w:vAlign w:val="bottom"/>
            <w:tcBorders>
              <w:top w:val="single" w:sz="8" w:color="0956FF"/>
            </w:tcBorders>
            <w:gridSpan w:val="3"/>
          </w:tcPr>
          <w:p>
            <w:pPr>
              <w:ind w:left="40"/>
              <w:spacing w:after="0"/>
              <w:rPr>
                <w:sz w:val="20"/>
                <w:szCs w:val="20"/>
                <w:color w:val="auto"/>
              </w:rPr>
            </w:pPr>
            <w:r>
              <w:rPr>
                <w:rFonts w:ascii="Arial" w:cs="Arial" w:eastAsia="Arial" w:hAnsi="Arial"/>
                <w:sz w:val="16"/>
                <w:szCs w:val="16"/>
                <w:color w:val="auto"/>
              </w:rPr>
              <w:t>The 2020 LTIP generally provides for double-trigger change in control vesting provisions</w:t>
            </w:r>
          </w:p>
        </w:tc>
        <w:tc>
          <w:tcPr>
            <w:tcW w:w="40" w:type="dxa"/>
            <w:vAlign w:val="bottom"/>
          </w:tcPr>
          <w:p>
            <w:pPr>
              <w:spacing w:after="0"/>
              <w:rPr>
                <w:sz w:val="24"/>
                <w:szCs w:val="24"/>
                <w:color w:val="auto"/>
              </w:rPr>
            </w:pPr>
          </w:p>
        </w:tc>
      </w:tr>
      <w:tr>
        <w:trPr>
          <w:trHeight w:val="215"/>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such that if awards are continued or converted into similar awards of the successor</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company, the awards will be subject to accelerated vesting in the event of a participant’s</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termination of service by the Company without cause or by the participant for good reason</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within 24 months after the change in control. If awards are not continued or converted</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into similar awards of the successor company, then the awards will have accelerated</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vesting immediately prior to the change in control.</w:t>
            </w:r>
          </w:p>
        </w:tc>
      </w:tr>
      <w:tr>
        <w:trPr>
          <w:trHeight w:val="351"/>
        </w:trPr>
        <w:tc>
          <w:tcPr>
            <w:tcW w:w="2380" w:type="dxa"/>
            <w:vAlign w:val="bottom"/>
          </w:tcPr>
          <w:p>
            <w:pPr>
              <w:spacing w:after="0"/>
              <w:rPr>
                <w:sz w:val="24"/>
                <w:szCs w:val="24"/>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With respect to any outstanding performance awards, the performance period will end</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immediately prior to such change in control, achievement of the applicable performance</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criteria will be determined at such time, and the number of shares deemed earned will be</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converted into a time vesting award that will be paid or settled on the scheduled</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settlement date(s), provided that such awards will be subject to accelerated vesting in the</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event of the participant’s termination of service by the Company without cause or by the</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participant for good reason within 24 months after the change in control.</w:t>
            </w:r>
          </w:p>
        </w:tc>
      </w:tr>
      <w:tr>
        <w:trPr>
          <w:trHeight w:val="83"/>
        </w:trPr>
        <w:tc>
          <w:tcPr>
            <w:tcW w:w="2380" w:type="dxa"/>
            <w:vAlign w:val="bottom"/>
            <w:tcBorders>
              <w:bottom w:val="single" w:sz="8" w:color="D8D7D7"/>
            </w:tcBorders>
          </w:tcPr>
          <w:p>
            <w:pPr>
              <w:spacing w:after="0"/>
              <w:rPr>
                <w:sz w:val="7"/>
                <w:szCs w:val="7"/>
                <w:color w:val="auto"/>
              </w:rPr>
            </w:pPr>
          </w:p>
        </w:tc>
        <w:tc>
          <w:tcPr>
            <w:tcW w:w="900" w:type="dxa"/>
            <w:vAlign w:val="bottom"/>
            <w:tcBorders>
              <w:bottom w:val="single" w:sz="8" w:color="D8D7D7"/>
            </w:tcBorders>
          </w:tcPr>
          <w:p>
            <w:pPr>
              <w:spacing w:after="0"/>
              <w:rPr>
                <w:sz w:val="7"/>
                <w:szCs w:val="7"/>
                <w:color w:val="auto"/>
              </w:rPr>
            </w:pPr>
          </w:p>
        </w:tc>
        <w:tc>
          <w:tcPr>
            <w:tcW w:w="1180" w:type="dxa"/>
            <w:vAlign w:val="bottom"/>
            <w:tcBorders>
              <w:bottom w:val="single" w:sz="8" w:color="D8D7D7"/>
            </w:tcBorders>
          </w:tcPr>
          <w:p>
            <w:pPr>
              <w:spacing w:after="0"/>
              <w:rPr>
                <w:sz w:val="7"/>
                <w:szCs w:val="7"/>
                <w:color w:val="auto"/>
              </w:rPr>
            </w:pPr>
          </w:p>
        </w:tc>
        <w:tc>
          <w:tcPr>
            <w:tcW w:w="4600" w:type="dxa"/>
            <w:vAlign w:val="bottom"/>
            <w:tcBorders>
              <w:bottom w:val="single" w:sz="8" w:color="D8D7D7"/>
            </w:tcBorders>
          </w:tcPr>
          <w:p>
            <w:pPr>
              <w:spacing w:after="0"/>
              <w:rPr>
                <w:sz w:val="7"/>
                <w:szCs w:val="7"/>
                <w:color w:val="auto"/>
              </w:rPr>
            </w:pPr>
          </w:p>
        </w:tc>
        <w:tc>
          <w:tcPr>
            <w:tcW w:w="40" w:type="dxa"/>
            <w:vAlign w:val="bottom"/>
          </w:tcPr>
          <w:p>
            <w:pPr>
              <w:spacing w:after="0"/>
              <w:rPr>
                <w:sz w:val="7"/>
                <w:szCs w:val="7"/>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Clawback /</w:t>
            </w: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In order to align incentives with the interests of shareholders and further encourage</w:t>
            </w:r>
          </w:p>
        </w:tc>
      </w:tr>
      <w:tr>
        <w:trPr>
          <w:trHeight w:val="216"/>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Recoupment</w:t>
            </w: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responsible decision making on the part of our executives, any awards granted under the</w:t>
            </w:r>
          </w:p>
        </w:tc>
      </w:tr>
      <w:tr>
        <w:trPr>
          <w:trHeight w:val="215"/>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2020 LTIP are subject to the Company’s clawback and cancellation policies. The Company</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maintains the General Motors Policy on Recoupment of Incentive Compensation, which is</w:t>
            </w:r>
          </w:p>
        </w:tc>
      </w:tr>
      <w:tr>
        <w:trPr>
          <w:trHeight w:val="178"/>
        </w:trPr>
        <w:tc>
          <w:tcPr>
            <w:tcW w:w="2380" w:type="dxa"/>
            <w:vAlign w:val="bottom"/>
          </w:tcPr>
          <w:p>
            <w:pPr>
              <w:spacing w:after="0"/>
              <w:rPr>
                <w:sz w:val="15"/>
                <w:szCs w:val="15"/>
                <w:color w:val="auto"/>
              </w:rPr>
            </w:pPr>
          </w:p>
        </w:tc>
        <w:tc>
          <w:tcPr>
            <w:tcW w:w="6720" w:type="dxa"/>
            <w:vAlign w:val="bottom"/>
            <w:gridSpan w:val="4"/>
          </w:tcPr>
          <w:p>
            <w:pPr>
              <w:ind w:left="40"/>
              <w:spacing w:after="0" w:line="178" w:lineRule="exact"/>
              <w:rPr>
                <w:sz w:val="20"/>
                <w:szCs w:val="20"/>
                <w:color w:val="auto"/>
              </w:rPr>
            </w:pPr>
            <w:r>
              <w:rPr>
                <w:rFonts w:ascii="Arial" w:cs="Arial" w:eastAsia="Arial" w:hAnsi="Arial"/>
                <w:sz w:val="16"/>
                <w:szCs w:val="16"/>
                <w:color w:val="auto"/>
              </w:rPr>
              <w:t xml:space="preserve">available at </w:t>
            </w:r>
            <w:r>
              <w:rPr>
                <w:rFonts w:ascii="Arial" w:cs="Arial" w:eastAsia="Arial" w:hAnsi="Arial"/>
                <w:sz w:val="16"/>
                <w:szCs w:val="16"/>
                <w:color w:val="0956FF"/>
              </w:rPr>
              <w:t>investor.gm.com</w:t>
            </w:r>
            <w:r>
              <w:rPr>
                <w:rFonts w:ascii="Arial" w:cs="Arial" w:eastAsia="Arial" w:hAnsi="Arial"/>
                <w:sz w:val="16"/>
                <w:szCs w:val="16"/>
                <w:color w:val="auto"/>
              </w:rPr>
              <w:t xml:space="preserve"> .</w:t>
            </w:r>
          </w:p>
        </w:tc>
      </w:tr>
      <w:tr>
        <w:trPr>
          <w:trHeight w:val="75"/>
        </w:trPr>
        <w:tc>
          <w:tcPr>
            <w:tcW w:w="2380" w:type="dxa"/>
            <w:vAlign w:val="bottom"/>
            <w:tcBorders>
              <w:bottom w:val="single" w:sz="8" w:color="D8D7D7"/>
            </w:tcBorders>
          </w:tcPr>
          <w:p>
            <w:pPr>
              <w:spacing w:after="0"/>
              <w:rPr>
                <w:sz w:val="6"/>
                <w:szCs w:val="6"/>
                <w:color w:val="auto"/>
              </w:rPr>
            </w:pPr>
          </w:p>
        </w:tc>
        <w:tc>
          <w:tcPr>
            <w:tcW w:w="900" w:type="dxa"/>
            <w:vAlign w:val="bottom"/>
            <w:tcBorders>
              <w:bottom w:val="single" w:sz="8" w:color="D8D7D7"/>
            </w:tcBorders>
          </w:tcPr>
          <w:p>
            <w:pPr>
              <w:spacing w:after="0"/>
              <w:rPr>
                <w:sz w:val="6"/>
                <w:szCs w:val="6"/>
                <w:color w:val="auto"/>
              </w:rPr>
            </w:pPr>
          </w:p>
        </w:tc>
        <w:tc>
          <w:tcPr>
            <w:tcW w:w="1180" w:type="dxa"/>
            <w:vAlign w:val="bottom"/>
            <w:tcBorders>
              <w:top w:val="single" w:sz="8" w:color="0956FF"/>
              <w:bottom w:val="single" w:sz="8" w:color="D8D7D7"/>
            </w:tcBorders>
          </w:tcPr>
          <w:p>
            <w:pPr>
              <w:spacing w:after="0"/>
              <w:rPr>
                <w:sz w:val="6"/>
                <w:szCs w:val="6"/>
                <w:color w:val="auto"/>
              </w:rPr>
            </w:pPr>
          </w:p>
        </w:tc>
        <w:tc>
          <w:tcPr>
            <w:tcW w:w="4600" w:type="dxa"/>
            <w:vAlign w:val="bottom"/>
            <w:tcBorders>
              <w:bottom w:val="single" w:sz="8" w:color="D8D7D7"/>
            </w:tcBorders>
          </w:tcPr>
          <w:p>
            <w:pPr>
              <w:spacing w:after="0"/>
              <w:rPr>
                <w:sz w:val="6"/>
                <w:szCs w:val="6"/>
                <w:color w:val="auto"/>
              </w:rPr>
            </w:pPr>
          </w:p>
        </w:tc>
        <w:tc>
          <w:tcPr>
            <w:tcW w:w="40" w:type="dxa"/>
            <w:vAlign w:val="bottom"/>
          </w:tcPr>
          <w:p>
            <w:pPr>
              <w:spacing w:after="0"/>
              <w:rPr>
                <w:sz w:val="6"/>
                <w:szCs w:val="6"/>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Plan Amendments</w:t>
            </w: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The 2020 LTIP may be amended by the Board of Directors or the Compensation</w:t>
            </w:r>
          </w:p>
        </w:tc>
      </w:tr>
      <w:tr>
        <w:trPr>
          <w:trHeight w:val="215"/>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Committee, generally subject to shareholder approval to the extent required by applicable</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law or applicable stock exchange rules and the consent of the affected participant if the</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amendment would materially adversely affect the rights of such participant under any</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outstanding award, and subject to certain other limitations included in the 2020 LTIP.</w:t>
            </w:r>
          </w:p>
        </w:tc>
      </w:tr>
      <w:tr>
        <w:trPr>
          <w:trHeight w:val="56"/>
        </w:trPr>
        <w:tc>
          <w:tcPr>
            <w:tcW w:w="2380" w:type="dxa"/>
            <w:vAlign w:val="bottom"/>
            <w:tcBorders>
              <w:bottom w:val="single" w:sz="8" w:color="D8D7D7"/>
            </w:tcBorders>
          </w:tcPr>
          <w:p>
            <w:pPr>
              <w:spacing w:after="0"/>
              <w:rPr>
                <w:sz w:val="4"/>
                <w:szCs w:val="4"/>
                <w:color w:val="auto"/>
              </w:rPr>
            </w:pPr>
          </w:p>
        </w:tc>
        <w:tc>
          <w:tcPr>
            <w:tcW w:w="900" w:type="dxa"/>
            <w:vAlign w:val="bottom"/>
            <w:tcBorders>
              <w:bottom w:val="single" w:sz="8" w:color="D8D7D7"/>
            </w:tcBorders>
          </w:tcPr>
          <w:p>
            <w:pPr>
              <w:spacing w:after="0"/>
              <w:rPr>
                <w:sz w:val="4"/>
                <w:szCs w:val="4"/>
                <w:color w:val="auto"/>
              </w:rPr>
            </w:pPr>
          </w:p>
        </w:tc>
        <w:tc>
          <w:tcPr>
            <w:tcW w:w="1180" w:type="dxa"/>
            <w:vAlign w:val="bottom"/>
            <w:tcBorders>
              <w:bottom w:val="single" w:sz="8" w:color="D8D7D7"/>
            </w:tcBorders>
          </w:tcPr>
          <w:p>
            <w:pPr>
              <w:spacing w:after="0"/>
              <w:rPr>
                <w:sz w:val="4"/>
                <w:szCs w:val="4"/>
                <w:color w:val="auto"/>
              </w:rPr>
            </w:pPr>
          </w:p>
        </w:tc>
        <w:tc>
          <w:tcPr>
            <w:tcW w:w="4600" w:type="dxa"/>
            <w:vAlign w:val="bottom"/>
            <w:tcBorders>
              <w:bottom w:val="single" w:sz="8" w:color="D8D7D7"/>
            </w:tcBorders>
          </w:tcPr>
          <w:p>
            <w:pPr>
              <w:spacing w:after="0"/>
              <w:rPr>
                <w:sz w:val="4"/>
                <w:szCs w:val="4"/>
                <w:color w:val="auto"/>
              </w:rPr>
            </w:pPr>
          </w:p>
        </w:tc>
        <w:tc>
          <w:tcPr>
            <w:tcW w:w="40" w:type="dxa"/>
            <w:vAlign w:val="bottom"/>
          </w:tcPr>
          <w:p>
            <w:pPr>
              <w:spacing w:after="0"/>
              <w:rPr>
                <w:sz w:val="4"/>
                <w:szCs w:val="4"/>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6"/>
                <w:szCs w:val="16"/>
                <w:b w:val="1"/>
                <w:bCs w:val="1"/>
                <w:color w:val="0956FF"/>
              </w:rPr>
              <w:t>Plan Term</w:t>
            </w: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Amendment No. 2 is effective as of June 3, 2026, subject to the approval of shareholders,</w:t>
            </w:r>
          </w:p>
        </w:tc>
      </w:tr>
      <w:tr>
        <w:trPr>
          <w:trHeight w:val="215"/>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and no awards will be granted under the 2020 LTIP after June 3, 2036, or such earlier</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time as the maximum number of shares available for issuance under the 2020 LTIP have</w:t>
            </w:r>
          </w:p>
        </w:tc>
      </w:tr>
      <w:tr>
        <w:trPr>
          <w:trHeight w:val="216"/>
        </w:trPr>
        <w:tc>
          <w:tcPr>
            <w:tcW w:w="238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been issued or the Board terminates the 2020 LTIP.</w:t>
            </w:r>
          </w:p>
        </w:tc>
      </w:tr>
      <w:tr>
        <w:trPr>
          <w:trHeight w:val="56"/>
        </w:trPr>
        <w:tc>
          <w:tcPr>
            <w:tcW w:w="2380" w:type="dxa"/>
            <w:vAlign w:val="bottom"/>
            <w:tcBorders>
              <w:bottom w:val="single" w:sz="8" w:color="0956FF"/>
            </w:tcBorders>
          </w:tcPr>
          <w:p>
            <w:pPr>
              <w:spacing w:after="0"/>
              <w:rPr>
                <w:sz w:val="4"/>
                <w:szCs w:val="4"/>
                <w:color w:val="auto"/>
              </w:rPr>
            </w:pPr>
          </w:p>
        </w:tc>
        <w:tc>
          <w:tcPr>
            <w:tcW w:w="900" w:type="dxa"/>
            <w:vAlign w:val="bottom"/>
            <w:tcBorders>
              <w:bottom w:val="single" w:sz="8" w:color="0956FF"/>
            </w:tcBorders>
          </w:tcPr>
          <w:p>
            <w:pPr>
              <w:spacing w:after="0"/>
              <w:rPr>
                <w:sz w:val="4"/>
                <w:szCs w:val="4"/>
                <w:color w:val="auto"/>
              </w:rPr>
            </w:pPr>
          </w:p>
        </w:tc>
        <w:tc>
          <w:tcPr>
            <w:tcW w:w="1180" w:type="dxa"/>
            <w:vAlign w:val="bottom"/>
            <w:tcBorders>
              <w:bottom w:val="single" w:sz="8" w:color="0956FF"/>
            </w:tcBorders>
          </w:tcPr>
          <w:p>
            <w:pPr>
              <w:spacing w:after="0"/>
              <w:rPr>
                <w:sz w:val="4"/>
                <w:szCs w:val="4"/>
                <w:color w:val="auto"/>
              </w:rPr>
            </w:pPr>
          </w:p>
        </w:tc>
        <w:tc>
          <w:tcPr>
            <w:tcW w:w="4600" w:type="dxa"/>
            <w:vAlign w:val="bottom"/>
            <w:tcBorders>
              <w:bottom w:val="single" w:sz="8" w:color="0956FF"/>
            </w:tcBorders>
          </w:tcPr>
          <w:p>
            <w:pPr>
              <w:spacing w:after="0"/>
              <w:rPr>
                <w:sz w:val="4"/>
                <w:szCs w:val="4"/>
                <w:color w:val="auto"/>
              </w:rPr>
            </w:pPr>
          </w:p>
        </w:tc>
        <w:tc>
          <w:tcPr>
            <w:tcW w:w="40" w:type="dxa"/>
            <w:vAlign w:val="bottom"/>
          </w:tcPr>
          <w:p>
            <w:pPr>
              <w:spacing w:after="0"/>
              <w:rPr>
                <w:sz w:val="4"/>
                <w:szCs w:val="4"/>
                <w:color w:val="auto"/>
              </w:rPr>
            </w:pPr>
          </w:p>
        </w:tc>
      </w:tr>
    </w:tbl>
    <w:p>
      <w:pPr>
        <w:spacing w:after="0"/>
        <w:rPr>
          <w:sz w:val="20"/>
          <w:szCs w:val="20"/>
          <w:color w:val="auto"/>
        </w:rPr>
        <w:sectPr>
          <w:pgSz w:w="11900" w:h="16838" w:orient="portrait"/>
          <w:cols w:equalWidth="0" w:num="1">
            <w:col w:w="9100"/>
          </w:cols>
          <w:pgMar w:left="1400" w:top="657" w:right="1399" w:bottom="1440" w:gutter="0" w:footer="0" w:header="0"/>
        </w:sect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87</w:t>
      </w:r>
    </w:p>
    <w:p>
      <w:pPr>
        <w:sectPr>
          <w:pgSz w:w="11900" w:h="16838" w:orient="portrait"/>
          <w:cols w:equalWidth="0" w:num="1">
            <w:col w:w="9100"/>
          </w:cols>
          <w:pgMar w:left="1400" w:top="657" w:right="139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New Plan Benefits</w:t>
      </w:r>
    </w:p>
    <w:p>
      <w:pPr>
        <w:spacing w:after="0" w:line="9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dollar value and number of awards to be granted in the future to eligible participants under the 2020 LTIP are generally not currently determinable because the value and number of such awards are subject to the discretion of the Compensation Committee.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Additional Prior Award Information</w:t>
      </w:r>
    </w:p>
    <w:p>
      <w:pPr>
        <w:spacing w:after="0" w:line="95" w:lineRule="exact"/>
        <w:rPr>
          <w:sz w:val="20"/>
          <w:szCs w:val="20"/>
          <w:color w:val="auto"/>
        </w:rPr>
      </w:pPr>
    </w:p>
    <w:p>
      <w:pPr>
        <w:ind w:right="480"/>
        <w:spacing w:after="0" w:line="289" w:lineRule="auto"/>
        <w:rPr>
          <w:sz w:val="20"/>
          <w:szCs w:val="20"/>
          <w:color w:val="auto"/>
        </w:rPr>
      </w:pPr>
      <w:r>
        <w:rPr>
          <w:rFonts w:ascii="Arial" w:cs="Arial" w:eastAsia="Arial" w:hAnsi="Arial"/>
          <w:sz w:val="16"/>
          <w:szCs w:val="16"/>
          <w:color w:val="auto"/>
        </w:rPr>
        <w:t xml:space="preserve">The following table sets forth information with respect to the number of outstanding stock options, RSUs, and PSUs that have been granted to the named executive officers and the specified groups set forth below under the 2020 LTIP as of December 31, 2025. </w:t>
      </w:r>
      <w:r>
        <w:rPr>
          <w:rFonts w:ascii="Arial" w:cs="Arial" w:eastAsia="Arial" w:hAnsi="Arial"/>
          <w:sz w:val="16"/>
          <w:szCs w:val="16"/>
          <w:color w:val="auto"/>
          <w:highlight w:val="white"/>
        </w:rPr>
        <w:t>The</w:t>
      </w:r>
      <w:r>
        <w:rPr>
          <w:rFonts w:ascii="Arial" w:cs="Arial" w:eastAsia="Arial" w:hAnsi="Arial"/>
          <w:sz w:val="16"/>
          <w:szCs w:val="16"/>
          <w:color w:val="auto"/>
        </w:rPr>
        <w:t xml:space="preserve"> closing price of the underlying shares of our common stock traded on the NYSE was $81.32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8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bottom w:val="single" w:sz="8" w:color="0956FF"/>
            </w:tcBorders>
            <w:shd w:val="clear" w:color="auto" w:fill="ECEBEB"/>
          </w:tcPr>
          <w:p>
            <w:pPr>
              <w:jc w:val="right"/>
              <w:ind w:right="220"/>
              <w:spacing w:after="0"/>
              <w:rPr>
                <w:sz w:val="20"/>
                <w:szCs w:val="20"/>
                <w:color w:val="auto"/>
              </w:rPr>
            </w:pPr>
            <w:r>
              <w:rPr>
                <w:rFonts w:ascii="Arial" w:cs="Arial" w:eastAsia="Arial" w:hAnsi="Arial"/>
                <w:sz w:val="14"/>
                <w:szCs w:val="14"/>
                <w:b w:val="1"/>
                <w:bCs w:val="1"/>
                <w:color w:val="auto"/>
              </w:rPr>
              <w:t>Stock Options</w:t>
            </w:r>
          </w:p>
        </w:tc>
        <w:tc>
          <w:tcPr>
            <w:tcW w:w="1240" w:type="dxa"/>
            <w:vAlign w:val="bottom"/>
            <w:tcBorders>
              <w:bottom w:val="single" w:sz="8" w:color="0956FF"/>
            </w:tcBorders>
            <w:shd w:val="clear" w:color="auto" w:fill="ECEBEB"/>
          </w:tcPr>
          <w:p>
            <w:pPr>
              <w:jc w:val="right"/>
              <w:ind w:right="180"/>
              <w:spacing w:after="0"/>
              <w:rPr>
                <w:sz w:val="20"/>
                <w:szCs w:val="20"/>
                <w:color w:val="auto"/>
              </w:rPr>
            </w:pPr>
            <w:r>
              <w:rPr>
                <w:rFonts w:ascii="Arial" w:cs="Arial" w:eastAsia="Arial" w:hAnsi="Arial"/>
                <w:sz w:val="14"/>
                <w:szCs w:val="14"/>
                <w:b w:val="1"/>
                <w:bCs w:val="1"/>
                <w:color w:val="auto"/>
              </w:rPr>
              <w:t>RSUs</w:t>
            </w:r>
          </w:p>
        </w:tc>
        <w:tc>
          <w:tcPr>
            <w:tcW w:w="108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PSUs</w:t>
            </w:r>
            <w:r>
              <w:rPr>
                <w:rFonts w:ascii="Arial" w:cs="Arial" w:eastAsia="Arial" w:hAnsi="Arial"/>
                <w:sz w:val="18"/>
                <w:szCs w:val="18"/>
                <w:b w:val="1"/>
                <w:bCs w:val="1"/>
                <w:color w:val="auto"/>
                <w:vertAlign w:val="superscript"/>
              </w:rPr>
              <w:t>(1)</w:t>
            </w:r>
          </w:p>
        </w:tc>
      </w:tr>
      <w:tr>
        <w:trPr>
          <w:trHeight w:val="209"/>
        </w:trPr>
        <w:tc>
          <w:tcPr>
            <w:tcW w:w="5180" w:type="dxa"/>
            <w:vAlign w:val="bottom"/>
          </w:tcPr>
          <w:p>
            <w:pPr>
              <w:ind w:left="60"/>
              <w:spacing w:after="0"/>
              <w:rPr>
                <w:sz w:val="20"/>
                <w:szCs w:val="20"/>
                <w:color w:val="auto"/>
              </w:rPr>
            </w:pPr>
            <w:r>
              <w:rPr>
                <w:rFonts w:ascii="Arial" w:cs="Arial" w:eastAsia="Arial" w:hAnsi="Arial"/>
                <w:sz w:val="16"/>
                <w:szCs w:val="16"/>
                <w:b w:val="1"/>
                <w:bCs w:val="1"/>
                <w:color w:val="auto"/>
              </w:rPr>
              <w:t>Mary T. Barra</w:t>
            </w:r>
          </w:p>
        </w:tc>
        <w:tc>
          <w:tcPr>
            <w:tcW w:w="1580" w:type="dxa"/>
            <w:vAlign w:val="bottom"/>
          </w:tcPr>
          <w:p>
            <w:pPr>
              <w:jc w:val="right"/>
              <w:ind w:right="320"/>
              <w:spacing w:after="0"/>
              <w:rPr>
                <w:sz w:val="20"/>
                <w:szCs w:val="20"/>
                <w:color w:val="auto"/>
              </w:rPr>
            </w:pPr>
            <w:r>
              <w:rPr>
                <w:rFonts w:ascii="Arial" w:cs="Arial" w:eastAsia="Arial" w:hAnsi="Arial"/>
                <w:sz w:val="16"/>
                <w:szCs w:val="16"/>
                <w:color w:val="auto"/>
              </w:rPr>
              <w:t>840,262</w:t>
            </w:r>
          </w:p>
        </w:tc>
        <w:tc>
          <w:tcPr>
            <w:tcW w:w="1240" w:type="dxa"/>
            <w:vAlign w:val="bottom"/>
          </w:tcPr>
          <w:p>
            <w:pPr>
              <w:jc w:val="right"/>
              <w:ind w:right="180"/>
              <w:spacing w:after="0"/>
              <w:rPr>
                <w:sz w:val="20"/>
                <w:szCs w:val="20"/>
                <w:color w:val="auto"/>
              </w:rPr>
            </w:pPr>
            <w:r>
              <w:rPr>
                <w:rFonts w:ascii="Arial" w:cs="Arial" w:eastAsia="Arial" w:hAnsi="Arial"/>
                <w:sz w:val="16"/>
                <w:szCs w:val="16"/>
                <w:color w:val="auto"/>
              </w:rPr>
              <w:t>193,551</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984,223</w:t>
            </w:r>
          </w:p>
        </w:tc>
      </w:tr>
      <w:tr>
        <w:trPr>
          <w:trHeight w:val="215"/>
        </w:trPr>
        <w:tc>
          <w:tcPr>
            <w:tcW w:w="5180" w:type="dxa"/>
            <w:vAlign w:val="bottom"/>
          </w:tcPr>
          <w:p>
            <w:pPr>
              <w:ind w:left="60"/>
              <w:spacing w:after="0"/>
              <w:rPr>
                <w:sz w:val="20"/>
                <w:szCs w:val="20"/>
                <w:color w:val="auto"/>
              </w:rPr>
            </w:pPr>
            <w:r>
              <w:rPr>
                <w:rFonts w:ascii="Arial" w:cs="Arial" w:eastAsia="Arial" w:hAnsi="Arial"/>
                <w:sz w:val="16"/>
                <w:szCs w:val="16"/>
                <w:color w:val="auto"/>
              </w:rPr>
              <w:t>Chair and Chief Executive Officer</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9"/>
        </w:trPr>
        <w:tc>
          <w:tcPr>
            <w:tcW w:w="5180" w:type="dxa"/>
            <w:vAlign w:val="bottom"/>
            <w:tcBorders>
              <w:bottom w:val="single" w:sz="8" w:color="D8D7D7"/>
            </w:tcBorders>
          </w:tcPr>
          <w:p>
            <w:pPr>
              <w:spacing w:after="0"/>
              <w:rPr>
                <w:sz w:val="2"/>
                <w:szCs w:val="2"/>
                <w:color w:val="auto"/>
              </w:rPr>
            </w:pPr>
          </w:p>
        </w:tc>
        <w:tc>
          <w:tcPr>
            <w:tcW w:w="1580" w:type="dxa"/>
            <w:vAlign w:val="bottom"/>
            <w:tcBorders>
              <w:bottom w:val="single" w:sz="8" w:color="D8D7D7"/>
            </w:tcBorders>
          </w:tcPr>
          <w:p>
            <w:pPr>
              <w:spacing w:after="0"/>
              <w:rPr>
                <w:sz w:val="2"/>
                <w:szCs w:val="2"/>
                <w:color w:val="auto"/>
              </w:rPr>
            </w:pPr>
          </w:p>
        </w:tc>
        <w:tc>
          <w:tcPr>
            <w:tcW w:w="1240" w:type="dxa"/>
            <w:vAlign w:val="bottom"/>
            <w:tcBorders>
              <w:bottom w:val="single" w:sz="8" w:color="D8D7D7"/>
            </w:tcBorders>
          </w:tcPr>
          <w:p>
            <w:pPr>
              <w:spacing w:after="0"/>
              <w:rPr>
                <w:sz w:val="2"/>
                <w:szCs w:val="2"/>
                <w:color w:val="auto"/>
              </w:rPr>
            </w:pPr>
          </w:p>
        </w:tc>
        <w:tc>
          <w:tcPr>
            <w:tcW w:w="1080" w:type="dxa"/>
            <w:vAlign w:val="bottom"/>
            <w:tcBorders>
              <w:bottom w:val="single" w:sz="8" w:color="D8D7D7"/>
            </w:tcBorders>
          </w:tcPr>
          <w:p>
            <w:pPr>
              <w:spacing w:after="0"/>
              <w:rPr>
                <w:sz w:val="2"/>
                <w:szCs w:val="2"/>
                <w:color w:val="auto"/>
              </w:rPr>
            </w:pPr>
          </w:p>
        </w:tc>
      </w:tr>
      <w:tr>
        <w:trPr>
          <w:trHeight w:val="209"/>
        </w:trPr>
        <w:tc>
          <w:tcPr>
            <w:tcW w:w="5180" w:type="dxa"/>
            <w:vAlign w:val="bottom"/>
          </w:tcPr>
          <w:p>
            <w:pPr>
              <w:ind w:left="60"/>
              <w:spacing w:after="0"/>
              <w:rPr>
                <w:sz w:val="20"/>
                <w:szCs w:val="20"/>
                <w:color w:val="auto"/>
              </w:rPr>
            </w:pPr>
            <w:r>
              <w:rPr>
                <w:rFonts w:ascii="Arial" w:cs="Arial" w:eastAsia="Arial" w:hAnsi="Arial"/>
                <w:sz w:val="16"/>
                <w:szCs w:val="16"/>
                <w:b w:val="1"/>
                <w:bCs w:val="1"/>
                <w:color w:val="auto"/>
              </w:rPr>
              <w:t>Paul A. Jacobson</w:t>
            </w:r>
          </w:p>
        </w:tc>
        <w:tc>
          <w:tcPr>
            <w:tcW w:w="1580" w:type="dxa"/>
            <w:vAlign w:val="bottom"/>
          </w:tcPr>
          <w:p>
            <w:pPr>
              <w:jc w:val="right"/>
              <w:ind w:right="300"/>
              <w:spacing w:after="0"/>
              <w:rPr>
                <w:sz w:val="20"/>
                <w:szCs w:val="20"/>
                <w:color w:val="auto"/>
              </w:rPr>
            </w:pPr>
            <w:r>
              <w:rPr>
                <w:rFonts w:ascii="Arial" w:cs="Arial" w:eastAsia="Arial" w:hAnsi="Arial"/>
                <w:sz w:val="16"/>
                <w:szCs w:val="16"/>
                <w:color w:val="auto"/>
              </w:rPr>
              <w:t>360,293</w:t>
            </w:r>
          </w:p>
        </w:tc>
        <w:tc>
          <w:tcPr>
            <w:tcW w:w="1240" w:type="dxa"/>
            <w:vAlign w:val="bottom"/>
          </w:tcPr>
          <w:p>
            <w:pPr>
              <w:jc w:val="right"/>
              <w:ind w:right="220"/>
              <w:spacing w:after="0"/>
              <w:rPr>
                <w:sz w:val="20"/>
                <w:szCs w:val="20"/>
                <w:color w:val="auto"/>
              </w:rPr>
            </w:pPr>
            <w:r>
              <w:rPr>
                <w:rFonts w:ascii="Arial" w:cs="Arial" w:eastAsia="Arial" w:hAnsi="Arial"/>
                <w:sz w:val="16"/>
                <w:szCs w:val="16"/>
                <w:color w:val="auto"/>
              </w:rPr>
              <w:t>93,774</w:t>
            </w:r>
          </w:p>
        </w:tc>
        <w:tc>
          <w:tcPr>
            <w:tcW w:w="1080" w:type="dxa"/>
            <w:vAlign w:val="bottom"/>
          </w:tcPr>
          <w:p>
            <w:pPr>
              <w:jc w:val="right"/>
              <w:spacing w:after="0"/>
              <w:rPr>
                <w:sz w:val="20"/>
                <w:szCs w:val="20"/>
                <w:color w:val="auto"/>
              </w:rPr>
            </w:pPr>
            <w:r>
              <w:rPr>
                <w:rFonts w:ascii="Arial" w:cs="Arial" w:eastAsia="Arial" w:hAnsi="Arial"/>
                <w:sz w:val="16"/>
                <w:szCs w:val="16"/>
                <w:color w:val="auto"/>
              </w:rPr>
              <w:t>456,451</w:t>
            </w:r>
          </w:p>
        </w:tc>
      </w:tr>
      <w:tr>
        <w:trPr>
          <w:trHeight w:val="215"/>
        </w:trPr>
        <w:tc>
          <w:tcPr>
            <w:tcW w:w="5180" w:type="dxa"/>
            <w:vAlign w:val="bottom"/>
          </w:tcPr>
          <w:p>
            <w:pPr>
              <w:ind w:left="60"/>
              <w:spacing w:after="0"/>
              <w:rPr>
                <w:sz w:val="20"/>
                <w:szCs w:val="20"/>
                <w:color w:val="auto"/>
              </w:rPr>
            </w:pPr>
            <w:r>
              <w:rPr>
                <w:rFonts w:ascii="Arial" w:cs="Arial" w:eastAsia="Arial" w:hAnsi="Arial"/>
                <w:sz w:val="16"/>
                <w:szCs w:val="16"/>
                <w:color w:val="auto"/>
              </w:rPr>
              <w:t>Executive Vice President and Chief Financial Officer</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9"/>
        </w:trPr>
        <w:tc>
          <w:tcPr>
            <w:tcW w:w="5180" w:type="dxa"/>
            <w:vAlign w:val="bottom"/>
            <w:tcBorders>
              <w:bottom w:val="single" w:sz="8" w:color="D8D7D7"/>
            </w:tcBorders>
          </w:tcPr>
          <w:p>
            <w:pPr>
              <w:spacing w:after="0"/>
              <w:rPr>
                <w:sz w:val="2"/>
                <w:szCs w:val="2"/>
                <w:color w:val="auto"/>
              </w:rPr>
            </w:pPr>
          </w:p>
        </w:tc>
        <w:tc>
          <w:tcPr>
            <w:tcW w:w="1580" w:type="dxa"/>
            <w:vAlign w:val="bottom"/>
            <w:tcBorders>
              <w:bottom w:val="single" w:sz="8" w:color="D8D7D7"/>
            </w:tcBorders>
          </w:tcPr>
          <w:p>
            <w:pPr>
              <w:spacing w:after="0"/>
              <w:rPr>
                <w:sz w:val="2"/>
                <w:szCs w:val="2"/>
                <w:color w:val="auto"/>
              </w:rPr>
            </w:pPr>
          </w:p>
        </w:tc>
        <w:tc>
          <w:tcPr>
            <w:tcW w:w="1240" w:type="dxa"/>
            <w:vAlign w:val="bottom"/>
            <w:tcBorders>
              <w:bottom w:val="single" w:sz="8" w:color="D8D7D7"/>
            </w:tcBorders>
          </w:tcPr>
          <w:p>
            <w:pPr>
              <w:spacing w:after="0"/>
              <w:rPr>
                <w:sz w:val="2"/>
                <w:szCs w:val="2"/>
                <w:color w:val="auto"/>
              </w:rPr>
            </w:pPr>
          </w:p>
        </w:tc>
        <w:tc>
          <w:tcPr>
            <w:tcW w:w="1080" w:type="dxa"/>
            <w:vAlign w:val="bottom"/>
            <w:tcBorders>
              <w:bottom w:val="single" w:sz="8" w:color="D8D7D7"/>
            </w:tcBorders>
          </w:tcPr>
          <w:p>
            <w:pPr>
              <w:spacing w:after="0"/>
              <w:rPr>
                <w:sz w:val="2"/>
                <w:szCs w:val="2"/>
                <w:color w:val="auto"/>
              </w:rPr>
            </w:pPr>
          </w:p>
        </w:tc>
      </w:tr>
      <w:tr>
        <w:trPr>
          <w:trHeight w:val="209"/>
        </w:trPr>
        <w:tc>
          <w:tcPr>
            <w:tcW w:w="5180" w:type="dxa"/>
            <w:vAlign w:val="bottom"/>
          </w:tcPr>
          <w:p>
            <w:pPr>
              <w:ind w:left="60"/>
              <w:spacing w:after="0"/>
              <w:rPr>
                <w:sz w:val="20"/>
                <w:szCs w:val="20"/>
                <w:color w:val="auto"/>
              </w:rPr>
            </w:pPr>
            <w:r>
              <w:rPr>
                <w:rFonts w:ascii="Arial" w:cs="Arial" w:eastAsia="Arial" w:hAnsi="Arial"/>
                <w:sz w:val="16"/>
                <w:szCs w:val="16"/>
                <w:b w:val="1"/>
                <w:bCs w:val="1"/>
                <w:color w:val="auto"/>
              </w:rPr>
              <w:t>Mark L. Reuss</w:t>
            </w:r>
          </w:p>
        </w:tc>
        <w:tc>
          <w:tcPr>
            <w:tcW w:w="1580" w:type="dxa"/>
            <w:vAlign w:val="bottom"/>
          </w:tcPr>
          <w:p>
            <w:pPr>
              <w:jc w:val="right"/>
              <w:ind w:right="300"/>
              <w:spacing w:after="0"/>
              <w:rPr>
                <w:sz w:val="20"/>
                <w:szCs w:val="20"/>
                <w:color w:val="auto"/>
              </w:rPr>
            </w:pPr>
            <w:r>
              <w:rPr>
                <w:rFonts w:ascii="Arial" w:cs="Arial" w:eastAsia="Arial" w:hAnsi="Arial"/>
                <w:sz w:val="16"/>
                <w:szCs w:val="16"/>
                <w:color w:val="auto"/>
              </w:rPr>
              <w:t>487,695</w:t>
            </w:r>
          </w:p>
        </w:tc>
        <w:tc>
          <w:tcPr>
            <w:tcW w:w="1240" w:type="dxa"/>
            <w:vAlign w:val="bottom"/>
          </w:tcPr>
          <w:p>
            <w:pPr>
              <w:jc w:val="right"/>
              <w:ind w:right="220"/>
              <w:spacing w:after="0"/>
              <w:rPr>
                <w:sz w:val="20"/>
                <w:szCs w:val="20"/>
                <w:color w:val="auto"/>
              </w:rPr>
            </w:pPr>
            <w:r>
              <w:rPr>
                <w:rFonts w:ascii="Arial" w:cs="Arial" w:eastAsia="Arial" w:hAnsi="Arial"/>
                <w:sz w:val="16"/>
                <w:szCs w:val="16"/>
                <w:color w:val="auto"/>
              </w:rPr>
              <w:t>135,633</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695,864</w:t>
            </w:r>
          </w:p>
        </w:tc>
      </w:tr>
      <w:tr>
        <w:trPr>
          <w:trHeight w:val="215"/>
        </w:trPr>
        <w:tc>
          <w:tcPr>
            <w:tcW w:w="5180" w:type="dxa"/>
            <w:vAlign w:val="bottom"/>
          </w:tcPr>
          <w:p>
            <w:pPr>
              <w:ind w:left="60"/>
              <w:spacing w:after="0"/>
              <w:rPr>
                <w:sz w:val="20"/>
                <w:szCs w:val="20"/>
                <w:color w:val="auto"/>
              </w:rPr>
            </w:pPr>
            <w:r>
              <w:rPr>
                <w:rFonts w:ascii="Arial" w:cs="Arial" w:eastAsia="Arial" w:hAnsi="Arial"/>
                <w:sz w:val="16"/>
                <w:szCs w:val="16"/>
                <w:color w:val="auto"/>
              </w:rPr>
              <w:t>President</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9"/>
        </w:trPr>
        <w:tc>
          <w:tcPr>
            <w:tcW w:w="5180" w:type="dxa"/>
            <w:vAlign w:val="bottom"/>
            <w:tcBorders>
              <w:bottom w:val="single" w:sz="8" w:color="D8D7D7"/>
            </w:tcBorders>
          </w:tcPr>
          <w:p>
            <w:pPr>
              <w:spacing w:after="0"/>
              <w:rPr>
                <w:sz w:val="2"/>
                <w:szCs w:val="2"/>
                <w:color w:val="auto"/>
              </w:rPr>
            </w:pPr>
          </w:p>
        </w:tc>
        <w:tc>
          <w:tcPr>
            <w:tcW w:w="1580" w:type="dxa"/>
            <w:vAlign w:val="bottom"/>
            <w:tcBorders>
              <w:bottom w:val="single" w:sz="8" w:color="D8D7D7"/>
            </w:tcBorders>
          </w:tcPr>
          <w:p>
            <w:pPr>
              <w:spacing w:after="0"/>
              <w:rPr>
                <w:sz w:val="2"/>
                <w:szCs w:val="2"/>
                <w:color w:val="auto"/>
              </w:rPr>
            </w:pPr>
          </w:p>
        </w:tc>
        <w:tc>
          <w:tcPr>
            <w:tcW w:w="1240" w:type="dxa"/>
            <w:vAlign w:val="bottom"/>
            <w:tcBorders>
              <w:bottom w:val="single" w:sz="8" w:color="D8D7D7"/>
            </w:tcBorders>
          </w:tcPr>
          <w:p>
            <w:pPr>
              <w:spacing w:after="0"/>
              <w:rPr>
                <w:sz w:val="2"/>
                <w:szCs w:val="2"/>
                <w:color w:val="auto"/>
              </w:rPr>
            </w:pPr>
          </w:p>
        </w:tc>
        <w:tc>
          <w:tcPr>
            <w:tcW w:w="1080" w:type="dxa"/>
            <w:vAlign w:val="bottom"/>
            <w:tcBorders>
              <w:bottom w:val="single" w:sz="8" w:color="D8D7D7"/>
            </w:tcBorders>
          </w:tcPr>
          <w:p>
            <w:pPr>
              <w:spacing w:after="0"/>
              <w:rPr>
                <w:sz w:val="2"/>
                <w:szCs w:val="2"/>
                <w:color w:val="auto"/>
              </w:rPr>
            </w:pPr>
          </w:p>
        </w:tc>
      </w:tr>
      <w:tr>
        <w:trPr>
          <w:trHeight w:val="209"/>
        </w:trPr>
        <w:tc>
          <w:tcPr>
            <w:tcW w:w="5180" w:type="dxa"/>
            <w:vAlign w:val="bottom"/>
          </w:tcPr>
          <w:p>
            <w:pPr>
              <w:ind w:left="60"/>
              <w:spacing w:after="0"/>
              <w:rPr>
                <w:sz w:val="20"/>
                <w:szCs w:val="20"/>
                <w:color w:val="auto"/>
              </w:rPr>
            </w:pPr>
            <w:r>
              <w:rPr>
                <w:rFonts w:ascii="Arial" w:cs="Arial" w:eastAsia="Arial" w:hAnsi="Arial"/>
                <w:sz w:val="16"/>
                <w:szCs w:val="16"/>
                <w:b w:val="1"/>
                <w:bCs w:val="1"/>
                <w:color w:val="auto"/>
              </w:rPr>
              <w:t>Sterling J. Anderson</w:t>
            </w:r>
          </w:p>
        </w:tc>
        <w:tc>
          <w:tcPr>
            <w:tcW w:w="158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257,869</w:t>
            </w:r>
          </w:p>
        </w:tc>
        <w:tc>
          <w:tcPr>
            <w:tcW w:w="1080" w:type="dxa"/>
            <w:vAlign w:val="bottom"/>
          </w:tcPr>
          <w:p>
            <w:pPr>
              <w:jc w:val="right"/>
              <w:spacing w:after="0"/>
              <w:rPr>
                <w:sz w:val="20"/>
                <w:szCs w:val="20"/>
                <w:color w:val="auto"/>
              </w:rPr>
            </w:pPr>
            <w:r>
              <w:rPr>
                <w:rFonts w:ascii="Arial" w:cs="Arial" w:eastAsia="Arial" w:hAnsi="Arial"/>
                <w:sz w:val="16"/>
                <w:szCs w:val="16"/>
                <w:color w:val="auto"/>
              </w:rPr>
              <w:t>408,991</w:t>
            </w:r>
          </w:p>
        </w:tc>
      </w:tr>
      <w:tr>
        <w:trPr>
          <w:trHeight w:val="215"/>
        </w:trPr>
        <w:tc>
          <w:tcPr>
            <w:tcW w:w="5180" w:type="dxa"/>
            <w:vAlign w:val="bottom"/>
          </w:tcPr>
          <w:p>
            <w:pPr>
              <w:ind w:left="60"/>
              <w:spacing w:after="0"/>
              <w:rPr>
                <w:sz w:val="20"/>
                <w:szCs w:val="20"/>
                <w:color w:val="auto"/>
              </w:rPr>
            </w:pPr>
            <w:r>
              <w:rPr>
                <w:rFonts w:ascii="Arial" w:cs="Arial" w:eastAsia="Arial" w:hAnsi="Arial"/>
                <w:sz w:val="16"/>
                <w:szCs w:val="16"/>
                <w:color w:val="auto"/>
              </w:rPr>
              <w:t>Executive Vice President, Global Product and Chief Product Officer</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9"/>
        </w:trPr>
        <w:tc>
          <w:tcPr>
            <w:tcW w:w="5180" w:type="dxa"/>
            <w:vAlign w:val="bottom"/>
            <w:tcBorders>
              <w:bottom w:val="single" w:sz="8" w:color="D8D7D7"/>
            </w:tcBorders>
          </w:tcPr>
          <w:p>
            <w:pPr>
              <w:spacing w:after="0"/>
              <w:rPr>
                <w:sz w:val="2"/>
                <w:szCs w:val="2"/>
                <w:color w:val="auto"/>
              </w:rPr>
            </w:pPr>
          </w:p>
        </w:tc>
        <w:tc>
          <w:tcPr>
            <w:tcW w:w="1580" w:type="dxa"/>
            <w:vAlign w:val="bottom"/>
            <w:tcBorders>
              <w:bottom w:val="single" w:sz="8" w:color="D8D7D7"/>
            </w:tcBorders>
          </w:tcPr>
          <w:p>
            <w:pPr>
              <w:spacing w:after="0"/>
              <w:rPr>
                <w:sz w:val="2"/>
                <w:szCs w:val="2"/>
                <w:color w:val="auto"/>
              </w:rPr>
            </w:pPr>
          </w:p>
        </w:tc>
        <w:tc>
          <w:tcPr>
            <w:tcW w:w="1240" w:type="dxa"/>
            <w:vAlign w:val="bottom"/>
            <w:tcBorders>
              <w:bottom w:val="single" w:sz="8" w:color="D8D7D7"/>
            </w:tcBorders>
          </w:tcPr>
          <w:p>
            <w:pPr>
              <w:spacing w:after="0"/>
              <w:rPr>
                <w:sz w:val="2"/>
                <w:szCs w:val="2"/>
                <w:color w:val="auto"/>
              </w:rPr>
            </w:pPr>
          </w:p>
        </w:tc>
        <w:tc>
          <w:tcPr>
            <w:tcW w:w="1080" w:type="dxa"/>
            <w:vAlign w:val="bottom"/>
            <w:tcBorders>
              <w:bottom w:val="single" w:sz="8" w:color="D8D7D7"/>
            </w:tcBorders>
          </w:tcPr>
          <w:p>
            <w:pPr>
              <w:spacing w:after="0"/>
              <w:rPr>
                <w:sz w:val="2"/>
                <w:szCs w:val="2"/>
                <w:color w:val="auto"/>
              </w:rPr>
            </w:pPr>
          </w:p>
        </w:tc>
      </w:tr>
      <w:tr>
        <w:trPr>
          <w:trHeight w:val="209"/>
        </w:trPr>
        <w:tc>
          <w:tcPr>
            <w:tcW w:w="5180" w:type="dxa"/>
            <w:vAlign w:val="bottom"/>
          </w:tcPr>
          <w:p>
            <w:pPr>
              <w:ind w:left="60"/>
              <w:spacing w:after="0"/>
              <w:rPr>
                <w:sz w:val="20"/>
                <w:szCs w:val="20"/>
                <w:color w:val="auto"/>
              </w:rPr>
            </w:pPr>
            <w:r>
              <w:rPr>
                <w:rFonts w:ascii="Arial" w:cs="Arial" w:eastAsia="Arial" w:hAnsi="Arial"/>
                <w:sz w:val="16"/>
                <w:szCs w:val="16"/>
                <w:b w:val="1"/>
                <w:bCs w:val="1"/>
                <w:color w:val="auto"/>
              </w:rPr>
              <w:t>Rory V. Harvey</w:t>
            </w:r>
          </w:p>
        </w:tc>
        <w:tc>
          <w:tcPr>
            <w:tcW w:w="1580" w:type="dxa"/>
            <w:vAlign w:val="bottom"/>
          </w:tcPr>
          <w:p>
            <w:pPr>
              <w:jc w:val="right"/>
              <w:ind w:right="280"/>
              <w:spacing w:after="0"/>
              <w:rPr>
                <w:sz w:val="20"/>
                <w:szCs w:val="20"/>
                <w:color w:val="auto"/>
              </w:rPr>
            </w:pPr>
            <w:r>
              <w:rPr>
                <w:rFonts w:ascii="Arial" w:cs="Arial" w:eastAsia="Arial" w:hAnsi="Arial"/>
                <w:sz w:val="16"/>
                <w:szCs w:val="16"/>
                <w:color w:val="auto"/>
              </w:rPr>
              <w:t>5,652</w:t>
            </w:r>
          </w:p>
        </w:tc>
        <w:tc>
          <w:tcPr>
            <w:tcW w:w="1240" w:type="dxa"/>
            <w:vAlign w:val="bottom"/>
          </w:tcPr>
          <w:p>
            <w:pPr>
              <w:jc w:val="right"/>
              <w:ind w:right="240"/>
              <w:spacing w:after="0"/>
              <w:rPr>
                <w:sz w:val="20"/>
                <w:szCs w:val="20"/>
                <w:color w:val="auto"/>
              </w:rPr>
            </w:pPr>
            <w:r>
              <w:rPr>
                <w:rFonts w:ascii="Arial" w:cs="Arial" w:eastAsia="Arial" w:hAnsi="Arial"/>
                <w:sz w:val="16"/>
                <w:szCs w:val="16"/>
                <w:color w:val="auto"/>
              </w:rPr>
              <w:t>67,542</w:t>
            </w:r>
          </w:p>
        </w:tc>
        <w:tc>
          <w:tcPr>
            <w:tcW w:w="1080" w:type="dxa"/>
            <w:vAlign w:val="bottom"/>
          </w:tcPr>
          <w:p>
            <w:pPr>
              <w:jc w:val="right"/>
              <w:spacing w:after="0"/>
              <w:rPr>
                <w:sz w:val="20"/>
                <w:szCs w:val="20"/>
                <w:color w:val="auto"/>
              </w:rPr>
            </w:pPr>
            <w:r>
              <w:rPr>
                <w:rFonts w:ascii="Arial" w:cs="Arial" w:eastAsia="Arial" w:hAnsi="Arial"/>
                <w:sz w:val="16"/>
                <w:szCs w:val="16"/>
                <w:color w:val="auto"/>
              </w:rPr>
              <w:t>341,219</w:t>
            </w:r>
          </w:p>
        </w:tc>
      </w:tr>
      <w:tr>
        <w:trPr>
          <w:trHeight w:val="215"/>
        </w:trPr>
        <w:tc>
          <w:tcPr>
            <w:tcW w:w="5180" w:type="dxa"/>
            <w:vAlign w:val="bottom"/>
          </w:tcPr>
          <w:p>
            <w:pPr>
              <w:ind w:left="60"/>
              <w:spacing w:after="0"/>
              <w:rPr>
                <w:sz w:val="20"/>
                <w:szCs w:val="20"/>
                <w:color w:val="auto"/>
              </w:rPr>
            </w:pPr>
            <w:r>
              <w:rPr>
                <w:rFonts w:ascii="Arial" w:cs="Arial" w:eastAsia="Arial" w:hAnsi="Arial"/>
                <w:sz w:val="16"/>
                <w:szCs w:val="16"/>
                <w:color w:val="auto"/>
              </w:rPr>
              <w:t>Executive Vice President and President, Global Markets</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9"/>
        </w:trPr>
        <w:tc>
          <w:tcPr>
            <w:tcW w:w="5180" w:type="dxa"/>
            <w:vAlign w:val="bottom"/>
            <w:tcBorders>
              <w:bottom w:val="single" w:sz="8" w:color="D8D7D7"/>
            </w:tcBorders>
          </w:tcPr>
          <w:p>
            <w:pPr>
              <w:spacing w:after="0"/>
              <w:rPr>
                <w:sz w:val="2"/>
                <w:szCs w:val="2"/>
                <w:color w:val="auto"/>
              </w:rPr>
            </w:pPr>
          </w:p>
        </w:tc>
        <w:tc>
          <w:tcPr>
            <w:tcW w:w="1580" w:type="dxa"/>
            <w:vAlign w:val="bottom"/>
            <w:tcBorders>
              <w:bottom w:val="single" w:sz="8" w:color="D8D7D7"/>
            </w:tcBorders>
          </w:tcPr>
          <w:p>
            <w:pPr>
              <w:spacing w:after="0"/>
              <w:rPr>
                <w:sz w:val="2"/>
                <w:szCs w:val="2"/>
                <w:color w:val="auto"/>
              </w:rPr>
            </w:pPr>
          </w:p>
        </w:tc>
        <w:tc>
          <w:tcPr>
            <w:tcW w:w="1240" w:type="dxa"/>
            <w:vAlign w:val="bottom"/>
            <w:tcBorders>
              <w:bottom w:val="single" w:sz="8" w:color="D8D7D7"/>
            </w:tcBorders>
          </w:tcPr>
          <w:p>
            <w:pPr>
              <w:spacing w:after="0"/>
              <w:rPr>
                <w:sz w:val="2"/>
                <w:szCs w:val="2"/>
                <w:color w:val="auto"/>
              </w:rPr>
            </w:pPr>
          </w:p>
        </w:tc>
        <w:tc>
          <w:tcPr>
            <w:tcW w:w="1080" w:type="dxa"/>
            <w:vAlign w:val="bottom"/>
            <w:tcBorders>
              <w:bottom w:val="single" w:sz="8" w:color="D8D7D7"/>
            </w:tcBorders>
          </w:tcPr>
          <w:p>
            <w:pPr>
              <w:spacing w:after="0"/>
              <w:rPr>
                <w:sz w:val="2"/>
                <w:szCs w:val="2"/>
                <w:color w:val="auto"/>
              </w:rPr>
            </w:pPr>
          </w:p>
        </w:tc>
      </w:tr>
      <w:tr>
        <w:trPr>
          <w:trHeight w:val="246"/>
        </w:trPr>
        <w:tc>
          <w:tcPr>
            <w:tcW w:w="518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All current executive officers as a group</w:t>
            </w:r>
            <w:r>
              <w:rPr>
                <w:rFonts w:ascii="Arial" w:cs="Arial" w:eastAsia="Arial" w:hAnsi="Arial"/>
                <w:sz w:val="16"/>
                <w:szCs w:val="16"/>
                <w:color w:val="auto"/>
              </w:rPr>
              <w:t>(7 persons)</w:t>
            </w:r>
          </w:p>
        </w:tc>
        <w:tc>
          <w:tcPr>
            <w:tcW w:w="1580" w:type="dxa"/>
            <w:vAlign w:val="bottom"/>
            <w:tcBorders>
              <w:bottom w:val="single" w:sz="8" w:color="D8D7D7"/>
            </w:tcBorders>
          </w:tcPr>
          <w:p>
            <w:pPr>
              <w:ind w:left="540"/>
              <w:spacing w:after="0"/>
              <w:rPr>
                <w:sz w:val="20"/>
                <w:szCs w:val="20"/>
                <w:color w:val="auto"/>
              </w:rPr>
            </w:pPr>
            <w:r>
              <w:rPr>
                <w:rFonts w:ascii="Arial" w:cs="Arial" w:eastAsia="Arial" w:hAnsi="Arial"/>
                <w:sz w:val="16"/>
                <w:szCs w:val="16"/>
                <w:color w:val="auto"/>
              </w:rPr>
              <w:t>1,700,810</w:t>
            </w:r>
          </w:p>
        </w:tc>
        <w:tc>
          <w:tcPr>
            <w:tcW w:w="1240" w:type="dxa"/>
            <w:vAlign w:val="bottom"/>
            <w:tcBorders>
              <w:bottom w:val="single" w:sz="8" w:color="D8D7D7"/>
            </w:tcBorders>
          </w:tcPr>
          <w:p>
            <w:pPr>
              <w:jc w:val="right"/>
              <w:ind w:right="200"/>
              <w:spacing w:after="0"/>
              <w:rPr>
                <w:sz w:val="20"/>
                <w:szCs w:val="20"/>
                <w:color w:val="auto"/>
              </w:rPr>
            </w:pPr>
            <w:r>
              <w:rPr>
                <w:rFonts w:ascii="Arial" w:cs="Arial" w:eastAsia="Arial" w:hAnsi="Arial"/>
                <w:sz w:val="16"/>
                <w:szCs w:val="16"/>
                <w:color w:val="auto"/>
              </w:rPr>
              <w:t>867,491</w:t>
            </w:r>
          </w:p>
        </w:tc>
        <w:tc>
          <w:tcPr>
            <w:tcW w:w="108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3,029,482</w:t>
            </w:r>
          </w:p>
        </w:tc>
      </w:tr>
      <w:tr>
        <w:trPr>
          <w:trHeight w:val="250"/>
        </w:trPr>
        <w:tc>
          <w:tcPr>
            <w:tcW w:w="518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All non-executive directors as a group</w:t>
            </w:r>
            <w:r>
              <w:rPr>
                <w:rFonts w:ascii="Arial" w:cs="Arial" w:eastAsia="Arial" w:hAnsi="Arial"/>
                <w:sz w:val="16"/>
                <w:szCs w:val="16"/>
                <w:color w:val="auto"/>
              </w:rPr>
              <w:t>(10 persons)</w:t>
            </w:r>
          </w:p>
        </w:tc>
        <w:tc>
          <w:tcPr>
            <w:tcW w:w="1580" w:type="dxa"/>
            <w:vAlign w:val="bottom"/>
            <w:tcBorders>
              <w:bottom w:val="single" w:sz="8" w:color="D8D7D7"/>
            </w:tcBorders>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D8D7D7"/>
            </w:tcBorders>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ind w:left="60"/>
              <w:spacing w:after="0"/>
              <w:rPr>
                <w:sz w:val="20"/>
                <w:szCs w:val="20"/>
                <w:color w:val="auto"/>
              </w:rPr>
            </w:pPr>
            <w:r>
              <w:rPr>
                <w:rFonts w:ascii="Arial" w:cs="Arial" w:eastAsia="Arial" w:hAnsi="Arial"/>
                <w:sz w:val="16"/>
                <w:szCs w:val="16"/>
                <w:b w:val="1"/>
                <w:bCs w:val="1"/>
                <w:color w:val="auto"/>
              </w:rPr>
              <w:t>All employees (other than executive officers) as a group</w:t>
            </w:r>
          </w:p>
        </w:tc>
        <w:tc>
          <w:tcPr>
            <w:tcW w:w="1580" w:type="dxa"/>
            <w:vAlign w:val="bottom"/>
          </w:tcPr>
          <w:p>
            <w:pPr>
              <w:ind w:left="520"/>
              <w:spacing w:after="0"/>
              <w:rPr>
                <w:sz w:val="20"/>
                <w:szCs w:val="20"/>
                <w:color w:val="auto"/>
              </w:rPr>
            </w:pPr>
            <w:r>
              <w:rPr>
                <w:rFonts w:ascii="Arial" w:cs="Arial" w:eastAsia="Arial" w:hAnsi="Arial"/>
                <w:sz w:val="16"/>
                <w:szCs w:val="16"/>
                <w:color w:val="auto"/>
              </w:rPr>
              <w:t>2,425,011</w:t>
            </w:r>
          </w:p>
        </w:tc>
        <w:tc>
          <w:tcPr>
            <w:tcW w:w="1240" w:type="dxa"/>
            <w:vAlign w:val="bottom"/>
          </w:tcPr>
          <w:p>
            <w:pPr>
              <w:jc w:val="right"/>
              <w:ind w:right="180"/>
              <w:spacing w:after="0"/>
              <w:rPr>
                <w:sz w:val="20"/>
                <w:szCs w:val="20"/>
                <w:color w:val="auto"/>
              </w:rPr>
            </w:pPr>
            <w:r>
              <w:rPr>
                <w:rFonts w:ascii="Arial" w:cs="Arial" w:eastAsia="Arial" w:hAnsi="Arial"/>
                <w:sz w:val="16"/>
                <w:szCs w:val="16"/>
                <w:color w:val="auto"/>
              </w:rPr>
              <w:t>6,018,175</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9,270,046</w:t>
            </w:r>
          </w:p>
        </w:tc>
      </w:tr>
      <w:tr>
        <w:trPr>
          <w:trHeight w:val="215"/>
        </w:trPr>
        <w:tc>
          <w:tcPr>
            <w:tcW w:w="5180" w:type="dxa"/>
            <w:vAlign w:val="bottom"/>
          </w:tcPr>
          <w:p>
            <w:pPr>
              <w:ind w:left="60"/>
              <w:spacing w:after="0"/>
              <w:rPr>
                <w:sz w:val="20"/>
                <w:szCs w:val="20"/>
                <w:color w:val="auto"/>
              </w:rPr>
            </w:pPr>
            <w:r>
              <w:rPr>
                <w:rFonts w:ascii="Arial" w:cs="Arial" w:eastAsia="Arial" w:hAnsi="Arial"/>
                <w:sz w:val="16"/>
                <w:szCs w:val="16"/>
                <w:color w:val="auto"/>
              </w:rPr>
              <w:t>(155,000 persons)</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9"/>
        </w:trPr>
        <w:tc>
          <w:tcPr>
            <w:tcW w:w="5180" w:type="dxa"/>
            <w:vAlign w:val="bottom"/>
            <w:tcBorders>
              <w:bottom w:val="single" w:sz="8" w:color="0956FF"/>
            </w:tcBorders>
          </w:tcPr>
          <w:p>
            <w:pPr>
              <w:spacing w:after="0"/>
              <w:rPr>
                <w:sz w:val="2"/>
                <w:szCs w:val="2"/>
                <w:color w:val="auto"/>
              </w:rPr>
            </w:pPr>
          </w:p>
        </w:tc>
        <w:tc>
          <w:tcPr>
            <w:tcW w:w="1580" w:type="dxa"/>
            <w:vAlign w:val="bottom"/>
            <w:tcBorders>
              <w:bottom w:val="single" w:sz="8" w:color="0956FF"/>
            </w:tcBorders>
          </w:tcPr>
          <w:p>
            <w:pPr>
              <w:spacing w:after="0"/>
              <w:rPr>
                <w:sz w:val="2"/>
                <w:szCs w:val="2"/>
                <w:color w:val="auto"/>
              </w:rPr>
            </w:pPr>
          </w:p>
        </w:tc>
        <w:tc>
          <w:tcPr>
            <w:tcW w:w="1240" w:type="dxa"/>
            <w:vAlign w:val="bottom"/>
            <w:tcBorders>
              <w:bottom w:val="single" w:sz="8" w:color="0956FF"/>
            </w:tcBorders>
          </w:tcPr>
          <w:p>
            <w:pPr>
              <w:spacing w:after="0"/>
              <w:rPr>
                <w:sz w:val="2"/>
                <w:szCs w:val="2"/>
                <w:color w:val="auto"/>
              </w:rPr>
            </w:pPr>
          </w:p>
        </w:tc>
        <w:tc>
          <w:tcPr>
            <w:tcW w:w="1080" w:type="dxa"/>
            <w:vAlign w:val="bottom"/>
            <w:tcBorders>
              <w:bottom w:val="single" w:sz="8" w:color="0956FF"/>
            </w:tcBorders>
          </w:tcPr>
          <w:p>
            <w:pPr>
              <w:spacing w:after="0"/>
              <w:rPr>
                <w:sz w:val="2"/>
                <w:szCs w:val="2"/>
                <w:color w:val="auto"/>
              </w:rPr>
            </w:pPr>
          </w:p>
        </w:tc>
      </w:tr>
    </w:tbl>
    <w:p>
      <w:pPr>
        <w:spacing w:after="0" w:line="57" w:lineRule="exact"/>
        <w:rPr>
          <w:sz w:val="20"/>
          <w:szCs w:val="20"/>
          <w:color w:val="auto"/>
        </w:rPr>
      </w:pPr>
    </w:p>
    <w:p>
      <w:pPr>
        <w:ind w:left="200" w:hanging="192"/>
        <w:spacing w:after="0"/>
        <w:tabs>
          <w:tab w:leader="none" w:pos="200" w:val="left"/>
        </w:tabs>
        <w:numPr>
          <w:ilvl w:val="0"/>
          <w:numId w:val="110"/>
        </w:numPr>
        <w:rPr>
          <w:rFonts w:ascii="Arial" w:cs="Arial" w:eastAsia="Arial" w:hAnsi="Arial"/>
          <w:sz w:val="19"/>
          <w:szCs w:val="19"/>
          <w:color w:val="auto"/>
          <w:vertAlign w:val="superscript"/>
        </w:rPr>
      </w:pPr>
      <w:r>
        <w:rPr>
          <w:rFonts w:ascii="Arial" w:cs="Arial" w:eastAsia="Arial" w:hAnsi="Arial"/>
          <w:sz w:val="14"/>
          <w:szCs w:val="14"/>
          <w:color w:val="auto"/>
        </w:rPr>
        <w:t>Represents the target number of shares that could be issued underlying the PSUs.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956FF"/>
        </w:rPr>
        <w:t>U.S. Federal Income Tax Consequences for Awards</w:t>
      </w:r>
    </w:p>
    <w:p>
      <w:pPr>
        <w:spacing w:after="0" w:line="9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Disclosure rules require us to include a brief summary of the U.S. federal income tax consequences applicable to awards that may be granted under the 2020 LTIP. This summary is not intended to be exhaustive, does not constitute tax advice and, among other things, does not describe state, local or foreign tax consequences, which may be substantially different.</w:t>
      </w:r>
    </w:p>
    <w:p>
      <w:pPr>
        <w:spacing w:after="0" w:line="10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auto"/>
        </w:rPr>
        <w:t xml:space="preserve">Non-Qualified Stock Options </w:t>
      </w:r>
      <w:r>
        <w:rPr>
          <w:rFonts w:ascii="Arial" w:cs="Arial" w:eastAsia="Arial" w:hAnsi="Arial"/>
          <w:sz w:val="16"/>
          <w:szCs w:val="16"/>
          <w:color w:val="auto"/>
        </w:rPr>
        <w:t>— When a participant exercises a non-qualified stock option, the difference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underlying stock’s fair market value on the date of exercise and the exercise price of the stock option is taxed as ordinary income to the participant in that year. The Company can generally deduct this amount for federal income tax purposes that same year. If the participant later sells the shares acquired by the exercise of the stock option for more than their fair market value on the exercise date, the gain is treated as a capital gain (long-term or short-term depending on how long the shares were held). Conversely, if the sale price of the shares is less than their fair market value on the exercise date, the loss is treated as a capital loss (long-term or short-term depending on how long the shares were held).</w:t>
      </w:r>
    </w:p>
    <w:p>
      <w:pPr>
        <w:spacing w:after="0" w:line="10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 xml:space="preserve">Incentive Stock Options </w:t>
      </w:r>
      <w:r>
        <w:rPr>
          <w:rFonts w:ascii="Arial" w:cs="Arial" w:eastAsia="Arial" w:hAnsi="Arial"/>
          <w:sz w:val="16"/>
          <w:szCs w:val="16"/>
          <w:color w:val="auto"/>
        </w:rPr>
        <w:t>— When a participant exercises an incentive stock option while employed by the Company or a</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or within the three-month (one year for disability) period after termination of service, income generally is not recognized by the participant except for alternative minimum tax purposes. If the shares acquired upon exercise are held for more than two years after the stock option was granted and one year after the date of exercise (a “qualifying disposition”), gains are treated as long-term capital gains to the participant and the Company is generally not entitled to a deduction for federal income tax purposes. If the shares are sold before these dates (a “disqualifying disposition”), gains are treated as ordinary income to the participant and the Company can generally deduct this amount for federal income tax purposes. If an incentive stock option is exercised more than three months (one year for disability) after termination of service, the tax consequences are the same as described above for non-qualified stock options.</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88</w:t>
      </w:r>
    </w:p>
    <w:p>
      <w:pPr>
        <w:sectPr>
          <w:pgSz w:w="11900" w:h="16838" w:orient="portrait"/>
          <w:cols w:equalWidth="0" w:num="1">
            <w:col w:w="9080"/>
          </w:cols>
          <w:pgMar w:left="1400" w:top="657" w:right="1419" w:bottom="1440" w:gutter="0" w:footer="0" w:header="0"/>
          <w:type w:val="continuous"/>
        </w:sectPr>
      </w:pPr>
    </w:p>
    <w:bookmarkStart w:id="95" w:name="page96"/>
    <w:bookmarkEnd w:id="95"/>
    <w:p>
      <w:pPr>
        <w:ind w:left="4300"/>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5  </w:t>
      </w:r>
      <w:r>
        <w:rPr>
          <w:rFonts w:ascii="Arial" w:cs="Arial" w:eastAsia="Arial" w:hAnsi="Arial"/>
          <w:sz w:val="14"/>
          <w:szCs w:val="14"/>
          <w:b w:val="1"/>
          <w:bCs w:val="1"/>
          <w:color w:val="000000"/>
        </w:rPr>
        <w:t>Proposal to Approve Amendment No. 2 to the Company</w:t>
      </w:r>
      <w:r>
        <w:rPr>
          <w:rFonts w:ascii="Arial" w:cs="Arial" w:eastAsia="Arial" w:hAnsi="Arial"/>
          <w:sz w:val="14"/>
          <w:szCs w:val="14"/>
          <w:color w:val="000000"/>
        </w:rPr>
        <w:t>’</w:t>
      </w:r>
      <w:r>
        <w:rPr>
          <w:rFonts w:ascii="Arial" w:cs="Arial" w:eastAsia="Arial" w:hAnsi="Arial"/>
          <w:sz w:val="14"/>
          <w:szCs w:val="14"/>
          <w:b w:val="1"/>
          <w:bCs w:val="1"/>
          <w:color w:val="000000"/>
        </w:rPr>
        <w:t>s 2020</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Long-Term Incentive Plan to Increase the Number of Shares Available for Issuance Thereunder</w:t>
      </w:r>
    </w:p>
    <w:p>
      <w:pPr>
        <w:spacing w:after="0" w:line="387"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 Typically, a participant is not taxed when restricted stock is granted, but rather recognizes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income based on the stock’s fair market value at the time of vesting, and the Company can generally deduct this amount for federal income tax purposes. Under Section 83(b) of the IRC, however, a participant may elect to be taxed when the restricted stock is awarded and recognizes ordinary income based on the stock’s fair market value at time of grant even though the restricted stock is unvested. If such an election is timely made, no additional taxable income is recognized by the participant when the restricted stock vests. The Company generally is entitled to a deduction for federal income tax purposes at the time when, and to the extent that, ordinary income is recognized by the participant.</w:t>
      </w:r>
    </w:p>
    <w:p>
      <w:pPr>
        <w:spacing w:after="0" w:line="102"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b w:val="1"/>
          <w:bCs w:val="1"/>
          <w:color w:val="auto"/>
        </w:rPr>
        <w:t>RSUs —</w:t>
      </w:r>
      <w:r>
        <w:rPr>
          <w:rFonts w:ascii="Arial" w:cs="Arial" w:eastAsia="Arial" w:hAnsi="Arial"/>
          <w:sz w:val="16"/>
          <w:szCs w:val="16"/>
          <w:color w:val="auto"/>
        </w:rPr>
        <w:t>A participant generally is not taxed upon the grant of RSUs (including PSUs), but rather recognizes ordinary income</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the fair market value of the shares received at the time of settlement or the cash payment received if the award is settled in cash. The Company generally is entitled to a deduction for federal income tax purposes at the same time and for the same amount.</w:t>
      </w:r>
    </w:p>
    <w:p>
      <w:pPr>
        <w:spacing w:after="0" w:line="108" w:lineRule="exact"/>
        <w:rPr>
          <w:sz w:val="20"/>
          <w:szCs w:val="20"/>
          <w:color w:val="auto"/>
        </w:rPr>
      </w:pPr>
    </w:p>
    <w:p>
      <w:pPr>
        <w:jc w:val="both"/>
        <w:ind w:right="260"/>
        <w:spacing w:after="0" w:line="295" w:lineRule="auto"/>
        <w:rPr>
          <w:sz w:val="20"/>
          <w:szCs w:val="20"/>
          <w:color w:val="auto"/>
        </w:rPr>
      </w:pPr>
      <w:r>
        <w:rPr>
          <w:rFonts w:ascii="Arial" w:cs="Arial" w:eastAsia="Arial" w:hAnsi="Arial"/>
          <w:sz w:val="16"/>
          <w:szCs w:val="16"/>
          <w:b w:val="1"/>
          <w:bCs w:val="1"/>
          <w:color w:val="auto"/>
        </w:rPr>
        <w:t xml:space="preserve">Other Awards </w:t>
      </w:r>
      <w:r>
        <w:rPr>
          <w:rFonts w:ascii="Arial" w:cs="Arial" w:eastAsia="Arial" w:hAnsi="Arial"/>
          <w:sz w:val="16"/>
          <w:szCs w:val="16"/>
          <w:color w:val="auto"/>
        </w:rPr>
        <w:t>— With respect to other awards granted under the 2020 LTIP, including other stock-based awards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awards, a participant generally recognizes ordinary income based on the fair market value of any shares received at time of settlement or the cash payment received. The Company generally is entitled to a deduction for federal income tax purposes at the same time and for the same amount.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Under Section 162(m) of the IRC, the federal income tax deduction of compensation paid to certain individuals is limited to</w:t>
      </w:r>
    </w:p>
    <w:p>
      <w:pPr>
        <w:spacing w:after="0" w:line="32" w:lineRule="exact"/>
        <w:rPr>
          <w:sz w:val="20"/>
          <w:szCs w:val="20"/>
          <w:color w:val="auto"/>
        </w:rPr>
      </w:pPr>
    </w:p>
    <w:p>
      <w:pPr>
        <w:jc w:val="both"/>
        <w:ind w:right="360"/>
        <w:spacing w:after="0" w:line="329" w:lineRule="auto"/>
        <w:rPr>
          <w:sz w:val="20"/>
          <w:szCs w:val="20"/>
          <w:color w:val="auto"/>
        </w:rPr>
      </w:pPr>
      <w:r>
        <w:rPr>
          <w:rFonts w:ascii="Arial" w:cs="Arial" w:eastAsia="Arial" w:hAnsi="Arial"/>
          <w:sz w:val="15"/>
          <w:szCs w:val="15"/>
          <w:color w:val="auto"/>
        </w:rPr>
        <w:t>$1,000,000 per person per year. This applies to the CEO, CFO, and typically the next three most highly compensated named executive officers but may also include certain other individuals subject to Section 162(m) at the Company. For tax years that begin after December 31, 2026, this limitation is expanded to also include the next five highest compensated employees.</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89</w:t>
      </w:r>
    </w:p>
    <w:p>
      <w:pPr>
        <w:sectPr>
          <w:pgSz w:w="11900" w:h="16838" w:orient="portrait"/>
          <w:cols w:equalWidth="0" w:num="1">
            <w:col w:w="9100"/>
          </w:cols>
          <w:pgMar w:left="1400" w:top="657" w:right="1399" w:bottom="1440" w:gutter="0" w:footer="0" w:header="0"/>
          <w:type w:val="continuous"/>
        </w:sectPr>
      </w:pPr>
    </w:p>
    <w:bookmarkStart w:id="96" w:name="page97"/>
    <w:bookmarkEnd w:id="96"/>
    <w:p>
      <w:pPr>
        <w:ind w:right="1620"/>
        <w:spacing w:after="0" w:line="281" w:lineRule="auto"/>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Stewardship Engagement Process and Oversight</w:t>
      </w:r>
    </w:p>
    <w:p>
      <w:pPr>
        <w:spacing w:after="0" w:line="200" w:lineRule="exact"/>
        <w:rPr>
          <w:sz w:val="20"/>
          <w:szCs w:val="20"/>
          <w:color w:val="auto"/>
        </w:rPr>
      </w:pPr>
    </w:p>
    <w:p>
      <w:pPr>
        <w:spacing w:after="0" w:line="23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Members of the Board and senior management routinely engage with shareholders and stakeholders representing a variety of different perspectives. Since the 2025 Annual Meeting of Shareholders, members of the Board and senior management engaged with shareholders representing approximately 50 percent of GM’s outstanding shares of common stock.</w:t>
      </w:r>
    </w:p>
    <w:p>
      <w:pPr>
        <w:spacing w:after="0" w:line="9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In addition to those sessions, we participate in a number of activities throughout the year that provide the opportunity to communicate our strategy to shareholders and listen to a diverse set of opinions. A sample of such recent activity has included: (i) presentation by one of our largest shareholders at a Board meeting; (ii) participation by the Chair of our Compensation Committee in a shareholder-led forum to exchange ideas and discuss emerging governance and compensation trends; (iii) participation in a podcast by our CEO with one of our largest shareholders; and (iv) various shareholder and industry conferences.</w:t>
      </w:r>
    </w:p>
    <w:p>
      <w:pPr>
        <w:spacing w:after="0" w:line="10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feedback received from these sessions is communicated to the Governance Committee and Compensation Committee throughout the year, and the constructive insights, experiences, and ideas exchanged during these sessions help our Board evaluate and assess feedback on a variety of topics, including strategic and financial performance, operations, products, executive compensation, Board composition and leadership structure, as well as on important stewardship issues, including those related to the Company’s sustainability performance.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a summary of common themes we have heard that led to boardroom discussion and action:</w:t>
      </w:r>
    </w:p>
    <w:p>
      <w:pPr>
        <w:spacing w:after="0" w:line="253" w:lineRule="exact"/>
        <w:rPr>
          <w:sz w:val="20"/>
          <w:szCs w:val="20"/>
          <w:color w:val="auto"/>
        </w:rPr>
      </w:pPr>
    </w:p>
    <w:p>
      <w:pPr>
        <w:ind w:left="60"/>
        <w:spacing w:after="0"/>
        <w:tabs>
          <w:tab w:leader="none" w:pos="3840" w:val="left"/>
        </w:tabs>
        <w:rPr>
          <w:sz w:val="20"/>
          <w:szCs w:val="20"/>
          <w:color w:val="auto"/>
        </w:rPr>
      </w:pPr>
      <w:r>
        <w:rPr>
          <w:rFonts w:ascii="Arial" w:cs="Arial" w:eastAsia="Arial" w:hAnsi="Arial"/>
          <w:sz w:val="14"/>
          <w:szCs w:val="14"/>
          <w:b w:val="1"/>
          <w:bCs w:val="1"/>
          <w:color w:val="auto"/>
        </w:rPr>
        <w:t>Message</w:t>
      </w:r>
      <w:r>
        <w:rPr>
          <w:sz w:val="20"/>
          <w:szCs w:val="20"/>
          <w:color w:val="auto"/>
        </w:rPr>
        <w:tab/>
      </w:r>
      <w:r>
        <w:rPr>
          <w:rFonts w:ascii="Arial" w:cs="Arial" w:eastAsia="Arial" w:hAnsi="Arial"/>
          <w:sz w:val="14"/>
          <w:szCs w:val="14"/>
          <w:b w:val="1"/>
          <w:bCs w:val="1"/>
          <w:color w:val="auto"/>
        </w:rPr>
        <w:t>Action</w:t>
      </w:r>
    </w:p>
    <w:p>
      <w:pPr>
        <w:sectPr>
          <w:pgSz w:w="11900" w:h="16838" w:orient="portrait"/>
          <w:cols w:equalWidth="0" w:num="1">
            <w:col w:w="9080"/>
          </w:cols>
          <w:pgMar w:left="1400" w:top="1339" w:right="1419" w:bottom="1440" w:gutter="0" w:footer="0" w:header="0"/>
        </w:sectPr>
      </w:pPr>
    </w:p>
    <w:p>
      <w:pPr>
        <w:spacing w:after="0" w:line="118" w:lineRule="exact"/>
        <w:rPr>
          <w:sz w:val="20"/>
          <w:szCs w:val="20"/>
          <w:color w:val="auto"/>
        </w:rPr>
      </w:pPr>
    </w:p>
    <w:p>
      <w:pPr>
        <w:jc w:val="both"/>
        <w:ind w:left="60"/>
        <w:spacing w:after="0" w:line="301" w:lineRule="auto"/>
        <w:rPr>
          <w:sz w:val="20"/>
          <w:szCs w:val="20"/>
          <w:color w:val="auto"/>
        </w:rPr>
      </w:pPr>
      <w:r>
        <w:rPr>
          <w:rFonts w:ascii="Arial" w:cs="Arial" w:eastAsia="Arial" w:hAnsi="Arial"/>
          <w:sz w:val="16"/>
          <w:szCs w:val="16"/>
          <w:color w:val="auto"/>
        </w:rPr>
        <w:t>Requested to disclose the Board’s succession and refreshment priorities in order to maintain the right set of skills on the Board.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Board amended the Company’s Corporate Governance Guidelines to further formalize the Board’s (long-standing) practice of encouraging Board refreshment. For a discussion of the actions taken to further evolve the Board’s composition and skill sets, see pa</w:t>
      </w:r>
      <w:r>
        <w:rPr>
          <w:rFonts w:ascii="Arial" w:cs="Arial" w:eastAsia="Arial" w:hAnsi="Arial"/>
          <w:sz w:val="16"/>
          <w:szCs w:val="16"/>
          <w:color w:val="242424"/>
        </w:rPr>
        <w:t>ge 15.</w:t>
      </w:r>
    </w:p>
    <w:p>
      <w:pPr>
        <w:spacing w:after="0" w:line="200" w:lineRule="exact"/>
        <w:rPr>
          <w:sz w:val="20"/>
          <w:szCs w:val="20"/>
          <w:color w:val="auto"/>
        </w:rPr>
      </w:pPr>
    </w:p>
    <w:p>
      <w:pPr>
        <w:sectPr>
          <w:pgSz w:w="11900" w:h="16838" w:orient="portrait"/>
          <w:cols w:equalWidth="0" w:num="2">
            <w:col w:w="3380" w:space="480"/>
            <w:col w:w="5220"/>
          </w:cols>
          <w:pgMar w:left="1400" w:top="1339" w:right="1419" w:bottom="1440" w:gutter="0" w:footer="0" w:header="0"/>
          <w:type w:val="continuous"/>
        </w:sectPr>
      </w:pPr>
    </w:p>
    <w:p>
      <w:pPr>
        <w:spacing w:after="0" w:line="124" w:lineRule="exact"/>
        <w:rPr>
          <w:sz w:val="20"/>
          <w:szCs w:val="20"/>
          <w:color w:val="auto"/>
        </w:rPr>
      </w:pPr>
    </w:p>
    <w:p>
      <w:pPr>
        <w:jc w:val="both"/>
        <w:ind w:left="60"/>
        <w:spacing w:after="0" w:line="301" w:lineRule="auto"/>
        <w:rPr>
          <w:sz w:val="20"/>
          <w:szCs w:val="20"/>
          <w:color w:val="auto"/>
        </w:rPr>
      </w:pPr>
      <w:r>
        <w:rPr>
          <w:rFonts w:ascii="Arial" w:cs="Arial" w:eastAsia="Arial" w:hAnsi="Arial"/>
          <w:sz w:val="16"/>
          <w:szCs w:val="16"/>
          <w:color w:val="auto"/>
        </w:rPr>
        <w:t>Asked to identify long-term valuation risks and focus on near-term executive and performance opportunities.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The Board continued to work with management to refine its strategy and find opportunities to address long-term valuation risks, including</w:t>
      </w:r>
    </w:p>
    <w:p>
      <w:pPr>
        <w:spacing w:after="0" w:line="1" w:lineRule="exact"/>
        <w:rPr>
          <w:sz w:val="20"/>
          <w:szCs w:val="20"/>
          <w:color w:val="auto"/>
        </w:rPr>
      </w:pPr>
    </w:p>
    <w:p>
      <w:pPr>
        <w:jc w:val="both"/>
        <w:ind w:right="160" w:firstLine="2"/>
        <w:spacing w:after="0" w:line="301" w:lineRule="auto"/>
        <w:tabs>
          <w:tab w:leader="none" w:pos="18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manufacturing innovations in robotics, (ii) improving EV profitability, and (iii) executing on software and adjacent business like GM Defense and GM Insurance.</w:t>
      </w:r>
    </w:p>
    <w:p>
      <w:pPr>
        <w:spacing w:after="0" w:line="104" w:lineRule="exact"/>
        <w:rPr>
          <w:sz w:val="20"/>
          <w:szCs w:val="20"/>
          <w:color w:val="auto"/>
        </w:rPr>
      </w:pPr>
    </w:p>
    <w:p>
      <w:pPr>
        <w:sectPr>
          <w:pgSz w:w="11900" w:h="16838" w:orient="portrait"/>
          <w:cols w:equalWidth="0" w:num="2">
            <w:col w:w="3420" w:space="440"/>
            <w:col w:w="5220"/>
          </w:cols>
          <w:pgMar w:left="1400" w:top="1339" w:right="141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860" w:type="dxa"/>
            <w:vAlign w:val="bottom"/>
          </w:tcPr>
          <w:p>
            <w:pPr>
              <w:ind w:left="60"/>
              <w:spacing w:after="0"/>
              <w:rPr>
                <w:sz w:val="20"/>
                <w:szCs w:val="20"/>
                <w:color w:val="auto"/>
              </w:rPr>
            </w:pPr>
            <w:r>
              <w:rPr>
                <w:rFonts w:ascii="Arial" w:cs="Arial" w:eastAsia="Arial" w:hAnsi="Arial"/>
                <w:sz w:val="16"/>
                <w:szCs w:val="16"/>
                <w:color w:val="auto"/>
              </w:rPr>
              <w:t>Encouraged to continue to return capital to</w:t>
            </w:r>
          </w:p>
        </w:tc>
        <w:tc>
          <w:tcPr>
            <w:tcW w:w="5220" w:type="dxa"/>
            <w:vAlign w:val="bottom"/>
            <w:gridSpan w:val="2"/>
          </w:tcPr>
          <w:p>
            <w:pPr>
              <w:spacing w:after="0"/>
              <w:rPr>
                <w:sz w:val="20"/>
                <w:szCs w:val="20"/>
                <w:color w:val="auto"/>
              </w:rPr>
            </w:pPr>
            <w:r>
              <w:rPr>
                <w:rFonts w:ascii="Arial" w:cs="Arial" w:eastAsia="Arial" w:hAnsi="Arial"/>
                <w:sz w:val="16"/>
                <w:szCs w:val="16"/>
                <w:color w:val="auto"/>
              </w:rPr>
              <w:t>In the first quarter of 2026, the Board announced an additional</w:t>
            </w:r>
          </w:p>
        </w:tc>
      </w:tr>
      <w:tr>
        <w:trPr>
          <w:trHeight w:val="216"/>
        </w:trPr>
        <w:tc>
          <w:tcPr>
            <w:tcW w:w="3860" w:type="dxa"/>
            <w:vAlign w:val="bottom"/>
          </w:tcPr>
          <w:p>
            <w:pPr>
              <w:ind w:left="60"/>
              <w:spacing w:after="0"/>
              <w:rPr>
                <w:sz w:val="20"/>
                <w:szCs w:val="20"/>
                <w:color w:val="auto"/>
              </w:rPr>
            </w:pPr>
            <w:r>
              <w:rPr>
                <w:rFonts w:ascii="Arial" w:cs="Arial" w:eastAsia="Arial" w:hAnsi="Arial"/>
                <w:sz w:val="16"/>
                <w:szCs w:val="16"/>
                <w:color w:val="auto"/>
              </w:rPr>
              <w:t>shareholders as part of the Company’s capital</w:t>
            </w:r>
          </w:p>
        </w:tc>
        <w:tc>
          <w:tcPr>
            <w:tcW w:w="5220" w:type="dxa"/>
            <w:vAlign w:val="bottom"/>
            <w:gridSpan w:val="2"/>
          </w:tcPr>
          <w:p>
            <w:pPr>
              <w:spacing w:after="0"/>
              <w:rPr>
                <w:sz w:val="20"/>
                <w:szCs w:val="20"/>
                <w:color w:val="auto"/>
              </w:rPr>
            </w:pPr>
            <w:r>
              <w:rPr>
                <w:rFonts w:ascii="Arial" w:cs="Arial" w:eastAsia="Arial" w:hAnsi="Arial"/>
                <w:sz w:val="16"/>
                <w:szCs w:val="16"/>
                <w:color w:val="auto"/>
              </w:rPr>
              <w:t>$6 billion share repurchase program and raised the quarterly common</w:t>
            </w:r>
          </w:p>
        </w:tc>
      </w:tr>
      <w:tr>
        <w:trPr>
          <w:trHeight w:val="216"/>
        </w:trPr>
        <w:tc>
          <w:tcPr>
            <w:tcW w:w="3860" w:type="dxa"/>
            <w:vAlign w:val="bottom"/>
          </w:tcPr>
          <w:p>
            <w:pPr>
              <w:ind w:left="60"/>
              <w:spacing w:after="0"/>
              <w:rPr>
                <w:sz w:val="20"/>
                <w:szCs w:val="20"/>
                <w:color w:val="auto"/>
              </w:rPr>
            </w:pPr>
            <w:r>
              <w:rPr>
                <w:rFonts w:ascii="Arial" w:cs="Arial" w:eastAsia="Arial" w:hAnsi="Arial"/>
                <w:sz w:val="16"/>
                <w:szCs w:val="16"/>
                <w:color w:val="auto"/>
              </w:rPr>
              <w:t>allocation strategy.</w:t>
            </w:r>
          </w:p>
        </w:tc>
        <w:tc>
          <w:tcPr>
            <w:tcW w:w="5220" w:type="dxa"/>
            <w:vAlign w:val="bottom"/>
            <w:gridSpan w:val="2"/>
          </w:tcPr>
          <w:p>
            <w:pPr>
              <w:spacing w:after="0"/>
              <w:rPr>
                <w:sz w:val="20"/>
                <w:szCs w:val="20"/>
                <w:color w:val="auto"/>
              </w:rPr>
            </w:pPr>
            <w:r>
              <w:rPr>
                <w:rFonts w:ascii="Arial" w:cs="Arial" w:eastAsia="Arial" w:hAnsi="Arial"/>
                <w:sz w:val="16"/>
                <w:szCs w:val="16"/>
                <w:color w:val="auto"/>
              </w:rPr>
              <w:t>stock dividend by $0.03 to $0.18 per share.</w:t>
            </w:r>
          </w:p>
        </w:tc>
      </w:tr>
      <w:tr>
        <w:trPr>
          <w:trHeight w:val="56"/>
        </w:trPr>
        <w:tc>
          <w:tcPr>
            <w:tcW w:w="3860" w:type="dxa"/>
            <w:vAlign w:val="bottom"/>
            <w:tcBorders>
              <w:bottom w:val="single" w:sz="8" w:color="D8D7D7"/>
            </w:tcBorders>
          </w:tcPr>
          <w:p>
            <w:pPr>
              <w:spacing w:after="0"/>
              <w:rPr>
                <w:sz w:val="4"/>
                <w:szCs w:val="4"/>
                <w:color w:val="auto"/>
              </w:rPr>
            </w:pPr>
          </w:p>
        </w:tc>
        <w:tc>
          <w:tcPr>
            <w:tcW w:w="620" w:type="dxa"/>
            <w:vAlign w:val="bottom"/>
            <w:tcBorders>
              <w:bottom w:val="single" w:sz="8" w:color="D8D7D7"/>
            </w:tcBorders>
          </w:tcPr>
          <w:p>
            <w:pPr>
              <w:spacing w:after="0"/>
              <w:rPr>
                <w:sz w:val="4"/>
                <w:szCs w:val="4"/>
                <w:color w:val="auto"/>
              </w:rPr>
            </w:pPr>
          </w:p>
        </w:tc>
        <w:tc>
          <w:tcPr>
            <w:tcW w:w="4600" w:type="dxa"/>
            <w:vAlign w:val="bottom"/>
            <w:tcBorders>
              <w:bottom w:val="single" w:sz="8" w:color="D8D7D7"/>
            </w:tcBorders>
          </w:tcPr>
          <w:p>
            <w:pPr>
              <w:spacing w:after="0"/>
              <w:rPr>
                <w:sz w:val="4"/>
                <w:szCs w:val="4"/>
                <w:color w:val="auto"/>
              </w:rPr>
            </w:pPr>
          </w:p>
        </w:tc>
      </w:tr>
      <w:tr>
        <w:trPr>
          <w:trHeight w:val="289"/>
        </w:trPr>
        <w:tc>
          <w:tcPr>
            <w:tcW w:w="3860" w:type="dxa"/>
            <w:vAlign w:val="bottom"/>
          </w:tcPr>
          <w:p>
            <w:pPr>
              <w:ind w:left="60"/>
              <w:spacing w:after="0"/>
              <w:rPr>
                <w:sz w:val="20"/>
                <w:szCs w:val="20"/>
                <w:color w:val="auto"/>
              </w:rPr>
            </w:pPr>
            <w:r>
              <w:rPr>
                <w:rFonts w:ascii="Arial" w:cs="Arial" w:eastAsia="Arial" w:hAnsi="Arial"/>
                <w:sz w:val="16"/>
                <w:szCs w:val="16"/>
                <w:color w:val="auto"/>
              </w:rPr>
              <w:t>Encouraged to continue to be transparent with</w:t>
            </w:r>
          </w:p>
        </w:tc>
        <w:tc>
          <w:tcPr>
            <w:tcW w:w="5220" w:type="dxa"/>
            <w:vAlign w:val="bottom"/>
            <w:gridSpan w:val="2"/>
          </w:tcPr>
          <w:p>
            <w:pPr>
              <w:spacing w:after="0"/>
              <w:rPr>
                <w:sz w:val="20"/>
                <w:szCs w:val="20"/>
                <w:color w:val="auto"/>
              </w:rPr>
            </w:pPr>
            <w:r>
              <w:rPr>
                <w:rFonts w:ascii="Arial" w:cs="Arial" w:eastAsia="Arial" w:hAnsi="Arial"/>
                <w:sz w:val="16"/>
                <w:szCs w:val="16"/>
                <w:color w:val="auto"/>
              </w:rPr>
              <w:t>Following Board review, we updated our sustainability strategy and</w:t>
            </w:r>
          </w:p>
        </w:tc>
      </w:tr>
      <w:tr>
        <w:trPr>
          <w:trHeight w:val="216"/>
        </w:trPr>
        <w:tc>
          <w:tcPr>
            <w:tcW w:w="3860" w:type="dxa"/>
            <w:vAlign w:val="bottom"/>
          </w:tcPr>
          <w:p>
            <w:pPr>
              <w:ind w:left="60"/>
              <w:spacing w:after="0"/>
              <w:rPr>
                <w:sz w:val="20"/>
                <w:szCs w:val="20"/>
                <w:color w:val="auto"/>
              </w:rPr>
            </w:pPr>
            <w:r>
              <w:rPr>
                <w:rFonts w:ascii="Arial" w:cs="Arial" w:eastAsia="Arial" w:hAnsi="Arial"/>
                <w:sz w:val="16"/>
                <w:szCs w:val="16"/>
                <w:color w:val="auto"/>
              </w:rPr>
              <w:t>the Company’s sustainability goals while</w:t>
            </w:r>
          </w:p>
        </w:tc>
        <w:tc>
          <w:tcPr>
            <w:tcW w:w="5220" w:type="dxa"/>
            <w:vAlign w:val="bottom"/>
            <w:gridSpan w:val="2"/>
          </w:tcPr>
          <w:p>
            <w:pPr>
              <w:spacing w:after="0"/>
              <w:rPr>
                <w:sz w:val="20"/>
                <w:szCs w:val="20"/>
                <w:color w:val="auto"/>
              </w:rPr>
            </w:pPr>
            <w:r>
              <w:rPr>
                <w:rFonts w:ascii="Arial" w:cs="Arial" w:eastAsia="Arial" w:hAnsi="Arial"/>
                <w:sz w:val="16"/>
                <w:szCs w:val="16"/>
                <w:color w:val="auto"/>
              </w:rPr>
              <w:t>reporting approach to focus on compliance and increase the use of</w:t>
            </w:r>
          </w:p>
        </w:tc>
      </w:tr>
      <w:tr>
        <w:trPr>
          <w:trHeight w:val="178"/>
        </w:trPr>
        <w:tc>
          <w:tcPr>
            <w:tcW w:w="3860" w:type="dxa"/>
            <w:vAlign w:val="bottom"/>
          </w:tcPr>
          <w:p>
            <w:pPr>
              <w:ind w:left="60"/>
              <w:spacing w:after="0" w:line="178" w:lineRule="exact"/>
              <w:rPr>
                <w:sz w:val="20"/>
                <w:szCs w:val="20"/>
                <w:color w:val="auto"/>
              </w:rPr>
            </w:pPr>
            <w:r>
              <w:rPr>
                <w:rFonts w:ascii="Arial" w:cs="Arial" w:eastAsia="Arial" w:hAnsi="Arial"/>
                <w:sz w:val="16"/>
                <w:szCs w:val="16"/>
                <w:color w:val="auto"/>
              </w:rPr>
              <w:t>modernizing reporting and disclosure.</w:t>
            </w:r>
          </w:p>
        </w:tc>
        <w:tc>
          <w:tcPr>
            <w:tcW w:w="5220" w:type="dxa"/>
            <w:vAlign w:val="bottom"/>
            <w:gridSpan w:val="2"/>
          </w:tcPr>
          <w:p>
            <w:pPr>
              <w:spacing w:after="0" w:line="178" w:lineRule="exact"/>
              <w:rPr>
                <w:sz w:val="20"/>
                <w:szCs w:val="20"/>
                <w:color w:val="auto"/>
              </w:rPr>
            </w:pPr>
            <w:r>
              <w:rPr>
                <w:rFonts w:ascii="Arial" w:cs="Arial" w:eastAsia="Arial" w:hAnsi="Arial"/>
                <w:sz w:val="16"/>
                <w:szCs w:val="16"/>
                <w:color w:val="0956FF"/>
              </w:rPr>
              <w:t xml:space="preserve">GM.com </w:t>
            </w:r>
            <w:r>
              <w:rPr>
                <w:rFonts w:ascii="Arial" w:cs="Arial" w:eastAsia="Arial" w:hAnsi="Arial"/>
                <w:sz w:val="16"/>
                <w:szCs w:val="16"/>
                <w:color w:val="000000"/>
              </w:rPr>
              <w:t>to share more targeted and real-time updates about</w:t>
            </w:r>
          </w:p>
        </w:tc>
      </w:tr>
      <w:tr>
        <w:trPr>
          <w:trHeight w:val="20"/>
        </w:trPr>
        <w:tc>
          <w:tcPr>
            <w:tcW w:w="3860" w:type="dxa"/>
            <w:vAlign w:val="bottom"/>
          </w:tcPr>
          <w:p>
            <w:pPr>
              <w:spacing w:after="0" w:line="20" w:lineRule="exact"/>
              <w:rPr>
                <w:sz w:val="1"/>
                <w:szCs w:val="1"/>
                <w:color w:val="auto"/>
              </w:rPr>
            </w:pPr>
          </w:p>
        </w:tc>
        <w:tc>
          <w:tcPr>
            <w:tcW w:w="620" w:type="dxa"/>
            <w:vAlign w:val="bottom"/>
            <w:shd w:val="clear" w:color="auto" w:fill="0956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35"/>
        </w:trPr>
        <w:tc>
          <w:tcPr>
            <w:tcW w:w="386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sustainability and social topics.</w:t>
            </w:r>
          </w:p>
        </w:tc>
      </w:tr>
      <w:tr>
        <w:trPr>
          <w:trHeight w:val="56"/>
        </w:trPr>
        <w:tc>
          <w:tcPr>
            <w:tcW w:w="3860" w:type="dxa"/>
            <w:vAlign w:val="bottom"/>
            <w:tcBorders>
              <w:bottom w:val="single" w:sz="8" w:color="D8D7D7"/>
            </w:tcBorders>
          </w:tcPr>
          <w:p>
            <w:pPr>
              <w:spacing w:after="0"/>
              <w:rPr>
                <w:sz w:val="4"/>
                <w:szCs w:val="4"/>
                <w:color w:val="auto"/>
              </w:rPr>
            </w:pPr>
          </w:p>
        </w:tc>
        <w:tc>
          <w:tcPr>
            <w:tcW w:w="620" w:type="dxa"/>
            <w:vAlign w:val="bottom"/>
            <w:tcBorders>
              <w:bottom w:val="single" w:sz="8" w:color="D8D7D7"/>
            </w:tcBorders>
          </w:tcPr>
          <w:p>
            <w:pPr>
              <w:spacing w:after="0"/>
              <w:rPr>
                <w:sz w:val="4"/>
                <w:szCs w:val="4"/>
                <w:color w:val="auto"/>
              </w:rPr>
            </w:pPr>
          </w:p>
        </w:tc>
        <w:tc>
          <w:tcPr>
            <w:tcW w:w="4600" w:type="dxa"/>
            <w:vAlign w:val="bottom"/>
            <w:tcBorders>
              <w:bottom w:val="single" w:sz="8" w:color="D8D7D7"/>
            </w:tcBorders>
          </w:tcPr>
          <w:p>
            <w:pPr>
              <w:spacing w:after="0"/>
              <w:rPr>
                <w:sz w:val="4"/>
                <w:szCs w:val="4"/>
                <w:color w:val="auto"/>
              </w:rPr>
            </w:pPr>
          </w:p>
        </w:tc>
      </w:tr>
      <w:tr>
        <w:trPr>
          <w:trHeight w:val="289"/>
        </w:trPr>
        <w:tc>
          <w:tcPr>
            <w:tcW w:w="3860" w:type="dxa"/>
            <w:vAlign w:val="bottom"/>
          </w:tcPr>
          <w:p>
            <w:pPr>
              <w:ind w:left="60"/>
              <w:spacing w:after="0"/>
              <w:rPr>
                <w:sz w:val="20"/>
                <w:szCs w:val="20"/>
                <w:color w:val="auto"/>
              </w:rPr>
            </w:pPr>
            <w:r>
              <w:rPr>
                <w:rFonts w:ascii="Arial" w:cs="Arial" w:eastAsia="Arial" w:hAnsi="Arial"/>
                <w:sz w:val="16"/>
                <w:szCs w:val="16"/>
                <w:color w:val="auto"/>
              </w:rPr>
              <w:t>Requested to continue to align the Company’s</w:t>
            </w:r>
          </w:p>
        </w:tc>
        <w:tc>
          <w:tcPr>
            <w:tcW w:w="5220" w:type="dxa"/>
            <w:vAlign w:val="bottom"/>
            <w:gridSpan w:val="2"/>
          </w:tcPr>
          <w:p>
            <w:pPr>
              <w:spacing w:after="0"/>
              <w:rPr>
                <w:sz w:val="20"/>
                <w:szCs w:val="20"/>
                <w:color w:val="auto"/>
              </w:rPr>
            </w:pPr>
            <w:r>
              <w:rPr>
                <w:rFonts w:ascii="Arial" w:cs="Arial" w:eastAsia="Arial" w:hAnsi="Arial"/>
                <w:sz w:val="16"/>
                <w:szCs w:val="16"/>
                <w:color w:val="auto"/>
              </w:rPr>
              <w:t>For specific feedback and responses on executive compensation,</w:t>
            </w:r>
          </w:p>
        </w:tc>
      </w:tr>
      <w:tr>
        <w:trPr>
          <w:trHeight w:val="216"/>
        </w:trPr>
        <w:tc>
          <w:tcPr>
            <w:tcW w:w="3860" w:type="dxa"/>
            <w:vAlign w:val="bottom"/>
          </w:tcPr>
          <w:p>
            <w:pPr>
              <w:ind w:left="60"/>
              <w:spacing w:after="0"/>
              <w:rPr>
                <w:sz w:val="20"/>
                <w:szCs w:val="20"/>
                <w:color w:val="auto"/>
              </w:rPr>
            </w:pPr>
            <w:r>
              <w:rPr>
                <w:rFonts w:ascii="Arial" w:cs="Arial" w:eastAsia="Arial" w:hAnsi="Arial"/>
                <w:sz w:val="16"/>
                <w:szCs w:val="16"/>
                <w:color w:val="auto"/>
              </w:rPr>
              <w:t>executive compensation programs with</w:t>
            </w:r>
          </w:p>
        </w:tc>
        <w:tc>
          <w:tcPr>
            <w:tcW w:w="5220" w:type="dxa"/>
            <w:vAlign w:val="bottom"/>
            <w:gridSpan w:val="2"/>
          </w:tcPr>
          <w:p>
            <w:pPr>
              <w:spacing w:after="0"/>
              <w:rPr>
                <w:sz w:val="20"/>
                <w:szCs w:val="20"/>
                <w:color w:val="auto"/>
              </w:rPr>
            </w:pPr>
            <w:r>
              <w:rPr>
                <w:rFonts w:ascii="Arial" w:cs="Arial" w:eastAsia="Arial" w:hAnsi="Arial"/>
                <w:sz w:val="16"/>
                <w:szCs w:val="16"/>
                <w:color w:val="auto"/>
              </w:rPr>
              <w:t>please see pages 40 -61.</w:t>
            </w:r>
          </w:p>
        </w:tc>
      </w:tr>
      <w:tr>
        <w:trPr>
          <w:trHeight w:val="216"/>
        </w:trPr>
        <w:tc>
          <w:tcPr>
            <w:tcW w:w="3860" w:type="dxa"/>
            <w:vAlign w:val="bottom"/>
          </w:tcPr>
          <w:p>
            <w:pPr>
              <w:ind w:left="60"/>
              <w:spacing w:after="0"/>
              <w:rPr>
                <w:sz w:val="20"/>
                <w:szCs w:val="20"/>
                <w:color w:val="auto"/>
              </w:rPr>
            </w:pPr>
            <w:r>
              <w:rPr>
                <w:rFonts w:ascii="Arial" w:cs="Arial" w:eastAsia="Arial" w:hAnsi="Arial"/>
                <w:sz w:val="16"/>
                <w:szCs w:val="16"/>
                <w:color w:val="auto"/>
              </w:rPr>
              <w:t>shareholder interests and provide strong</w:t>
            </w:r>
          </w:p>
        </w:tc>
        <w:tc>
          <w:tcPr>
            <w:tcW w:w="6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3860" w:type="dxa"/>
            <w:vAlign w:val="bottom"/>
          </w:tcPr>
          <w:p>
            <w:pPr>
              <w:ind w:left="60"/>
              <w:spacing w:after="0"/>
              <w:rPr>
                <w:sz w:val="20"/>
                <w:szCs w:val="20"/>
                <w:color w:val="auto"/>
              </w:rPr>
            </w:pPr>
            <w:r>
              <w:rPr>
                <w:rFonts w:ascii="Arial" w:cs="Arial" w:eastAsia="Arial" w:hAnsi="Arial"/>
                <w:sz w:val="16"/>
                <w:szCs w:val="16"/>
                <w:color w:val="auto"/>
              </w:rPr>
              <w:t>disclosure about the hiring grant for the</w:t>
            </w:r>
          </w:p>
        </w:tc>
        <w:tc>
          <w:tcPr>
            <w:tcW w:w="6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3860" w:type="dxa"/>
            <w:vAlign w:val="bottom"/>
          </w:tcPr>
          <w:p>
            <w:pPr>
              <w:ind w:left="60"/>
              <w:spacing w:after="0"/>
              <w:rPr>
                <w:sz w:val="20"/>
                <w:szCs w:val="20"/>
                <w:color w:val="auto"/>
              </w:rPr>
            </w:pPr>
            <w:r>
              <w:rPr>
                <w:rFonts w:ascii="Arial" w:cs="Arial" w:eastAsia="Arial" w:hAnsi="Arial"/>
                <w:sz w:val="16"/>
                <w:szCs w:val="16"/>
                <w:color w:val="auto"/>
              </w:rPr>
              <w:t>Company’s new Named Executive Officer (NEO).</w:t>
            </w:r>
          </w:p>
        </w:tc>
        <w:tc>
          <w:tcPr>
            <w:tcW w:w="6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56"/>
        </w:trPr>
        <w:tc>
          <w:tcPr>
            <w:tcW w:w="3860" w:type="dxa"/>
            <w:vAlign w:val="bottom"/>
            <w:tcBorders>
              <w:bottom w:val="single" w:sz="8" w:color="0956FF"/>
            </w:tcBorders>
          </w:tcPr>
          <w:p>
            <w:pPr>
              <w:spacing w:after="0"/>
              <w:rPr>
                <w:sz w:val="4"/>
                <w:szCs w:val="4"/>
                <w:color w:val="auto"/>
              </w:rPr>
            </w:pPr>
          </w:p>
        </w:tc>
        <w:tc>
          <w:tcPr>
            <w:tcW w:w="620" w:type="dxa"/>
            <w:vAlign w:val="bottom"/>
            <w:tcBorders>
              <w:bottom w:val="single" w:sz="8" w:color="0956FF"/>
            </w:tcBorders>
          </w:tcPr>
          <w:p>
            <w:pPr>
              <w:spacing w:after="0"/>
              <w:rPr>
                <w:sz w:val="4"/>
                <w:szCs w:val="4"/>
                <w:color w:val="auto"/>
              </w:rPr>
            </w:pPr>
          </w:p>
        </w:tc>
        <w:tc>
          <w:tcPr>
            <w:tcW w:w="4600" w:type="dxa"/>
            <w:vAlign w:val="bottom"/>
            <w:tcBorders>
              <w:bottom w:val="single" w:sz="8" w:color="0956FF"/>
            </w:tcBorders>
          </w:tcPr>
          <w:p>
            <w:pPr>
              <w:spacing w:after="0"/>
              <w:rPr>
                <w:sz w:val="4"/>
                <w:szCs w:val="4"/>
                <w:color w:val="auto"/>
              </w:rPr>
            </w:pPr>
          </w:p>
        </w:tc>
      </w:tr>
    </w:tbl>
    <w:p>
      <w:pPr>
        <w:spacing w:after="0" w:line="24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For examples of Stewardship Topics that the Board reviewed last year, please see the following page.</w:t>
      </w:r>
    </w:p>
    <w:p>
      <w:pPr>
        <w:sectPr>
          <w:pgSz w:w="11900" w:h="16838" w:orient="portrait"/>
          <w:cols w:equalWidth="0" w:num="1">
            <w:col w:w="9080"/>
          </w:cols>
          <w:pgMar w:left="1400" w:top="1339"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90</w:t>
      </w:r>
    </w:p>
    <w:p>
      <w:pPr>
        <w:sectPr>
          <w:pgSz w:w="11900" w:h="16838" w:orient="portrait"/>
          <w:cols w:equalWidth="0" w:num="1">
            <w:col w:w="9080"/>
          </w:cols>
          <w:pgMar w:left="1400" w:top="1339" w:right="141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Stewardship Engagement Process and Oversight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Oversight of Other Stewardship Topics</w:t>
      </w:r>
    </w:p>
    <w:p>
      <w:pPr>
        <w:sectPr>
          <w:pgSz w:w="11900" w:h="16838" w:orient="portrait"/>
          <w:cols w:equalWidth="0" w:num="1">
            <w:col w:w="9160"/>
          </w:cols>
          <w:pgMar w:left="1400" w:top="657" w:right="1339" w:bottom="1440" w:gutter="0" w:footer="0" w:header="0"/>
        </w:sectPr>
      </w:pPr>
    </w:p>
    <w:p>
      <w:pPr>
        <w:spacing w:after="0" w:line="390" w:lineRule="exact"/>
        <w:rPr>
          <w:sz w:val="20"/>
          <w:szCs w:val="20"/>
          <w:color w:val="auto"/>
        </w:rPr>
      </w:pPr>
    </w:p>
    <w:p>
      <w:pPr>
        <w:ind w:left="240"/>
        <w:spacing w:after="0"/>
        <w:rPr>
          <w:sz w:val="20"/>
          <w:szCs w:val="20"/>
          <w:color w:val="auto"/>
        </w:rPr>
      </w:pPr>
      <w:r>
        <w:rPr>
          <w:rFonts w:ascii="Arial" w:cs="Arial" w:eastAsia="Arial" w:hAnsi="Arial"/>
          <w:sz w:val="29"/>
          <w:szCs w:val="29"/>
          <w:b w:val="1"/>
          <w:bCs w:val="1"/>
          <w:color w:val="auto"/>
        </w:rPr>
        <w:t>Code of Conduct:</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29"/>
          <w:szCs w:val="29"/>
          <w:b w:val="1"/>
          <w:bCs w:val="1"/>
          <w:color w:val="auto"/>
        </w:rPr>
        <w:t>“Winning with Integrity”</w:t>
      </w:r>
    </w:p>
    <w:p>
      <w:pPr>
        <w:spacing w:after="0" w:line="89" w:lineRule="exact"/>
        <w:rPr>
          <w:sz w:val="20"/>
          <w:szCs w:val="20"/>
          <w:color w:val="auto"/>
        </w:rPr>
      </w:pPr>
    </w:p>
    <w:p>
      <w:pPr>
        <w:ind w:left="240"/>
        <w:spacing w:after="0" w:line="258" w:lineRule="auto"/>
        <w:rPr>
          <w:sz w:val="20"/>
          <w:szCs w:val="20"/>
          <w:color w:val="auto"/>
        </w:rPr>
      </w:pPr>
      <w:r>
        <w:rPr>
          <w:rFonts w:ascii="Arial" w:cs="Arial" w:eastAsia="Arial" w:hAnsi="Arial"/>
          <w:sz w:val="16"/>
          <w:szCs w:val="16"/>
          <w:color w:val="auto"/>
        </w:rPr>
        <w:t xml:space="preserve">The Board is committed to the highest legal and ethical standards in fulfilling its responsibilities. We are governed by a code of business conduct and ethics, “Winning with Integrity,” that applies to everyone in our Company, at every level, including employees, executives, Board members and, as applicable, subsidiaries that GM controls. This Code of Conduct forms the foundation for compliance with corporate policies and procedures and memorializes a Company-wide commitment to unwavering integrity in every aspect of our operations. In 2026, Ethisphere recognized GM for the seventh consecutive year as one of the World’s Most Ethical Companies </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This award recognizes how “Winning with Integrity” embodies our expectations on a number of topics, including workplace and vehicle safety; conflicts of interest; protection of confidential information; insider trading; competition and fair dealing; human rights; community involvement and corporate citizenship; political activities and lobbying; preservation and use of Company assets; and compliance with laws and regulations. Our Code of Conduct, “Winning with Integrity” is available at </w:t>
      </w:r>
      <w:r>
        <w:rPr>
          <w:rFonts w:ascii="Arial" w:cs="Arial" w:eastAsia="Arial" w:hAnsi="Arial"/>
          <w:sz w:val="16"/>
          <w:szCs w:val="16"/>
          <w:u w:val="single" w:color="auto"/>
          <w:color w:val="0956FF"/>
        </w:rPr>
        <w:t>investor.gm.com</w:t>
      </w:r>
      <w:r>
        <w:rPr>
          <w:rFonts w:ascii="Arial" w:cs="Arial" w:eastAsia="Arial" w:hAnsi="Arial"/>
          <w:sz w:val="16"/>
          <w:szCs w:val="16"/>
          <w:color w:val="auto"/>
        </w:rPr>
        <w:t xml:space="preserve"> .</w:t>
      </w:r>
    </w:p>
    <w:p>
      <w:pPr>
        <w:spacing w:after="0" w:line="384" w:lineRule="exact"/>
        <w:rPr>
          <w:sz w:val="20"/>
          <w:szCs w:val="20"/>
          <w:color w:val="auto"/>
        </w:rPr>
      </w:pPr>
    </w:p>
    <w:p>
      <w:pPr>
        <w:ind w:left="400" w:right="180"/>
        <w:spacing w:after="0" w:line="289" w:lineRule="auto"/>
        <w:rPr>
          <w:sz w:val="20"/>
          <w:szCs w:val="20"/>
          <w:color w:val="auto"/>
        </w:rPr>
      </w:pPr>
      <w:r>
        <w:rPr>
          <w:rFonts w:ascii="Arial" w:cs="Arial" w:eastAsia="Arial" w:hAnsi="Arial"/>
          <w:sz w:val="16"/>
          <w:szCs w:val="16"/>
          <w:b w:val="1"/>
          <w:bCs w:val="1"/>
          <w:color w:val="auto"/>
        </w:rPr>
        <w:t>In 2025, the Audit Committee met with the Chief Compliance Officer four times, and the Board received in-person annual compliance training.</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Political Contributions</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and Lobbying Expenditures</w:t>
      </w:r>
    </w:p>
    <w:p>
      <w:pPr>
        <w:spacing w:after="0" w:line="89" w:lineRule="exact"/>
        <w:rPr>
          <w:sz w:val="20"/>
          <w:szCs w:val="20"/>
          <w:color w:val="auto"/>
        </w:rPr>
      </w:pPr>
    </w:p>
    <w:p>
      <w:pPr>
        <w:ind w:right="380"/>
        <w:spacing w:after="0" w:line="263" w:lineRule="auto"/>
        <w:rPr>
          <w:sz w:val="20"/>
          <w:szCs w:val="20"/>
          <w:color w:val="auto"/>
        </w:rPr>
      </w:pPr>
      <w:r>
        <w:rPr>
          <w:rFonts w:ascii="Arial" w:cs="Arial" w:eastAsia="Arial" w:hAnsi="Arial"/>
          <w:sz w:val="16"/>
          <w:szCs w:val="16"/>
          <w:color w:val="auto"/>
        </w:rPr>
        <w:t>The Board believes it is important for the Company to participate in the legislative, regulatory, and political processes to help shape public policy that supports our industry and reflects our values and principles. To guide our activities and ensure compliance with applicable laws and regulations, the Board has adopted a Company Policy on Corporate Political Contributions and Expenditures. Since 2022, the CPA-Zicklin Index of Corporate Political Disclosure and Accountability, which benchmarks the political disclosure and accountability policies and practices of leading U.S. public companies, has recognized the quality of our disclosure and ranked GM a “trendsetter” among the First Tier of S&amp;P 500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80" w:right="380"/>
        <w:spacing w:after="0" w:line="275" w:lineRule="auto"/>
        <w:rPr>
          <w:sz w:val="20"/>
          <w:szCs w:val="20"/>
          <w:color w:val="auto"/>
        </w:rPr>
      </w:pPr>
      <w:r>
        <w:rPr>
          <w:rFonts w:ascii="Arial" w:cs="Arial" w:eastAsia="Arial" w:hAnsi="Arial"/>
          <w:sz w:val="16"/>
          <w:szCs w:val="16"/>
          <w:b w:val="1"/>
          <w:bCs w:val="1"/>
          <w:color w:val="auto"/>
        </w:rPr>
        <w:t>In 2025, the Board discussed public policy topics at every meeting, in addition to delegating annual oversight of political contributions and lobbying to its Governance Committee.</w:t>
      </w:r>
    </w:p>
    <w:p>
      <w:pPr>
        <w:spacing w:after="0" w:line="200" w:lineRule="exact"/>
        <w:rPr>
          <w:sz w:val="20"/>
          <w:szCs w:val="20"/>
          <w:color w:val="auto"/>
        </w:rPr>
      </w:pPr>
    </w:p>
    <w:p>
      <w:pPr>
        <w:sectPr>
          <w:pgSz w:w="11900" w:h="16838" w:orient="portrait"/>
          <w:cols w:equalWidth="0" w:num="2">
            <w:col w:w="4240" w:space="560"/>
            <w:col w:w="4360"/>
          </w:cols>
          <w:pgMar w:left="1400" w:top="657" w:right="1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29"/>
          <w:szCs w:val="29"/>
          <w:b w:val="1"/>
          <w:bCs w:val="1"/>
          <w:color w:val="auto"/>
        </w:rPr>
        <w:t>Human Capital</w:t>
      </w:r>
    </w:p>
    <w:p>
      <w:pPr>
        <w:spacing w:after="0" w:line="132" w:lineRule="exact"/>
        <w:rPr>
          <w:sz w:val="20"/>
          <w:szCs w:val="20"/>
          <w:color w:val="auto"/>
        </w:rPr>
      </w:pPr>
    </w:p>
    <w:p>
      <w:pPr>
        <w:ind w:left="240"/>
        <w:spacing w:after="0" w:line="264" w:lineRule="auto"/>
        <w:rPr>
          <w:sz w:val="20"/>
          <w:szCs w:val="20"/>
          <w:color w:val="auto"/>
        </w:rPr>
      </w:pPr>
      <w:r>
        <w:rPr>
          <w:rFonts w:ascii="Arial" w:cs="Arial" w:eastAsia="Arial" w:hAnsi="Arial"/>
          <w:sz w:val="16"/>
          <w:szCs w:val="16"/>
          <w:color w:val="auto"/>
        </w:rPr>
        <w:t>The Board strives to create a Workplace of Choice to attract, retain, motivate and develop top talent by adhering to a responsible employer philosophy, which includes, among other things, commitments to create job opportunities, pay workers fairly, ensure safety and well-being, and foster an inclusive work environment in which all employees can perform at their best.</w:t>
      </w:r>
    </w:p>
    <w:p>
      <w:pPr>
        <w:spacing w:after="0" w:line="379" w:lineRule="exact"/>
        <w:rPr>
          <w:sz w:val="20"/>
          <w:szCs w:val="20"/>
          <w:color w:val="auto"/>
        </w:rPr>
      </w:pPr>
    </w:p>
    <w:p>
      <w:pPr>
        <w:ind w:left="400" w:right="40"/>
        <w:spacing w:after="0" w:line="272" w:lineRule="auto"/>
        <w:rPr>
          <w:sz w:val="20"/>
          <w:szCs w:val="20"/>
          <w:color w:val="auto"/>
        </w:rPr>
      </w:pPr>
      <w:r>
        <w:rPr>
          <w:rFonts w:ascii="Arial" w:cs="Arial" w:eastAsia="Arial" w:hAnsi="Arial"/>
          <w:sz w:val="16"/>
          <w:szCs w:val="16"/>
          <w:b w:val="1"/>
          <w:bCs w:val="1"/>
          <w:color w:val="auto"/>
        </w:rPr>
        <w:t>In 2025, the Board and its Committees discussed human capital management issues at every meeting, including topics such as culture, employee engagement, leadership talent pipeline, and charitable giving priorities.</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Sustainability Alignment</w:t>
      </w:r>
    </w:p>
    <w:p>
      <w:pPr>
        <w:spacing w:after="0" w:line="132" w:lineRule="exact"/>
        <w:rPr>
          <w:sz w:val="20"/>
          <w:szCs w:val="20"/>
          <w:color w:val="auto"/>
        </w:rPr>
      </w:pPr>
    </w:p>
    <w:p>
      <w:pPr>
        <w:ind w:right="520"/>
        <w:spacing w:after="0" w:line="264" w:lineRule="auto"/>
        <w:rPr>
          <w:sz w:val="20"/>
          <w:szCs w:val="20"/>
          <w:color w:val="auto"/>
        </w:rPr>
      </w:pPr>
      <w:r>
        <w:rPr>
          <w:rFonts w:ascii="Arial" w:cs="Arial" w:eastAsia="Arial" w:hAnsi="Arial"/>
          <w:sz w:val="16"/>
          <w:szCs w:val="16"/>
          <w:color w:val="auto"/>
        </w:rPr>
        <w:t>The Board continues to encourage management to integrate sustainability principles into its daily operations to align the Company’s sustainability journey with its strategy. We center efforts around purposeful actions where we believe we can have the biggest positive impacts on our business and for our customers.</w:t>
      </w:r>
    </w:p>
    <w:p>
      <w:pPr>
        <w:spacing w:after="0" w:line="392" w:lineRule="exact"/>
        <w:rPr>
          <w:sz w:val="20"/>
          <w:szCs w:val="20"/>
          <w:color w:val="auto"/>
        </w:rPr>
      </w:pPr>
    </w:p>
    <w:p>
      <w:pPr>
        <w:ind w:left="180" w:right="500"/>
        <w:spacing w:after="0" w:line="275" w:lineRule="auto"/>
        <w:rPr>
          <w:sz w:val="20"/>
          <w:szCs w:val="20"/>
          <w:color w:val="auto"/>
        </w:rPr>
      </w:pPr>
      <w:r>
        <w:rPr>
          <w:rFonts w:ascii="Arial" w:cs="Arial" w:eastAsia="Arial" w:hAnsi="Arial"/>
          <w:sz w:val="16"/>
          <w:szCs w:val="16"/>
          <w:b w:val="1"/>
          <w:bCs w:val="1"/>
          <w:color w:val="auto"/>
        </w:rPr>
        <w:t>In 2025, the Board and its Committees reviewed a variety of sustainability-related topics, including supply chain resiliency, battery strategy, and GHG emissions regulations.</w:t>
      </w:r>
    </w:p>
    <w:p>
      <w:pPr>
        <w:spacing w:after="0" w:line="399" w:lineRule="exact"/>
        <w:rPr>
          <w:sz w:val="20"/>
          <w:szCs w:val="20"/>
          <w:color w:val="auto"/>
        </w:rPr>
      </w:pPr>
    </w:p>
    <w:p>
      <w:pPr>
        <w:sectPr>
          <w:pgSz w:w="11900" w:h="16838" w:orient="portrait"/>
          <w:cols w:equalWidth="0" w:num="2">
            <w:col w:w="4160" w:space="640"/>
            <w:col w:w="4360"/>
          </w:cols>
          <w:pgMar w:left="1400" w:top="657"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020"/>
        <w:spacing w:after="0"/>
        <w:tabs>
          <w:tab w:leader="none" w:pos="88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91</w:t>
      </w:r>
    </w:p>
    <w:p>
      <w:pPr>
        <w:sectPr>
          <w:pgSz w:w="11900" w:h="16838" w:orient="portrait"/>
          <w:cols w:equalWidth="0" w:num="1">
            <w:col w:w="9160"/>
          </w:cols>
          <w:pgMar w:left="1400" w:top="657" w:right="1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Shareholder Proposals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At General Motors, the Board and management are committed to constructive, ongoing engagement with our shareholders. We regularly meet with investors to hear their perspectives and incorporate their feedback into the Board’s oversight and the Company’s long-term strategy.</w:t>
      </w:r>
    </w:p>
    <w:p>
      <w:pPr>
        <w:spacing w:after="0" w:line="104"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When a shareholder submits a proposal, we seek to engage directly with the proponent to understand their objectives, explain our current practices, and explore approaches that address their concerns while supporting the long-term strategy outlined throughout this Proxy Statement.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In January 2026, consistent with the applicable SEC guidance and the Company’s analysis of Rule 14a-8,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exclusion of a shareholder proposal was appropriate and submitted a no-action request to the Staff’s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Division of Corporation Finance because the Company believes the proposal is materially false and misleading and has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substantially implemented. In March 2026, the SEC issued a letter confirming it will not object to the Company’s exclusion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proposal. Prior to submitting its notice of exclusion to the SEC, the Company engaged with the proponent to explain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for exclusion and to offer to discuss the proposal further. During this engagement, the Company clarified that it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maintain a net zero emissions goal and already provides comprehensive annual disclosures about its GHG emissions.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also expressed its willingness to make subject matter experts available to the proponent for further discussion,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the proponent did not express a desire to continue engagement.</w:t>
      </w:r>
    </w:p>
    <w:p>
      <w:pPr>
        <w:spacing w:after="0" w:line="181"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color w:val="auto"/>
        </w:rPr>
        <w:t xml:space="preserve">While we may not always implement the specific actions requested, the Board carefully evaluates each proposal and the input we receive and, where appropriate, refines our practices and disclosures in response. Our sustainability policies, compliance documents, and political contributions and lobbying disclosures can be found at </w:t>
      </w:r>
      <w:r>
        <w:rPr>
          <w:rFonts w:ascii="Arial" w:cs="Arial" w:eastAsia="Arial" w:hAnsi="Arial"/>
          <w:sz w:val="16"/>
          <w:szCs w:val="16"/>
          <w:u w:val="single" w:color="auto"/>
          <w:color w:val="0956FF"/>
        </w:rPr>
        <w:t>investor.gm.com/</w:t>
      </w:r>
      <w:r>
        <w:rPr>
          <w:rFonts w:ascii="Arial" w:cs="Arial" w:eastAsia="Arial" w:hAnsi="Arial"/>
          <w:sz w:val="16"/>
          <w:szCs w:val="16"/>
          <w:color w:val="auto"/>
        </w:rPr>
        <w:t xml:space="preserve"> </w:t>
      </w:r>
      <w:r>
        <w:rPr>
          <w:rFonts w:ascii="Arial" w:cs="Arial" w:eastAsia="Arial" w:hAnsi="Arial"/>
          <w:sz w:val="16"/>
          <w:szCs w:val="16"/>
          <w:u w:val="single" w:color="auto"/>
          <w:color w:val="0956FF"/>
        </w:rPr>
        <w:t>governanceandsustainability</w:t>
      </w:r>
      <w:r>
        <w:rPr>
          <w:rFonts w:ascii="Arial" w:cs="Arial" w:eastAsia="Arial" w:hAnsi="Arial"/>
          <w:sz w:val="16"/>
          <w:szCs w:val="16"/>
          <w:color w:val="0956FF"/>
        </w:rPr>
        <w:t xml:space="preserve"> </w:t>
      </w:r>
      <w:r>
        <w:rPr>
          <w:rFonts w:ascii="Arial" w:cs="Arial" w:eastAsia="Arial" w:hAnsi="Arial"/>
          <w:sz w:val="16"/>
          <w:szCs w:val="16"/>
          <w:i w:val="1"/>
          <w:iCs w:val="1"/>
          <w:color w:val="000000"/>
        </w:rPr>
        <w:t>.</w:t>
      </w:r>
    </w:p>
    <w:p>
      <w:pPr>
        <w:spacing w:after="0" w:line="77" w:lineRule="exact"/>
        <w:rPr>
          <w:sz w:val="20"/>
          <w:szCs w:val="20"/>
          <w:color w:val="auto"/>
        </w:rPr>
      </w:pPr>
    </w:p>
    <w:p>
      <w:pPr>
        <w:ind w:right="200"/>
        <w:spacing w:after="0" w:line="227" w:lineRule="exact"/>
        <w:rPr>
          <w:sz w:val="20"/>
          <w:szCs w:val="20"/>
          <w:color w:val="auto"/>
        </w:rPr>
      </w:pPr>
      <w:r>
        <w:rPr>
          <w:rFonts w:ascii="Arial" w:cs="Arial" w:eastAsia="Arial" w:hAnsi="Arial"/>
          <w:sz w:val="16"/>
          <w:szCs w:val="16"/>
          <w:color w:val="auto"/>
        </w:rPr>
        <w:t>On the following pages, you will find shareholder proposals submitted under Rule 14a</w:t>
      </w:r>
      <w:r>
        <w:rPr>
          <w:rFonts w:ascii="MS PGothic" w:cs="MS PGothic" w:eastAsia="MS PGothic" w:hAnsi="MS PGothic"/>
          <w:sz w:val="16"/>
          <w:szCs w:val="16"/>
          <w:color w:val="auto"/>
        </w:rPr>
        <w:t>‑</w:t>
      </w:r>
      <w:r>
        <w:rPr>
          <w:rFonts w:ascii="Arial" w:cs="Arial" w:eastAsia="Arial" w:hAnsi="Arial"/>
          <w:sz w:val="16"/>
          <w:szCs w:val="16"/>
          <w:color w:val="auto"/>
        </w:rPr>
        <w:t>8, along with the Board’s voting recommendations and responses, which reflect its engagement process and a commitment to sound governance in the best interests of the Company and its shareholders.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ITEM 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gridSpan w:val="2"/>
            <w:vMerge w:val="restart"/>
          </w:tcPr>
          <w:p>
            <w:pPr>
              <w:ind w:left="60"/>
              <w:spacing w:after="0"/>
              <w:rPr>
                <w:sz w:val="20"/>
                <w:szCs w:val="20"/>
                <w:color w:val="auto"/>
              </w:rPr>
            </w:pPr>
            <w:r>
              <w:rPr>
                <w:rFonts w:ascii="Arial" w:cs="Arial" w:eastAsia="Arial" w:hAnsi="Arial"/>
                <w:sz w:val="16"/>
                <w:szCs w:val="16"/>
                <w:color w:val="auto"/>
              </w:rPr>
              <w:t>Shareholder Proposal Regarding Separation of Chair and CEO Roles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4"/>
            <w:shd w:val="clear" w:color="auto" w:fill="D8D7D7"/>
          </w:tcPr>
          <w:p>
            <w:pPr>
              <w:jc w:val="center"/>
              <w:spacing w:after="0"/>
              <w:rPr>
                <w:sz w:val="20"/>
                <w:szCs w:val="20"/>
                <w:color w:val="auto"/>
              </w:rPr>
            </w:pPr>
            <w:r>
              <w:rPr>
                <w:rFonts w:ascii="Arial" w:cs="Arial" w:eastAsia="Arial" w:hAnsi="Arial"/>
                <w:sz w:val="16"/>
                <w:szCs w:val="16"/>
                <w:color w:val="auto"/>
                <w:highlight w:val="lightGray"/>
              </w:rPr>
              <w:t>The Board recommends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5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gridSpan w:val="2"/>
            <w:vMerge w:val="restart"/>
            <w:shd w:val="clear" w:color="auto" w:fill="D8D7D7"/>
          </w:tcPr>
          <w:p>
            <w:pPr>
              <w:spacing w:after="0" w:line="175" w:lineRule="exact"/>
              <w:rPr>
                <w:sz w:val="20"/>
                <w:szCs w:val="20"/>
                <w:color w:val="auto"/>
              </w:rPr>
            </w:pPr>
            <w:r>
              <w:rPr>
                <w:rFonts w:ascii="Arial" w:cs="Arial" w:eastAsia="Arial" w:hAnsi="Arial"/>
                <w:sz w:val="16"/>
                <w:szCs w:val="16"/>
                <w:color w:val="auto"/>
                <w:highlight w:val="lightGray"/>
                <w:w w:val="91"/>
              </w:rPr>
              <w:t>a vote</w:t>
            </w:r>
          </w:p>
        </w:tc>
        <w:tc>
          <w:tcPr>
            <w:tcW w:w="60" w:type="dxa"/>
            <w:vAlign w:val="bottom"/>
            <w:tcBorders>
              <w:right w:val="single" w:sz="8" w:color="D8D7D7"/>
            </w:tcBorders>
          </w:tcPr>
          <w:p>
            <w:pPr>
              <w:spacing w:after="0"/>
              <w:rPr>
                <w:sz w:val="7"/>
                <w:szCs w:val="7"/>
                <w:color w:val="auto"/>
              </w:rPr>
            </w:pPr>
          </w:p>
        </w:tc>
        <w:tc>
          <w:tcPr>
            <w:tcW w:w="720" w:type="dxa"/>
            <w:vAlign w:val="bottom"/>
            <w:vMerge w:val="restart"/>
            <w:shd w:val="clear" w:color="auto" w:fill="D8D7D7"/>
          </w:tcPr>
          <w:p>
            <w:pPr>
              <w:spacing w:after="0" w:line="175" w:lineRule="exact"/>
              <w:rPr>
                <w:sz w:val="20"/>
                <w:szCs w:val="20"/>
                <w:color w:val="auto"/>
              </w:rPr>
            </w:pPr>
            <w:r>
              <w:rPr>
                <w:rFonts w:ascii="Arial" w:cs="Arial" w:eastAsia="Arial" w:hAnsi="Arial"/>
                <w:sz w:val="16"/>
                <w:szCs w:val="16"/>
                <w:b w:val="1"/>
                <w:bCs w:val="1"/>
                <w:color w:val="auto"/>
                <w:highlight w:val="lightGray"/>
                <w:w w:val="97"/>
              </w:rPr>
              <w:t>AGAINST</w:t>
            </w:r>
          </w:p>
        </w:tc>
        <w:tc>
          <w:tcPr>
            <w:tcW w:w="960" w:type="dxa"/>
            <w:vAlign w:val="bottom"/>
            <w:gridSpan w:val="2"/>
            <w:vMerge w:val="restart"/>
            <w:shd w:val="clear" w:color="auto" w:fill="D8D7D7"/>
          </w:tcPr>
          <w:p>
            <w:pPr>
              <w:ind w:left="40"/>
              <w:spacing w:after="0" w:line="175" w:lineRule="exact"/>
              <w:rPr>
                <w:sz w:val="20"/>
                <w:szCs w:val="20"/>
                <w:color w:val="auto"/>
              </w:rPr>
            </w:pPr>
            <w:r>
              <w:rPr>
                <w:rFonts w:ascii="Arial" w:cs="Arial" w:eastAsia="Arial" w:hAnsi="Arial"/>
                <w:sz w:val="16"/>
                <w:szCs w:val="16"/>
                <w:color w:val="auto"/>
                <w:highlight w:val="lightGray"/>
                <w:w w:val="99"/>
              </w:rPr>
              <w:t>this proposal</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8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continue"/>
            <w:shd w:val="clear" w:color="auto" w:fill="D8D7D7"/>
          </w:tcPr>
          <w:p>
            <w:pPr>
              <w:spacing w:after="0"/>
              <w:rPr>
                <w:sz w:val="8"/>
                <w:szCs w:val="8"/>
                <w:color w:val="auto"/>
              </w:rPr>
            </w:pPr>
          </w:p>
        </w:tc>
        <w:tc>
          <w:tcPr>
            <w:tcW w:w="60" w:type="dxa"/>
            <w:vAlign w:val="bottom"/>
            <w:tcBorders>
              <w:right w:val="single" w:sz="8" w:color="D8D7D7"/>
            </w:tcBorders>
          </w:tcPr>
          <w:p>
            <w:pPr>
              <w:spacing w:after="0"/>
              <w:rPr>
                <w:sz w:val="8"/>
                <w:szCs w:val="8"/>
                <w:color w:val="auto"/>
              </w:rPr>
            </w:pPr>
          </w:p>
        </w:tc>
        <w:tc>
          <w:tcPr>
            <w:tcW w:w="720" w:type="dxa"/>
            <w:vAlign w:val="bottom"/>
            <w:vMerge w:val="continue"/>
            <w:shd w:val="clear" w:color="auto" w:fill="D8D7D7"/>
          </w:tcPr>
          <w:p>
            <w:pPr>
              <w:spacing w:after="0"/>
              <w:rPr>
                <w:sz w:val="8"/>
                <w:szCs w:val="8"/>
                <w:color w:val="auto"/>
              </w:rPr>
            </w:pPr>
          </w:p>
        </w:tc>
        <w:tc>
          <w:tcPr>
            <w:tcW w:w="960" w:type="dxa"/>
            <w:vAlign w:val="bottom"/>
            <w:gridSpan w:val="2"/>
            <w:vMerge w:val="continue"/>
            <w:shd w:val="clear" w:color="auto" w:fill="D8D7D7"/>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08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080" w:type="dxa"/>
            <w:vAlign w:val="bottom"/>
            <w:shd w:val="clear" w:color="auto" w:fill="75787A"/>
          </w:tcPr>
          <w:p>
            <w:pPr>
              <w:ind w:left="300"/>
              <w:spacing w:after="0"/>
              <w:rPr>
                <w:sz w:val="20"/>
                <w:szCs w:val="20"/>
                <w:color w:val="auto"/>
              </w:rPr>
            </w:pPr>
            <w:r>
              <w:rPr>
                <w:rFonts w:ascii="Arial" w:cs="Arial" w:eastAsia="Arial" w:hAnsi="Arial"/>
                <w:sz w:val="16"/>
                <w:szCs w:val="16"/>
                <w:color w:val="FFFFFF"/>
              </w:rPr>
              <w:t>ITEM 7</w:t>
            </w:r>
          </w:p>
        </w:tc>
        <w:tc>
          <w:tcPr>
            <w:tcW w:w="5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80" w:type="dxa"/>
            <w:vAlign w:val="bottom"/>
            <w:gridSpan w:val="7"/>
            <w:vMerge w:val="restart"/>
          </w:tcPr>
          <w:p>
            <w:pPr>
              <w:jc w:val="center"/>
              <w:ind w:right="240"/>
              <w:spacing w:after="0"/>
              <w:rPr>
                <w:sz w:val="20"/>
                <w:szCs w:val="20"/>
                <w:color w:val="auto"/>
              </w:rPr>
            </w:pPr>
            <w:r>
              <w:rPr>
                <w:rFonts w:ascii="Arial" w:cs="Arial" w:eastAsia="Arial" w:hAnsi="Arial"/>
                <w:sz w:val="16"/>
                <w:szCs w:val="16"/>
                <w:color w:val="auto"/>
              </w:rPr>
              <w:t>The Board recommends</w:t>
            </w:r>
          </w:p>
        </w:tc>
        <w:tc>
          <w:tcPr>
            <w:tcW w:w="0" w:type="dxa"/>
            <w:vAlign w:val="bottom"/>
          </w:tcPr>
          <w:p>
            <w:pPr>
              <w:spacing w:after="0"/>
              <w:rPr>
                <w:sz w:val="1"/>
                <w:szCs w:val="1"/>
                <w:color w:val="auto"/>
              </w:rPr>
            </w:pPr>
          </w:p>
        </w:tc>
      </w:tr>
      <w:tr>
        <w:trPr>
          <w:trHeight w:val="79"/>
        </w:trPr>
        <w:tc>
          <w:tcPr>
            <w:tcW w:w="6500" w:type="dxa"/>
            <w:vAlign w:val="bottom"/>
            <w:gridSpan w:val="2"/>
            <w:vMerge w:val="restart"/>
          </w:tcPr>
          <w:p>
            <w:pPr>
              <w:ind w:left="60"/>
              <w:spacing w:after="0"/>
              <w:rPr>
                <w:sz w:val="20"/>
                <w:szCs w:val="20"/>
                <w:color w:val="auto"/>
              </w:rPr>
            </w:pPr>
            <w:r>
              <w:rPr>
                <w:rFonts w:ascii="Arial" w:cs="Arial" w:eastAsia="Arial" w:hAnsi="Arial"/>
                <w:sz w:val="16"/>
                <w:szCs w:val="16"/>
                <w:color w:val="auto"/>
              </w:rPr>
              <w:t>Shareholder Proposal Requesting a Report on Human Rights Standards for Indigenous</w:t>
            </w:r>
          </w:p>
        </w:tc>
        <w:tc>
          <w:tcPr>
            <w:tcW w:w="200" w:type="dxa"/>
            <w:vAlign w:val="bottom"/>
          </w:tcPr>
          <w:p>
            <w:pPr>
              <w:spacing w:after="0"/>
              <w:rPr>
                <w:sz w:val="6"/>
                <w:szCs w:val="6"/>
                <w:color w:val="auto"/>
              </w:rPr>
            </w:pPr>
          </w:p>
        </w:tc>
        <w:tc>
          <w:tcPr>
            <w:tcW w:w="23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500" w:type="dxa"/>
            <w:vAlign w:val="bottom"/>
            <w:gridSpan w:val="2"/>
            <w:vMerge w:val="continue"/>
          </w:tcPr>
          <w:p>
            <w:pPr>
              <w:spacing w:after="0"/>
              <w:rPr>
                <w:sz w:val="14"/>
                <w:szCs w:val="14"/>
                <w:color w:val="auto"/>
              </w:rPr>
            </w:pPr>
          </w:p>
        </w:tc>
        <w:tc>
          <w:tcPr>
            <w:tcW w:w="2580" w:type="dxa"/>
            <w:vAlign w:val="bottom"/>
            <w:gridSpan w:val="8"/>
          </w:tcPr>
          <w:p>
            <w:pPr>
              <w:jc w:val="center"/>
              <w:ind w:right="40"/>
              <w:spacing w:after="0" w:line="164" w:lineRule="exact"/>
              <w:rPr>
                <w:sz w:val="20"/>
                <w:szCs w:val="20"/>
                <w:color w:val="auto"/>
              </w:rPr>
            </w:pPr>
            <w:r>
              <w:rPr>
                <w:rFonts w:ascii="Arial" w:cs="Arial" w:eastAsia="Arial" w:hAnsi="Arial"/>
                <w:sz w:val="16"/>
                <w:szCs w:val="16"/>
                <w:color w:val="auto"/>
              </w:rPr>
              <w:t xml:space="preserve">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w:t>
            </w:r>
          </w:p>
        </w:tc>
        <w:tc>
          <w:tcPr>
            <w:tcW w:w="0" w:type="dxa"/>
            <w:vAlign w:val="bottom"/>
          </w:tcPr>
          <w:p>
            <w:pPr>
              <w:spacing w:after="0"/>
              <w:rPr>
                <w:sz w:val="1"/>
                <w:szCs w:val="1"/>
                <w:color w:val="auto"/>
              </w:rPr>
            </w:pPr>
          </w:p>
        </w:tc>
      </w:tr>
      <w:tr>
        <w:trPr>
          <w:trHeight w:val="215"/>
        </w:trPr>
        <w:tc>
          <w:tcPr>
            <w:tcW w:w="6500" w:type="dxa"/>
            <w:vAlign w:val="bottom"/>
            <w:gridSpan w:val="2"/>
          </w:tcPr>
          <w:p>
            <w:pPr>
              <w:ind w:left="60"/>
              <w:spacing w:after="0"/>
              <w:rPr>
                <w:sz w:val="20"/>
                <w:szCs w:val="20"/>
                <w:color w:val="auto"/>
              </w:rPr>
            </w:pPr>
            <w:r>
              <w:rPr>
                <w:rFonts w:ascii="Arial" w:cs="Arial" w:eastAsia="Arial" w:hAnsi="Arial"/>
                <w:sz w:val="16"/>
                <w:szCs w:val="16"/>
                <w:color w:val="auto"/>
              </w:rPr>
              <w:t>Peoples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133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92</w:t>
      </w:r>
    </w:p>
    <w:p>
      <w:pPr>
        <w:sectPr>
          <w:pgSz w:w="11900" w:h="16838" w:orient="portrait"/>
          <w:cols w:equalWidth="0" w:num="1">
            <w:col w:w="9080"/>
          </w:cols>
          <w:pgMar w:left="1400" w:top="1339" w:right="1419" w:bottom="1440" w:gutter="0" w:footer="0" w:header="0"/>
          <w:type w:val="continuous"/>
        </w:sectPr>
      </w:pPr>
    </w:p>
    <w:bookmarkStart w:id="99" w:name="page100"/>
    <w:bookmarkEnd w:id="99"/>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280"/>
        <w:spacing w:after="0"/>
        <w:rPr>
          <w:sz w:val="20"/>
          <w:szCs w:val="20"/>
          <w:color w:val="auto"/>
        </w:rPr>
      </w:pPr>
      <w:r>
        <w:rPr>
          <w:rFonts w:ascii="Arial" w:cs="Arial" w:eastAsia="Arial" w:hAnsi="Arial"/>
          <w:sz w:val="22"/>
          <w:szCs w:val="22"/>
          <w:color w:val="FFFFFF"/>
        </w:rPr>
        <w:t>ITEM 6</w:t>
      </w:r>
    </w:p>
    <w:p>
      <w:pPr>
        <w:spacing w:after="0" w:line="334" w:lineRule="exact"/>
        <w:rPr>
          <w:sz w:val="20"/>
          <w:szCs w:val="20"/>
          <w:color w:val="auto"/>
        </w:rPr>
      </w:pPr>
    </w:p>
    <w:p>
      <w:pPr>
        <w:ind w:right="219"/>
        <w:spacing w:after="0" w:line="291" w:lineRule="auto"/>
        <w:rPr>
          <w:sz w:val="20"/>
          <w:szCs w:val="20"/>
          <w:color w:val="auto"/>
        </w:rPr>
      </w:pPr>
      <w:r>
        <w:rPr>
          <w:rFonts w:ascii="Arial" w:cs="Arial" w:eastAsia="Arial" w:hAnsi="Arial"/>
          <w:sz w:val="40"/>
          <w:szCs w:val="40"/>
          <w:b w:val="1"/>
          <w:bCs w:val="1"/>
          <w:color w:val="auto"/>
        </w:rPr>
        <w:t>Shareholder Proposal Regarding Separation of Chair and CEO Roles</w:t>
      </w:r>
    </w:p>
    <w:p>
      <w:pPr>
        <w:spacing w:after="0" w:line="79" w:lineRule="exact"/>
        <w:rPr>
          <w:sz w:val="20"/>
          <w:szCs w:val="20"/>
          <w:color w:val="auto"/>
        </w:rPr>
      </w:pPr>
    </w:p>
    <w:p>
      <w:pPr>
        <w:ind w:left="60" w:right="359"/>
        <w:spacing w:after="0" w:line="284" w:lineRule="auto"/>
        <w:rPr>
          <w:sz w:val="20"/>
          <w:szCs w:val="20"/>
          <w:color w:val="auto"/>
        </w:rPr>
      </w:pPr>
      <w:r>
        <w:rPr>
          <w:rFonts w:ascii="Arial" w:cs="Arial" w:eastAsia="Arial" w:hAnsi="Arial"/>
          <w:sz w:val="16"/>
          <w:szCs w:val="16"/>
          <w:color w:val="auto"/>
        </w:rPr>
        <w:t>The National Legal and Policy Center, 107 Park Washington Court, Falls Church, VA, 22046, owner of 100 shares of GM common stock, has given notice that it intends to present for action at the Annual Meeting the following shareholder proposal. The shareholder proponent is responsible for the content of the proposal.</w:t>
      </w:r>
    </w:p>
    <w:p>
      <w:pPr>
        <w:spacing w:after="0" w:line="238" w:lineRule="exact"/>
        <w:rPr>
          <w:sz w:val="20"/>
          <w:szCs w:val="20"/>
          <w:color w:val="auto"/>
        </w:rPr>
      </w:pPr>
    </w:p>
    <w:p>
      <w:pPr>
        <w:ind w:right="3899"/>
        <w:spacing w:after="0" w:line="318" w:lineRule="auto"/>
        <w:rPr>
          <w:sz w:val="20"/>
          <w:szCs w:val="20"/>
          <w:color w:val="auto"/>
        </w:rPr>
      </w:pPr>
      <w:r>
        <w:rPr>
          <w:rFonts w:ascii="Arial" w:cs="Arial" w:eastAsia="Arial" w:hAnsi="Arial"/>
          <w:sz w:val="16"/>
          <w:szCs w:val="16"/>
          <w:color w:val="auto"/>
        </w:rPr>
        <w:t xml:space="preserve">Request for Board of Directors to Adopt Policy for an Independent Chair </w:t>
      </w:r>
      <w:r>
        <w:rPr>
          <w:rFonts w:ascii="Arial" w:cs="Arial" w:eastAsia="Arial" w:hAnsi="Arial"/>
          <w:sz w:val="16"/>
          <w:szCs w:val="16"/>
          <w:b w:val="1"/>
          <w:bCs w:val="1"/>
          <w:color w:val="auto"/>
        </w:rPr>
        <w:t>RESOLVED:</w:t>
      </w:r>
    </w:p>
    <w:p>
      <w:pPr>
        <w:spacing w:after="0" w:line="1" w:lineRule="exact"/>
        <w:rPr>
          <w:sz w:val="20"/>
          <w:szCs w:val="20"/>
          <w:color w:val="auto"/>
        </w:rPr>
      </w:pPr>
    </w:p>
    <w:p>
      <w:pPr>
        <w:ind w:right="499"/>
        <w:spacing w:after="0" w:line="264" w:lineRule="auto"/>
        <w:rPr>
          <w:sz w:val="20"/>
          <w:szCs w:val="20"/>
          <w:color w:val="auto"/>
        </w:rPr>
      </w:pPr>
      <w:r>
        <w:rPr>
          <w:rFonts w:ascii="Arial" w:cs="Arial" w:eastAsia="Arial" w:hAnsi="Arial"/>
          <w:sz w:val="16"/>
          <w:szCs w:val="16"/>
          <w:color w:val="auto"/>
        </w:rPr>
        <w:t>Shareholders request the Board of Directors (“Board”) of General Motors Company (“Company”) to adopt as policy, and amend the governing documents as necessary, to require hereafter that that two separate people hold the office of Chairman of the Board (“Chair”) and the office of the Chief Executive Officer (“CEO”) as follows: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Selection of the Chair:</w:t>
      </w:r>
      <w:r>
        <w:rPr>
          <w:rFonts w:ascii="Arial" w:cs="Arial" w:eastAsia="Arial" w:hAnsi="Arial"/>
          <w:sz w:val="16"/>
          <w:szCs w:val="16"/>
          <w:color w:val="auto"/>
        </w:rPr>
        <w:t>The Board requires the separation of the offices of the Chair and the CEO.</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Whenever possible, the Chair shall be an Independent Director.</w:t>
      </w:r>
    </w:p>
    <w:p>
      <w:pPr>
        <w:spacing w:after="0" w:line="86" w:lineRule="exact"/>
        <w:rPr>
          <w:sz w:val="20"/>
          <w:szCs w:val="20"/>
          <w:color w:val="auto"/>
        </w:rPr>
      </w:pPr>
    </w:p>
    <w:p>
      <w:pPr>
        <w:ind w:right="1099"/>
        <w:spacing w:after="0" w:line="286" w:lineRule="auto"/>
        <w:rPr>
          <w:sz w:val="20"/>
          <w:szCs w:val="20"/>
          <w:color w:val="auto"/>
        </w:rPr>
      </w:pPr>
      <w:r>
        <w:rPr>
          <w:rFonts w:ascii="Arial" w:cs="Arial" w:eastAsia="Arial" w:hAnsi="Arial"/>
          <w:sz w:val="16"/>
          <w:szCs w:val="16"/>
          <w:color w:val="auto"/>
        </w:rPr>
        <w:t>The Board may select a temporary Chair who is not an Independent Director to serve while the Board seeks an Independent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Chair should not be a former CEO of the company.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Selection of the Chair shall be consistent with applicable law and existing contracts.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SUPPORTING STATEMENT:</w:t>
      </w:r>
    </w:p>
    <w:p>
      <w:pPr>
        <w:spacing w:after="0" w:line="18" w:lineRule="exact"/>
        <w:rPr>
          <w:sz w:val="20"/>
          <w:szCs w:val="20"/>
          <w:color w:val="auto"/>
        </w:rPr>
      </w:pPr>
    </w:p>
    <w:p>
      <w:pPr>
        <w:ind w:right="119"/>
        <w:spacing w:after="0" w:line="238" w:lineRule="auto"/>
        <w:rPr>
          <w:sz w:val="20"/>
          <w:szCs w:val="20"/>
          <w:color w:val="auto"/>
        </w:rPr>
      </w:pPr>
      <w:r>
        <w:rPr>
          <w:rFonts w:ascii="Arial" w:cs="Arial" w:eastAsia="Arial" w:hAnsi="Arial"/>
          <w:sz w:val="16"/>
          <w:szCs w:val="16"/>
          <w:color w:val="auto"/>
        </w:rPr>
        <w:t xml:space="preserve">The CEO of the Company is also Board Chair.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The roles of CEO and Chair — each with separate, different responsibilities that are critical to the health of a successful corporation — are greatly diminished when held by a singular company official, weakening its governance structure.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Expert perspectives substantiate our position:</w:t>
      </w:r>
    </w:p>
    <w:p>
      <w:pPr>
        <w:spacing w:after="0" w:line="154" w:lineRule="exact"/>
        <w:rPr>
          <w:sz w:val="20"/>
          <w:szCs w:val="20"/>
          <w:color w:val="auto"/>
        </w:rPr>
      </w:pPr>
    </w:p>
    <w:p>
      <w:pPr>
        <w:ind w:left="340" w:right="259" w:hanging="202"/>
        <w:spacing w:after="0" w:line="255" w:lineRule="auto"/>
        <w:tabs>
          <w:tab w:leader="none" w:pos="340" w:val="left"/>
        </w:tabs>
        <w:numPr>
          <w:ilvl w:val="0"/>
          <w:numId w:val="112"/>
        </w:numPr>
        <w:rPr>
          <w:rFonts w:ascii="Arial" w:cs="Arial" w:eastAsia="Arial" w:hAnsi="Arial"/>
          <w:sz w:val="14"/>
          <w:szCs w:val="14"/>
          <w:color w:val="0956FF"/>
        </w:rPr>
      </w:pPr>
      <w:r>
        <w:rPr>
          <w:rFonts w:ascii="Arial" w:cs="Arial" w:eastAsia="Arial" w:hAnsi="Arial"/>
          <w:sz w:val="16"/>
          <w:szCs w:val="16"/>
          <w:color w:val="auto"/>
        </w:rPr>
        <w:t>According to the 2024 Spencer Stuart Board Index survey, 60 percent of S&amp;P 500 companies had separate CEOs and Board Chairs as of 2024, up from 47 percent in 2014. Meanwhile, 39% of companies had an independent chair as of 2024, up from 28% in 2014 .</w:t>
      </w:r>
      <w:r>
        <w:rPr>
          <w:rFonts w:ascii="Arial" w:cs="Arial" w:eastAsia="Arial" w:hAnsi="Arial"/>
          <w:sz w:val="21"/>
          <w:szCs w:val="21"/>
          <w:color w:val="auto"/>
          <w:vertAlign w:val="superscript"/>
        </w:rPr>
        <w:t>(2)</w:t>
      </w:r>
    </w:p>
    <w:p>
      <w:pPr>
        <w:spacing w:after="0" w:line="3" w:lineRule="exact"/>
        <w:rPr>
          <w:sz w:val="20"/>
          <w:szCs w:val="20"/>
          <w:color w:val="auto"/>
        </w:rPr>
      </w:pPr>
    </w:p>
    <w:p>
      <w:pPr>
        <w:jc w:val="both"/>
        <w:ind w:left="340" w:right="59" w:hanging="199"/>
        <w:spacing w:after="0" w:line="250" w:lineRule="auto"/>
        <w:tabs>
          <w:tab w:leader="none" w:pos="320" w:val="left"/>
        </w:tabs>
        <w:rPr>
          <w:sz w:val="20"/>
          <w:szCs w:val="20"/>
          <w:color w:val="auto"/>
        </w:rPr>
      </w:pPr>
      <w:r>
        <w:rPr>
          <w:rFonts w:ascii="Arial" w:cs="Arial" w:eastAsia="Arial" w:hAnsi="Arial"/>
          <w:sz w:val="14"/>
          <w:szCs w:val="14"/>
          <w:color w:val="0956FF"/>
        </w:rPr>
        <w:t>•</w:t>
      </w:r>
      <w:r>
        <w:rPr>
          <w:sz w:val="20"/>
          <w:szCs w:val="20"/>
          <w:color w:val="auto"/>
        </w:rPr>
        <w:tab/>
      </w:r>
      <w:r>
        <w:rPr>
          <w:rFonts w:ascii="Arial" w:cs="Arial" w:eastAsia="Arial" w:hAnsi="Arial"/>
          <w:sz w:val="16"/>
          <w:szCs w:val="16"/>
          <w:color w:val="auto"/>
        </w:rPr>
        <w:t xml:space="preserve">Proxy adviser Institutional Shareholder Services contends that “the chair of the board should ideally be an independent director, ” and generally encourages investors to vote for “shareholder proposals requiring that the board chair position be filled by an independent director. ” </w:t>
      </w:r>
      <w:r>
        <w:rPr>
          <w:rFonts w:ascii="Arial" w:cs="Arial" w:eastAsia="Arial" w:hAnsi="Arial"/>
          <w:sz w:val="21"/>
          <w:szCs w:val="21"/>
          <w:color w:val="auto"/>
          <w:vertAlign w:val="superscript"/>
        </w:rPr>
        <w:t>(3)</w:t>
      </w:r>
    </w:p>
    <w:p>
      <w:pPr>
        <w:ind w:left="340" w:hanging="202"/>
        <w:spacing w:after="0"/>
        <w:tabs>
          <w:tab w:leader="none" w:pos="340" w:val="left"/>
        </w:tabs>
        <w:numPr>
          <w:ilvl w:val="0"/>
          <w:numId w:val="113"/>
        </w:numPr>
        <w:rPr>
          <w:rFonts w:ascii="Arial" w:cs="Arial" w:eastAsia="Arial" w:hAnsi="Arial"/>
          <w:sz w:val="14"/>
          <w:szCs w:val="14"/>
          <w:color w:val="0956FF"/>
        </w:rPr>
      </w:pPr>
      <w:r>
        <w:rPr>
          <w:rFonts w:ascii="Arial" w:cs="Arial" w:eastAsia="Arial" w:hAnsi="Arial"/>
          <w:sz w:val="16"/>
          <w:szCs w:val="16"/>
          <w:color w:val="auto"/>
        </w:rPr>
        <w:t>Proxy adviser Glass Lewis wrote in 2024,   “it can become difficult for a board to fulfill its role of overseer and policy</w:t>
      </w:r>
    </w:p>
    <w:p>
      <w:pPr>
        <w:spacing w:after="0" w:line="15" w:lineRule="exact"/>
        <w:rPr>
          <w:sz w:val="20"/>
          <w:szCs w:val="20"/>
          <w:color w:val="auto"/>
        </w:rPr>
      </w:pPr>
    </w:p>
    <w:p>
      <w:pPr>
        <w:jc w:val="both"/>
        <w:ind w:left="340" w:right="239"/>
        <w:spacing w:after="0" w:line="251" w:lineRule="auto"/>
        <w:rPr>
          <w:sz w:val="20"/>
          <w:szCs w:val="20"/>
          <w:color w:val="auto"/>
        </w:rPr>
      </w:pPr>
      <w:r>
        <w:rPr>
          <w:rFonts w:ascii="Arial" w:cs="Arial" w:eastAsia="Arial" w:hAnsi="Arial"/>
          <w:sz w:val="16"/>
          <w:szCs w:val="16"/>
          <w:color w:val="auto"/>
        </w:rPr>
        <w:t xml:space="preserve">setter when a CEO/chair controls the agenda and the boardroom discussion. Such control can allow a CEO to have an entrenched position, leading to longer-than-optimal terms, fewer checks on management, less scrutiny of the business operation, and limitations on independent, shareholder-focused goal-setting by the board. ” </w:t>
      </w:r>
      <w:r>
        <w:rPr>
          <w:rFonts w:ascii="Arial" w:cs="Arial" w:eastAsia="Arial" w:hAnsi="Arial"/>
          <w:sz w:val="21"/>
          <w:szCs w:val="21"/>
          <w:color w:val="auto"/>
          <w:vertAlign w:val="superscript"/>
        </w:rPr>
        <w:t>(4)</w:t>
      </w:r>
    </w:p>
    <w:p>
      <w:pPr>
        <w:spacing w:after="0" w:line="1" w:lineRule="exact"/>
        <w:rPr>
          <w:sz w:val="20"/>
          <w:szCs w:val="20"/>
          <w:color w:val="auto"/>
        </w:rPr>
      </w:pPr>
    </w:p>
    <w:p>
      <w:pPr>
        <w:ind w:left="340" w:right="159" w:hanging="199"/>
        <w:spacing w:after="0" w:line="249" w:lineRule="auto"/>
        <w:tabs>
          <w:tab w:leader="none" w:pos="320" w:val="left"/>
        </w:tabs>
        <w:rPr>
          <w:sz w:val="20"/>
          <w:szCs w:val="20"/>
          <w:color w:val="auto"/>
        </w:rPr>
      </w:pPr>
      <w:r>
        <w:rPr>
          <w:rFonts w:ascii="Arial" w:cs="Arial" w:eastAsia="Arial" w:hAnsi="Arial"/>
          <w:sz w:val="14"/>
          <w:szCs w:val="14"/>
          <w:color w:val="0956FF"/>
        </w:rPr>
        <w:t>•</w:t>
      </w:r>
      <w:r>
        <w:rPr>
          <w:sz w:val="20"/>
          <w:szCs w:val="20"/>
          <w:color w:val="auto"/>
        </w:rPr>
        <w:tab/>
      </w:r>
      <w:r>
        <w:rPr>
          <w:rFonts w:ascii="Arial" w:cs="Arial" w:eastAsia="Arial" w:hAnsi="Arial"/>
          <w:sz w:val="16"/>
          <w:szCs w:val="16"/>
          <w:color w:val="auto"/>
        </w:rPr>
        <w:t xml:space="preserve">According to the CFA Institute Research and Policy Center, “Combining [Chair and CEO] positions may give undue influence to executive board members and impair the ability and willingness of board members to exercise their independent judgment ... Many jurisdictions consider the separation of the chair and CEO positions a best practice because it ensures that the board agenda is set by an independent voice uninfluenced by the CEO.” </w:t>
      </w:r>
      <w:r>
        <w:rPr>
          <w:rFonts w:ascii="Arial" w:cs="Arial" w:eastAsia="Arial" w:hAnsi="Arial"/>
          <w:sz w:val="21"/>
          <w:szCs w:val="21"/>
          <w:color w:val="auto"/>
          <w:vertAlign w:val="superscript"/>
        </w:rPr>
        <w:t>(5)</w:t>
      </w:r>
    </w:p>
    <w:p>
      <w:pPr>
        <w:spacing w:after="0" w:line="1" w:lineRule="exact"/>
        <w:rPr>
          <w:sz w:val="20"/>
          <w:szCs w:val="20"/>
          <w:color w:val="auto"/>
        </w:rPr>
      </w:pPr>
    </w:p>
    <w:p>
      <w:pPr>
        <w:ind w:left="340" w:right="179" w:hanging="199"/>
        <w:spacing w:after="0" w:line="247" w:lineRule="auto"/>
        <w:tabs>
          <w:tab w:leader="none" w:pos="320" w:val="left"/>
        </w:tabs>
        <w:rPr>
          <w:sz w:val="20"/>
          <w:szCs w:val="20"/>
          <w:color w:val="auto"/>
        </w:rPr>
      </w:pPr>
      <w:r>
        <w:rPr>
          <w:rFonts w:ascii="Arial" w:cs="Arial" w:eastAsia="Arial" w:hAnsi="Arial"/>
          <w:sz w:val="14"/>
          <w:szCs w:val="14"/>
          <w:color w:val="0956FF"/>
        </w:rPr>
        <w:t>•</w:t>
      </w:r>
      <w:r>
        <w:rPr>
          <w:sz w:val="20"/>
          <w:szCs w:val="20"/>
          <w:color w:val="auto"/>
        </w:rPr>
        <w:tab/>
      </w:r>
      <w:r>
        <w:rPr>
          <w:rFonts w:ascii="Arial" w:cs="Arial" w:eastAsia="Arial" w:hAnsi="Arial"/>
          <w:sz w:val="16"/>
          <w:szCs w:val="16"/>
          <w:color w:val="auto"/>
        </w:rPr>
        <w:t xml:space="preserve">Search firm Calibre One argues that “governance best practices increasingly recommend separating the roles of CEO from the Chair of the Board, especially in times of leadership transition or strategic inflection ... When one executive holds both titles, it can lead to ambiguity in oversight responsibilities. By contrast, separating the roles introduces a clearer distinction. ” </w:t>
      </w:r>
      <w:r>
        <w:rPr>
          <w:rFonts w:ascii="Arial" w:cs="Arial" w:eastAsia="Arial" w:hAnsi="Arial"/>
          <w:sz w:val="21"/>
          <w:szCs w:val="21"/>
          <w:color w:val="auto"/>
          <w:vertAlign w:val="superscript"/>
        </w:rPr>
        <w:t>(6)</w:t>
      </w:r>
    </w:p>
    <w:p>
      <w:pPr>
        <w:ind w:left="200" w:hanging="192"/>
        <w:spacing w:after="0" w:line="219" w:lineRule="auto"/>
        <w:tabs>
          <w:tab w:leader="none" w:pos="20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https://www.gm.com/company/leadership.detail.html/Pages/bios/global/en/corporate-officers/Mary-Barra</w:t>
      </w:r>
    </w:p>
    <w:p>
      <w:pPr>
        <w:spacing w:after="0" w:line="12" w:lineRule="exact"/>
        <w:rPr>
          <w:rFonts w:ascii="Arial" w:cs="Arial" w:eastAsia="Arial" w:hAnsi="Arial"/>
          <w:sz w:val="19"/>
          <w:szCs w:val="19"/>
          <w:color w:val="auto"/>
          <w:vertAlign w:val="superscript"/>
        </w:rPr>
      </w:pPr>
    </w:p>
    <w:p>
      <w:pPr>
        <w:ind w:left="200" w:hanging="192"/>
        <w:spacing w:after="0" w:line="192" w:lineRule="auto"/>
        <w:tabs>
          <w:tab w:leader="none" w:pos="20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https://www.spencerstuart.com/-/media/2024/09/ssbi2024/2024_us_spencer_stuart_board_index.pdf</w:t>
      </w:r>
    </w:p>
    <w:p>
      <w:pPr>
        <w:ind w:left="200" w:hanging="192"/>
        <w:spacing w:after="0" w:line="192" w:lineRule="auto"/>
        <w:tabs>
          <w:tab w:leader="none" w:pos="20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https://www.issgovernance.com/file/policy/active/americas/US-Voting-Guidelines.pdf</w:t>
      </w:r>
    </w:p>
    <w:p>
      <w:pPr>
        <w:ind w:left="200" w:hanging="192"/>
        <w:spacing w:after="0" w:line="192" w:lineRule="auto"/>
        <w:tabs>
          <w:tab w:leader="none" w:pos="20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https://resources.glasslewis.com/hubfs/2024%20Guidelines/2024%20US%20Benchmark%20Policy%20Guidelines.pdf</w:t>
      </w:r>
    </w:p>
    <w:p>
      <w:pPr>
        <w:ind w:left="200" w:hanging="192"/>
        <w:spacing w:after="0" w:line="187" w:lineRule="auto"/>
        <w:tabs>
          <w:tab w:leader="none" w:pos="200" w:val="left"/>
        </w:tabs>
        <w:numPr>
          <w:ilvl w:val="0"/>
          <w:numId w:val="114"/>
        </w:numPr>
        <w:rPr>
          <w:rFonts w:ascii="Arial" w:cs="Arial" w:eastAsia="Arial" w:hAnsi="Arial"/>
          <w:sz w:val="18"/>
          <w:szCs w:val="18"/>
          <w:color w:val="auto"/>
          <w:vertAlign w:val="superscript"/>
        </w:rPr>
      </w:pPr>
      <w:r>
        <w:rPr>
          <w:rFonts w:ascii="Arial" w:cs="Arial" w:eastAsia="Arial" w:hAnsi="Arial"/>
          <w:sz w:val="14"/>
          <w:szCs w:val="14"/>
          <w:color w:val="auto"/>
        </w:rPr>
        <w:t>https://rpc.cfainstitute.org/-/media/documents/article/position-paper/corporate-governance-of-listed-companies-3rd-edition.pdf</w:t>
      </w:r>
    </w:p>
    <w:p>
      <w:pPr>
        <w:ind w:left="200" w:hanging="192"/>
        <w:spacing w:after="0" w:line="193" w:lineRule="auto"/>
        <w:tabs>
          <w:tab w:leader="none" w:pos="20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https://www.calibreone.com/a-thoughtful-look-at-ceo-chair-separation-what-boards-should-consider-in-2025/</w:t>
      </w:r>
    </w:p>
    <w:p>
      <w:pPr>
        <w:sectPr>
          <w:pgSz w:w="11900" w:h="16838" w:orient="portrait"/>
          <w:cols w:equalWidth="0" w:num="1">
            <w:col w:w="9059"/>
          </w:cols>
          <w:pgMar w:left="1400" w:top="1440"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93</w:t>
      </w:r>
    </w:p>
    <w:p>
      <w:pPr>
        <w:sectPr>
          <w:pgSz w:w="11900" w:h="16838" w:orient="portrait"/>
          <w:cols w:equalWidth="0" w:num="1">
            <w:col w:w="9059"/>
          </w:cols>
          <w:pgMar w:left="1400" w:top="1440" w:right="1440"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6  </w:t>
      </w:r>
      <w:r>
        <w:rPr>
          <w:rFonts w:ascii="Arial" w:cs="Arial" w:eastAsia="Arial" w:hAnsi="Arial"/>
          <w:sz w:val="14"/>
          <w:szCs w:val="14"/>
          <w:b w:val="1"/>
          <w:bCs w:val="1"/>
          <w:color w:val="000000"/>
        </w:rPr>
        <w:t>Shareholder Proposal Regarding Separation of Chair and CEO Roles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Board Response</w:t>
      </w:r>
    </w:p>
    <w:p>
      <w:pPr>
        <w:spacing w:after="0" w:line="196"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b w:val="1"/>
          <w:bCs w:val="1"/>
          <w:i w:val="1"/>
          <w:iCs w:val="1"/>
          <w:color w:val="auto"/>
        </w:rPr>
        <w:t>The Board is in the best position to determine who should serve as Chair and should have the flexibility to make that determination.</w:t>
      </w:r>
    </w:p>
    <w:p>
      <w:pPr>
        <w:spacing w:after="0" w:line="7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Board carefully considers the appropriate leadership structure for GM and its shareholders on an annual basis and has the flexibility to determine whether to combine or separate the roles of Chair and CEO. This flexibility allows the Board to choose the optimal leadership structure for the Company at any given time in consideration of our business needs, which is critical in our competitive and dynamic industry. Our directors have diverse backgrounds, experiences, and perspectives, and it is this collective expertise that uniquely positions our Board to assess how GM should respond to key challenges, including by selecting the most appropriate board leadership structure. This proposal would remove the ability of our Board, which is comprised of directors whom shareholders have elected and thereby entrusted with oversight of the Company, to apply its judgment on the important topic of Board leadership structure.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single leadership model is appropriate in all circumstances.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The Board recognizes that no single leadership model is appropriate in all circumstances and has determined in the past that separating the roles of Chair and CEO would best serve shareholders. Further, the Board already has the flexibility to select a temporary chair, which is a key part of the proposal’s request, and retains the ability to separate the roles in the future. The Board believes that a combined role is in the best interests of shareholders at this time.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Board believes that Mary Barra’s service as Chair and CEO provides a clear and unified strategic vision for GM.</w:t>
      </w:r>
    </w:p>
    <w:p>
      <w:pPr>
        <w:spacing w:after="0" w:line="15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Under Ms. Barra’s leadership, General Motors has delivered strategic clarity and record financial performance during a time of challenging operating circumstances, macroeconomic uncertainties, and shifting consumer demand. Ms. Barra ’s unified leadership has positioned the Company for long-term growth while maintaining a sharp focus on shareholder value. The Board believes that Ms. Barra’s in-depth knowledge of GM’s business and vision for the future bring unified, strategic leadership to the Board during an important inflection point in the Company’s history.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strong Independent Lead Director.</w:t>
      </w:r>
    </w:p>
    <w:p>
      <w:pPr>
        <w:spacing w:after="0" w:line="165"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GM’s Bylaws require that if the Chair is not independent, the independent members of the Board shall designate an Independent Lead Director, who is elected annually by the independent directors when in place. Our Independent Lead Director provides an independent leadership and oversight on behalf of shareholders with a focus on strategic risk management, compliance, governance, and CEO succession planning. The specific duties of the Independent Lead Director, discussed further on page 18 of this Proxy Statement, are significant and include approving meeting agendas, advising on information flow between management and the Board, providing leadership whenever the Chair may have a conflict of interest, holding executive sessions of non-management directors, and leading non-management directors in the annual evaluation of the CEO’s performance and communicating that evaluation to the CEO.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GM’s other strong corporate governance practices reinforce Board independence and management accountability.</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Board maintains numerous governance best practices that reinforce management accountability and provide meaningful independent oversight, including the annual election of directors; annual self-assessment to determine whether the Board has the proper mix of experience, leadership, and skills; executive sessions without management at most Board and Committee meetings; and unrestricted access by directors to management and independent, outside advisors. Further, all members of the Board other than Ms. Barra are independent, and all standing committees of the Board other than the Executive Committee consist entirely of independent directors. The independence of our Board and Committees works in concert with our strong corporate governance framework to ensure meaningful independent oversight and management accountability. A more complete review of our governance policies and practices can be found beginning on page 47 of this Proxy Statement.</w:t>
      </w:r>
    </w:p>
    <w:p>
      <w:pPr>
        <w:spacing w:after="0" w:line="200" w:lineRule="exact"/>
        <w:rPr>
          <w:sz w:val="20"/>
          <w:szCs w:val="20"/>
          <w:color w:val="auto"/>
        </w:rPr>
      </w:pPr>
    </w:p>
    <w:p>
      <w:pPr>
        <w:spacing w:after="0" w:line="287" w:lineRule="exact"/>
        <w:rPr>
          <w:sz w:val="20"/>
          <w:szCs w:val="20"/>
          <w:color w:val="auto"/>
        </w:rPr>
      </w:pPr>
    </w:p>
    <w:p>
      <w:pPr>
        <w:ind w:left="680"/>
        <w:spacing w:after="0"/>
        <w:rPr>
          <w:sz w:val="20"/>
          <w:szCs w:val="20"/>
          <w:color w:val="auto"/>
        </w:rPr>
      </w:pPr>
      <w:r>
        <w:rPr>
          <w:rFonts w:ascii="Arial" w:cs="Arial" w:eastAsia="Arial" w:hAnsi="Arial"/>
          <w:sz w:val="20"/>
          <w:szCs w:val="20"/>
          <w:color w:val="auto"/>
        </w:rPr>
        <w:t xml:space="preserve">Therefore, the Board of Directors recommends a vote </w:t>
      </w:r>
      <w:r>
        <w:rPr>
          <w:rFonts w:ascii="Arial" w:cs="Arial" w:eastAsia="Arial" w:hAnsi="Arial"/>
          <w:sz w:val="20"/>
          <w:szCs w:val="20"/>
          <w:b w:val="1"/>
          <w:bCs w:val="1"/>
          <w:color w:val="auto"/>
        </w:rPr>
        <w:t>AGAINST</w:t>
      </w:r>
      <w:r>
        <w:rPr>
          <w:rFonts w:ascii="Arial" w:cs="Arial" w:eastAsia="Arial" w:hAnsi="Arial"/>
          <w:sz w:val="20"/>
          <w:szCs w:val="20"/>
          <w:color w:val="auto"/>
        </w:rPr>
        <w:t xml:space="preserve"> this shareholder proposal.</w:t>
      </w:r>
    </w:p>
    <w:p>
      <w:pPr>
        <w:sectPr>
          <w:pgSz w:w="11900" w:h="16838" w:orient="portrait"/>
          <w:cols w:equalWidth="0" w:num="1">
            <w:col w:w="9060"/>
          </w:cols>
          <w:pgMar w:left="1400" w:top="65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94</w:t>
      </w:r>
    </w:p>
    <w:p>
      <w:pPr>
        <w:sectPr>
          <w:pgSz w:w="11900" w:h="16838" w:orient="portrait"/>
          <w:cols w:equalWidth="0" w:num="1">
            <w:col w:w="9060"/>
          </w:cols>
          <w:pgMar w:left="1400" w:top="657" w:right="1439" w:bottom="1440" w:gutter="0" w:footer="0" w:header="0"/>
          <w:type w:val="continuous"/>
        </w:sectPr>
      </w:pPr>
    </w:p>
    <w:bookmarkStart w:id="101" w:name="page102"/>
    <w:bookmarkEnd w:id="101"/>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280"/>
        <w:spacing w:after="0"/>
        <w:rPr>
          <w:sz w:val="20"/>
          <w:szCs w:val="20"/>
          <w:color w:val="auto"/>
        </w:rPr>
      </w:pPr>
      <w:r>
        <w:rPr>
          <w:rFonts w:ascii="Arial" w:cs="Arial" w:eastAsia="Arial" w:hAnsi="Arial"/>
          <w:sz w:val="22"/>
          <w:szCs w:val="22"/>
          <w:color w:val="FFFFFF"/>
        </w:rPr>
        <w:t>ITEM 7</w:t>
      </w:r>
    </w:p>
    <w:p>
      <w:pPr>
        <w:spacing w:after="0" w:line="334" w:lineRule="exact"/>
        <w:rPr>
          <w:sz w:val="20"/>
          <w:szCs w:val="20"/>
          <w:color w:val="auto"/>
        </w:rPr>
      </w:pPr>
    </w:p>
    <w:p>
      <w:pPr>
        <w:ind w:left="40"/>
        <w:spacing w:after="0" w:line="305" w:lineRule="auto"/>
        <w:rPr>
          <w:sz w:val="20"/>
          <w:szCs w:val="20"/>
          <w:color w:val="auto"/>
        </w:rPr>
      </w:pPr>
      <w:r>
        <w:rPr>
          <w:rFonts w:ascii="Arial" w:cs="Arial" w:eastAsia="Arial" w:hAnsi="Arial"/>
          <w:sz w:val="39"/>
          <w:szCs w:val="39"/>
          <w:b w:val="1"/>
          <w:bCs w:val="1"/>
          <w:color w:val="auto"/>
        </w:rPr>
        <w:t>Shareholder Proposal Requesting a Report on Human Rights Standards for Indigenous Peoples</w:t>
      </w:r>
    </w:p>
    <w:p>
      <w:pPr>
        <w:spacing w:after="0" w:line="27" w:lineRule="exact"/>
        <w:rPr>
          <w:sz w:val="20"/>
          <w:szCs w:val="20"/>
          <w:color w:val="auto"/>
        </w:rPr>
      </w:pPr>
    </w:p>
    <w:p>
      <w:pPr>
        <w:ind w:left="60" w:right="360"/>
        <w:spacing w:after="0" w:line="301" w:lineRule="auto"/>
        <w:rPr>
          <w:sz w:val="20"/>
          <w:szCs w:val="20"/>
          <w:color w:val="auto"/>
        </w:rPr>
      </w:pPr>
      <w:r>
        <w:rPr>
          <w:rFonts w:ascii="Arial" w:cs="Arial" w:eastAsia="Arial" w:hAnsi="Arial"/>
          <w:sz w:val="16"/>
          <w:szCs w:val="16"/>
          <w:color w:val="auto"/>
        </w:rPr>
        <w:t>The Sisters of St. Joseph of Peace, 399 Hudson Terrace, Englewood Cliffs, NJ 07632, owners of at least $25,000 shares of GM common stock, have given notice that they intend to present for action at the Annual Meeting the following shareholder proposal. The shareholder proponent is responsible for the content of the proposal.</w:t>
      </w:r>
    </w:p>
    <w:p>
      <w:pPr>
        <w:spacing w:after="0" w:line="226"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request the Board of Directors publish a report, at reasonable cost and omitting proprietary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outlining the effectiveness of General Motors’ (GM) policies, practices, and performance indicators in respecting internationally recognized human rights standards for Indigenous Peoples’ (IPs’) rights, as reflected in the United Nations Declaration on the Rights of Indigenous Peoples (UN DRIP) and International Labour Organization Convention 169 (ILO169), in its operations and supply chain.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UN DRIP and ILO169 are internationally recognized human rights standards affirming the rights to Free, Prior, and</w:t>
      </w:r>
    </w:p>
    <w:p>
      <w:pPr>
        <w:spacing w:after="0" w:line="32" w:lineRule="exact"/>
        <w:rPr>
          <w:sz w:val="20"/>
          <w:szCs w:val="20"/>
          <w:color w:val="auto"/>
        </w:rPr>
      </w:pPr>
    </w:p>
    <w:p>
      <w:pPr>
        <w:ind w:right="400"/>
        <w:spacing w:after="0" w:line="245" w:lineRule="auto"/>
        <w:rPr>
          <w:sz w:val="20"/>
          <w:szCs w:val="20"/>
          <w:color w:val="auto"/>
        </w:rPr>
      </w:pPr>
      <w:r>
        <w:rPr>
          <w:rFonts w:ascii="Arial" w:cs="Arial" w:eastAsia="Arial" w:hAnsi="Arial"/>
          <w:sz w:val="16"/>
          <w:szCs w:val="16"/>
          <w:color w:val="auto"/>
        </w:rPr>
        <w:t xml:space="preserve">Informed Consent (FPIC) and protecting IPs’ lands, territories, resources, and cultures.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Failure to uphold these rights exposes GM to material risks, including project delays, litigation, and loss of public trust. </w:t>
      </w:r>
      <w:r>
        <w:rPr>
          <w:rFonts w:ascii="Arial" w:cs="Arial" w:eastAsia="Arial" w:hAnsi="Arial"/>
          <w:sz w:val="21"/>
          <w:szCs w:val="21"/>
          <w:color w:val="auto"/>
          <w:vertAlign w:val="superscript"/>
        </w:rPr>
        <w:t>(2)</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GM’s ambitious electric vehicle goals require a significant amount of transition minerals. Studies show a significant</w:t>
      </w:r>
    </w:p>
    <w:p>
      <w:pPr>
        <w:spacing w:after="0" w:line="31"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 xml:space="preserve">proportion of transition minerals are located on or near IPs’ lands or territories, </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highlighting increased exposure to IPs’ rights risks. IPs’ rights organizations and networks emphasize the necessity of centering IPs’ participation and securing FPIC in project development and implementation stages of green energy transition projects, to avoid “perpetuat[ing] the same harms and rights violations as fossil fuel resource development.” </w:t>
      </w:r>
      <w:r>
        <w:rPr>
          <w:rFonts w:ascii="Arial" w:cs="Arial" w:eastAsia="Arial" w:hAnsi="Arial"/>
          <w:sz w:val="21"/>
          <w:szCs w:val="21"/>
          <w:color w:val="auto"/>
          <w:vertAlign w:val="superscript"/>
        </w:rPr>
        <w:t>(4)</w:t>
      </w:r>
    </w:p>
    <w:p>
      <w:pPr>
        <w:spacing w:after="0" w:line="68" w:lineRule="exact"/>
        <w:rPr>
          <w:sz w:val="20"/>
          <w:szCs w:val="20"/>
          <w:color w:val="auto"/>
        </w:rPr>
      </w:pPr>
    </w:p>
    <w:p>
      <w:pPr>
        <w:ind w:right="240"/>
        <w:spacing w:after="0" w:line="263" w:lineRule="auto"/>
        <w:rPr>
          <w:sz w:val="20"/>
          <w:szCs w:val="20"/>
          <w:color w:val="auto"/>
        </w:rPr>
      </w:pPr>
      <w:r>
        <w:rPr>
          <w:rFonts w:ascii="Arial" w:cs="Arial" w:eastAsia="Arial" w:hAnsi="Arial"/>
          <w:sz w:val="16"/>
          <w:szCs w:val="16"/>
          <w:color w:val="auto"/>
        </w:rPr>
        <w:t xml:space="preserve">GM states it respects IPs’ rights and requires its suppliers to do so. </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However, it neither explains its processes for assessing IPs’ rights risk, nor reports on their effectiveness. The Lead the Charge scorecard awarded GM only 11/100 on respect for IPs’ rights.</w:t>
      </w:r>
      <w:r>
        <w:rPr>
          <w:rFonts w:ascii="Arial" w:cs="Arial" w:eastAsia="Arial" w:hAnsi="Arial"/>
          <w:sz w:val="21"/>
          <w:szCs w:val="21"/>
          <w:color w:val="auto"/>
          <w:vertAlign w:val="superscript"/>
        </w:rPr>
        <w:t>(6)</w:t>
      </w:r>
      <w:r>
        <w:rPr>
          <w:rFonts w:ascii="Arial" w:cs="Arial" w:eastAsia="Arial" w:hAnsi="Arial"/>
          <w:sz w:val="16"/>
          <w:szCs w:val="16"/>
          <w:color w:val="auto"/>
        </w:rPr>
        <w:t xml:space="preserve"> Recent allegations of IPs’ rights violations suggest GM’s IPs’ risk management processes are ineffective.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80" w:type="dxa"/>
            <w:vAlign w:val="bottom"/>
          </w:tcPr>
          <w:p>
            <w:pPr>
              <w:spacing w:after="0"/>
              <w:rPr>
                <w:sz w:val="20"/>
                <w:szCs w:val="20"/>
                <w:color w:val="auto"/>
              </w:rPr>
            </w:pPr>
            <w:r>
              <w:rPr>
                <w:rFonts w:ascii="Arial" w:cs="Arial" w:eastAsia="Arial" w:hAnsi="Arial"/>
                <w:sz w:val="16"/>
                <w:szCs w:val="16"/>
                <w:color w:val="auto"/>
              </w:rPr>
              <w:t>For example, GM established a joint venture, through which it will invest $625 million, to construct and operate a lithium</w:t>
            </w:r>
          </w:p>
        </w:tc>
        <w:tc>
          <w:tcPr>
            <w:tcW w:w="300" w:type="dxa"/>
            <w:vAlign w:val="bottom"/>
          </w:tcPr>
          <w:p>
            <w:pPr>
              <w:spacing w:after="0"/>
              <w:rPr>
                <w:sz w:val="17"/>
                <w:szCs w:val="17"/>
                <w:color w:val="auto"/>
              </w:rPr>
            </w:pPr>
          </w:p>
        </w:tc>
      </w:tr>
      <w:tr>
        <w:trPr>
          <w:trHeight w:val="242"/>
        </w:trPr>
        <w:tc>
          <w:tcPr>
            <w:tcW w:w="8780" w:type="dxa"/>
            <w:vAlign w:val="bottom"/>
          </w:tcPr>
          <w:p>
            <w:pPr>
              <w:spacing w:after="0"/>
              <w:rPr>
                <w:sz w:val="20"/>
                <w:szCs w:val="20"/>
                <w:color w:val="auto"/>
              </w:rPr>
            </w:pPr>
            <w:r>
              <w:rPr>
                <w:rFonts w:ascii="Arial" w:cs="Arial" w:eastAsia="Arial" w:hAnsi="Arial"/>
                <w:sz w:val="16"/>
                <w:szCs w:val="16"/>
                <w:color w:val="auto"/>
              </w:rPr>
              <w:t xml:space="preserve">mine in Nevada. </w:t>
            </w:r>
            <w:r>
              <w:rPr>
                <w:rFonts w:ascii="Arial" w:cs="Arial" w:eastAsia="Arial" w:hAnsi="Arial"/>
                <w:sz w:val="21"/>
                <w:szCs w:val="21"/>
                <w:color w:val="auto"/>
                <w:vertAlign w:val="superscript"/>
              </w:rPr>
              <w:t>(7)</w:t>
            </w:r>
            <w:r>
              <w:rPr>
                <w:rFonts w:ascii="Arial" w:cs="Arial" w:eastAsia="Arial" w:hAnsi="Arial"/>
                <w:sz w:val="16"/>
                <w:szCs w:val="16"/>
                <w:color w:val="auto"/>
              </w:rPr>
              <w:t xml:space="preserve"> The mine is located on Indigenous ancestral lands, in an area called Peehee Mu’huh (Thacker Pass).</w:t>
            </w:r>
          </w:p>
        </w:tc>
        <w:tc>
          <w:tcPr>
            <w:tcW w:w="300" w:type="dxa"/>
            <w:vAlign w:val="bottom"/>
          </w:tcPr>
          <w:p>
            <w:pPr>
              <w:jc w:val="right"/>
              <w:spacing w:after="0"/>
              <w:rPr>
                <w:sz w:val="20"/>
                <w:szCs w:val="20"/>
                <w:color w:val="auto"/>
              </w:rPr>
            </w:pPr>
            <w:r>
              <w:rPr>
                <w:rFonts w:ascii="Arial" w:cs="Arial" w:eastAsia="Arial" w:hAnsi="Arial"/>
                <w:sz w:val="11"/>
                <w:szCs w:val="11"/>
                <w:color w:val="auto"/>
              </w:rPr>
              <w:t>(8)</w:t>
            </w:r>
          </w:p>
        </w:tc>
      </w:tr>
    </w:tbl>
    <w:p>
      <w:pPr>
        <w:ind w:right="160"/>
        <w:spacing w:after="0" w:line="243" w:lineRule="auto"/>
        <w:rPr>
          <w:sz w:val="20"/>
          <w:szCs w:val="20"/>
          <w:color w:val="auto"/>
        </w:rPr>
      </w:pPr>
      <w:r>
        <w:rPr>
          <w:rFonts w:ascii="Arial" w:cs="Arial" w:eastAsia="Arial" w:hAnsi="Arial"/>
          <w:sz w:val="16"/>
          <w:szCs w:val="16"/>
          <w:color w:val="auto"/>
        </w:rPr>
        <w:t xml:space="preserve">Given the US’ violation of IPs’ rights, including FPIC, in the mine’s permitting process, despite opposition from at least five Tribal governments, GM’s investment presents significant IPs’ rights risks for the Company. </w:t>
      </w:r>
      <w:r>
        <w:rPr>
          <w:rFonts w:ascii="Arial" w:cs="Arial" w:eastAsia="Arial" w:hAnsi="Arial"/>
          <w:sz w:val="21"/>
          <w:szCs w:val="21"/>
          <w:color w:val="auto"/>
          <w:vertAlign w:val="superscript"/>
        </w:rPr>
        <w:t>(9)</w:t>
      </w:r>
      <w:r>
        <w:rPr>
          <w:rFonts w:ascii="Arial" w:cs="Arial" w:eastAsia="Arial" w:hAnsi="Arial"/>
          <w:sz w:val="16"/>
          <w:szCs w:val="16"/>
          <w:color w:val="auto"/>
        </w:rPr>
        <w:t xml:space="preserve"> Peehee Mu’huh is the site of an 1865 massacre, and local IPs have raised concerns about the desecration of their ancestors’ remains and spirits, as the location is sacred. </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A recent report highlighted additional potential IPs’ rights violations of the project, including the rights</w:t>
      </w:r>
    </w:p>
    <w:p>
      <w:pPr>
        <w:spacing w:after="0" w:line="2"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color w:val="auto"/>
        </w:rPr>
        <w:t xml:space="preserve">to practice cultural traditions and religion, and the rights to health, water, and a healthy environment, and the potential for increases in sexual and other violence against Indigenous women, girls, and two-spirit people. </w:t>
      </w:r>
      <w:r>
        <w:rPr>
          <w:rFonts w:ascii="Arial" w:cs="Arial" w:eastAsia="Arial" w:hAnsi="Arial"/>
          <w:sz w:val="21"/>
          <w:szCs w:val="21"/>
          <w:color w:val="auto"/>
          <w:vertAlign w:val="superscript"/>
        </w:rPr>
        <w:t>(11)</w:t>
      </w:r>
      <w:r>
        <w:rPr>
          <w:rFonts w:ascii="Arial" w:cs="Arial" w:eastAsia="Arial" w:hAnsi="Arial"/>
          <w:sz w:val="16"/>
          <w:szCs w:val="16"/>
          <w:color w:val="auto"/>
        </w:rPr>
        <w:t xml:space="preserve"> The mine has faced fierce opposition, including protests and lawsuits. </w:t>
      </w:r>
      <w:r>
        <w:rPr>
          <w:rFonts w:ascii="Arial" w:cs="Arial" w:eastAsia="Arial" w:hAnsi="Arial"/>
          <w:sz w:val="21"/>
          <w:szCs w:val="21"/>
          <w:color w:val="auto"/>
          <w:vertAlign w:val="superscript"/>
        </w:rPr>
        <w:t>(12)</w:t>
      </w:r>
    </w:p>
    <w:p>
      <w:pPr>
        <w:spacing w:after="0" w:line="79"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 xml:space="preserve">Two recent reports linked GM to nickel mines in Indonesia that have violated IPs’ rights. </w:t>
      </w:r>
      <w:r>
        <w:rPr>
          <w:rFonts w:ascii="Arial" w:cs="Arial" w:eastAsia="Arial" w:hAnsi="Arial"/>
          <w:sz w:val="21"/>
          <w:szCs w:val="21"/>
          <w:color w:val="auto"/>
          <w:vertAlign w:val="superscript"/>
        </w:rPr>
        <w:t>(13)</w:t>
      </w:r>
      <w:r>
        <w:rPr>
          <w:rFonts w:ascii="Arial" w:cs="Arial" w:eastAsia="Arial" w:hAnsi="Arial"/>
          <w:sz w:val="16"/>
          <w:szCs w:val="16"/>
          <w:color w:val="auto"/>
        </w:rPr>
        <w:t xml:space="preserve"> Although the lack of transparency makes establishing a definitive connection between GM and the suppliers impossible, the reports highlight the mining companies’ harms against the Indigenous Bajau and potential IPs’ rights violations of an uncontacted tribe called the Hongana Manyawa.</w:t>
      </w:r>
      <w:r>
        <w:rPr>
          <w:rFonts w:ascii="Arial" w:cs="Arial" w:eastAsia="Arial" w:hAnsi="Arial"/>
          <w:sz w:val="21"/>
          <w:szCs w:val="21"/>
          <w:color w:val="auto"/>
          <w:vertAlign w:val="superscript"/>
        </w:rPr>
        <w:t>(14)</w:t>
      </w:r>
    </w:p>
    <w:p>
      <w:pPr>
        <w:spacing w:after="0" w:line="77" w:lineRule="exact"/>
        <w:rPr>
          <w:sz w:val="20"/>
          <w:szCs w:val="20"/>
          <w:color w:val="auto"/>
        </w:rPr>
      </w:pPr>
    </w:p>
    <w:p>
      <w:pPr>
        <w:ind w:left="200" w:right="2000" w:hanging="192"/>
        <w:spacing w:after="0" w:line="239" w:lineRule="auto"/>
        <w:tabs>
          <w:tab w:leader="none" w:pos="200"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https://www.un.org/development/desa/indigenouspeoples/declaration-on-the-rights-of-indigenous-peoples.html; https://www.ilo.org/dyn/normlex/en/f?p=NORMLEXPUB:12100:0::NO::P12100_INSTRUMENT_ID:312314</w:t>
      </w:r>
    </w:p>
    <w:p>
      <w:pPr>
        <w:spacing w:after="0" w:line="54" w:lineRule="exact"/>
        <w:rPr>
          <w:rFonts w:ascii="Arial" w:cs="Arial" w:eastAsia="Arial" w:hAnsi="Arial"/>
          <w:sz w:val="19"/>
          <w:szCs w:val="19"/>
          <w:color w:val="auto"/>
          <w:vertAlign w:val="superscript"/>
        </w:rPr>
      </w:pPr>
    </w:p>
    <w:p>
      <w:pPr>
        <w:ind w:left="200" w:right="2180" w:hanging="192"/>
        <w:spacing w:after="0" w:line="239" w:lineRule="auto"/>
        <w:tabs>
          <w:tab w:leader="none" w:pos="200"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https://www.colorado.edu/program/fpw/sites/default/files/attached-files/social_cost_and_material_loss_0.pdf; https://amazonwatch.org/news/2022/0622-the-business-case-for-indigenous-rights</w:t>
      </w:r>
    </w:p>
    <w:p>
      <w:pPr>
        <w:spacing w:after="0" w:line="54" w:lineRule="exact"/>
        <w:rPr>
          <w:rFonts w:ascii="Arial" w:cs="Arial" w:eastAsia="Arial" w:hAnsi="Arial"/>
          <w:sz w:val="19"/>
          <w:szCs w:val="19"/>
          <w:color w:val="auto"/>
          <w:vertAlign w:val="superscript"/>
        </w:rPr>
      </w:pPr>
    </w:p>
    <w:p>
      <w:pPr>
        <w:ind w:left="200" w:right="1720" w:hanging="192"/>
        <w:spacing w:after="0" w:line="259" w:lineRule="auto"/>
        <w:tabs>
          <w:tab w:leader="none" w:pos="200"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https://www.msci.com/research-and-insights/blog-post/mining-energy-transition-metals-national-aims-local-conflicts; https://phys.org/news/2022-12-energy-minerals-overlap-indigenous-reveals.html</w:t>
      </w:r>
    </w:p>
    <w:p>
      <w:pPr>
        <w:spacing w:after="0" w:line="35" w:lineRule="exact"/>
        <w:rPr>
          <w:rFonts w:ascii="Arial" w:cs="Arial" w:eastAsia="Arial" w:hAnsi="Arial"/>
          <w:sz w:val="19"/>
          <w:szCs w:val="19"/>
          <w:color w:val="auto"/>
          <w:vertAlign w:val="superscript"/>
        </w:rPr>
      </w:pPr>
    </w:p>
    <w:p>
      <w:pPr>
        <w:ind w:left="200" w:right="1640" w:hanging="192"/>
        <w:spacing w:after="0" w:line="239" w:lineRule="auto"/>
        <w:tabs>
          <w:tab w:leader="none" w:pos="200"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https://static1.squarespace.com/static/62cd7860272be4335685de88/t/64d2c423df24aa6f4673522c/1691534371949/ TalkingPoints_SIRGE_TransitionMinerals.pdf</w:t>
      </w:r>
    </w:p>
    <w:p>
      <w:pPr>
        <w:sectPr>
          <w:pgSz w:w="11900" w:h="16838" w:orient="portrait"/>
          <w:cols w:equalWidth="0" w:num="1">
            <w:col w:w="9260"/>
          </w:cols>
          <w:pgMar w:left="1400" w:top="144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95</w:t>
      </w:r>
    </w:p>
    <w:p>
      <w:pPr>
        <w:sectPr>
          <w:pgSz w:w="11900" w:h="16838" w:orient="portrait"/>
          <w:cols w:equalWidth="0" w:num="1">
            <w:col w:w="9260"/>
          </w:cols>
          <w:pgMar w:left="1400" w:top="1440" w:right="12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ITEM 7  </w:t>
      </w:r>
      <w:r>
        <w:rPr>
          <w:rFonts w:ascii="Arial" w:cs="Arial" w:eastAsia="Arial" w:hAnsi="Arial"/>
          <w:sz w:val="14"/>
          <w:szCs w:val="14"/>
          <w:b w:val="1"/>
          <w:bCs w:val="1"/>
          <w:color w:val="000000"/>
        </w:rPr>
        <w:t>Shareholder Proposal Requesting a Report on Human Rights Standards for Indigenous Peoples</w:t>
      </w:r>
    </w:p>
    <w:p>
      <w:pPr>
        <w:spacing w:after="0" w:line="200" w:lineRule="exact"/>
        <w:rPr>
          <w:sz w:val="20"/>
          <w:szCs w:val="20"/>
          <w:color w:val="auto"/>
        </w:rPr>
      </w:pPr>
    </w:p>
    <w:p>
      <w:pPr>
        <w:spacing w:after="0" w:line="382" w:lineRule="exact"/>
        <w:rPr>
          <w:sz w:val="20"/>
          <w:szCs w:val="20"/>
          <w:color w:val="auto"/>
        </w:rPr>
      </w:pPr>
    </w:p>
    <w:p>
      <w:pPr>
        <w:jc w:val="both"/>
        <w:ind w:left="200" w:right="4400" w:hanging="192"/>
        <w:spacing w:after="0" w:line="239" w:lineRule="auto"/>
        <w:tabs>
          <w:tab w:leader="none" w:pos="200"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https://investor.gm.com/static-files/e02b37e8-1b5f-4d45-a75b-b61b9f2512ca; https://investor.gm.com/static-files/b7d3c605-a597-486c-86e2-dbbeb6a25a42</w:t>
      </w:r>
    </w:p>
    <w:p>
      <w:pPr>
        <w:spacing w:after="0" w:line="25"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https://leadthecharge.org/scorecards/general-motors/</w:t>
      </w:r>
    </w:p>
    <w:p>
      <w:pPr>
        <w:spacing w:after="0" w:line="66" w:lineRule="exact"/>
        <w:rPr>
          <w:rFonts w:ascii="Arial" w:cs="Arial" w:eastAsia="Arial" w:hAnsi="Arial"/>
          <w:sz w:val="19"/>
          <w:szCs w:val="19"/>
          <w:color w:val="auto"/>
          <w:vertAlign w:val="superscript"/>
        </w:rPr>
      </w:pPr>
    </w:p>
    <w:p>
      <w:pPr>
        <w:ind w:left="200" w:right="1440" w:hanging="192"/>
        <w:spacing w:after="0" w:line="239" w:lineRule="auto"/>
        <w:tabs>
          <w:tab w:leader="none" w:pos="200"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https://lithiumamericas.com/news/news-details/2024/Unlocking-Thacker-Pass-General-Motors-to-Contribute-Combined-625-Million-in-Cash-and-Letters-of-Credit-to-New-Joint-Venture-with-Lithium-Americas/default.aspx</w:t>
      </w:r>
    </w:p>
    <w:p>
      <w:pPr>
        <w:spacing w:after="0" w:line="25"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https://www.hrw.org/report/2025/02/06/the-land-of-our-people-forever/united-states-human-rights-violations-against-the</w:t>
      </w:r>
    </w:p>
    <w:p>
      <w:pPr>
        <w:spacing w:after="0" w:line="43"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https://www.hrw.org/report/2025/02/06/the-land-of-our-people-forever/united-states-human-rights-violations-against-the</w:t>
      </w:r>
    </w:p>
    <w:p>
      <w:pPr>
        <w:spacing w:after="0" w:line="52"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16"/>
        </w:numPr>
        <w:rPr>
          <w:rFonts w:ascii="Arial" w:cs="Arial" w:eastAsia="Arial" w:hAnsi="Arial"/>
          <w:sz w:val="16"/>
          <w:szCs w:val="16"/>
          <w:color w:val="auto"/>
          <w:vertAlign w:val="superscript"/>
        </w:rPr>
      </w:pPr>
      <w:r>
        <w:rPr>
          <w:rFonts w:ascii="Arial" w:cs="Arial" w:eastAsia="Arial" w:hAnsi="Arial"/>
          <w:sz w:val="12"/>
          <w:szCs w:val="12"/>
          <w:color w:val="auto"/>
        </w:rPr>
        <w:t>https://www.hrw.org/report/2025/02/06/the-land-of-our-people-forever/united-states-human-rights-violations-against-the</w:t>
      </w:r>
    </w:p>
    <w:p>
      <w:pPr>
        <w:spacing w:after="0" w:line="63"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16"/>
        </w:numPr>
        <w:rPr>
          <w:rFonts w:ascii="Arial" w:cs="Arial" w:eastAsia="Arial" w:hAnsi="Arial"/>
          <w:sz w:val="16"/>
          <w:szCs w:val="16"/>
          <w:color w:val="auto"/>
          <w:vertAlign w:val="superscript"/>
        </w:rPr>
      </w:pPr>
      <w:r>
        <w:rPr>
          <w:rFonts w:ascii="Arial" w:cs="Arial" w:eastAsia="Arial" w:hAnsi="Arial"/>
          <w:sz w:val="12"/>
          <w:szCs w:val="12"/>
          <w:color w:val="auto"/>
        </w:rPr>
        <w:t>https://www.hrw.org/report/2025/02/06/the-land-of-our-people-forever/united-states-human-rights-violations-against-the</w:t>
      </w:r>
    </w:p>
    <w:p>
      <w:pPr>
        <w:spacing w:after="0" w:line="68"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16"/>
        </w:numPr>
        <w:rPr>
          <w:rFonts w:ascii="Arial" w:cs="Arial" w:eastAsia="Arial" w:hAnsi="Arial"/>
          <w:sz w:val="16"/>
          <w:szCs w:val="16"/>
          <w:color w:val="auto"/>
          <w:vertAlign w:val="superscript"/>
        </w:rPr>
      </w:pPr>
      <w:r>
        <w:rPr>
          <w:rFonts w:ascii="Arial" w:cs="Arial" w:eastAsia="Arial" w:hAnsi="Arial"/>
          <w:sz w:val="12"/>
          <w:szCs w:val="12"/>
          <w:color w:val="auto"/>
        </w:rPr>
        <w:t>https://www.protectthackerpass.org/protect-thacker-pass-campaign-timeline/</w:t>
      </w:r>
    </w:p>
    <w:p>
      <w:pPr>
        <w:spacing w:after="0" w:line="59" w:lineRule="exact"/>
        <w:rPr>
          <w:rFonts w:ascii="Arial" w:cs="Arial" w:eastAsia="Arial" w:hAnsi="Arial"/>
          <w:sz w:val="16"/>
          <w:szCs w:val="16"/>
          <w:color w:val="auto"/>
          <w:vertAlign w:val="superscript"/>
        </w:rPr>
      </w:pPr>
    </w:p>
    <w:p>
      <w:pPr>
        <w:ind w:left="200" w:right="3780" w:hanging="192"/>
        <w:spacing w:after="0" w:line="310" w:lineRule="auto"/>
        <w:tabs>
          <w:tab w:leader="none" w:pos="200" w:val="left"/>
        </w:tabs>
        <w:numPr>
          <w:ilvl w:val="0"/>
          <w:numId w:val="116"/>
        </w:numPr>
        <w:rPr>
          <w:rFonts w:ascii="Arial" w:cs="Arial" w:eastAsia="Arial" w:hAnsi="Arial"/>
          <w:sz w:val="16"/>
          <w:szCs w:val="16"/>
          <w:color w:val="auto"/>
          <w:vertAlign w:val="superscript"/>
        </w:rPr>
      </w:pPr>
      <w:r>
        <w:rPr>
          <w:rFonts w:ascii="Arial" w:cs="Arial" w:eastAsia="Arial" w:hAnsi="Arial"/>
          <w:sz w:val="12"/>
          <w:szCs w:val="12"/>
          <w:color w:val="auto"/>
        </w:rPr>
        <w:t>https://mightyearth.org/wp-content/uploads/2024/05/FromForeststoEVs.pdf; https://media.business-humanrights.org/media/documents/2024_EV_supply_chains.pdf</w:t>
      </w:r>
    </w:p>
    <w:p>
      <w:pPr>
        <w:spacing w:after="0" w:line="16" w:lineRule="exact"/>
        <w:rPr>
          <w:rFonts w:ascii="Arial" w:cs="Arial" w:eastAsia="Arial" w:hAnsi="Arial"/>
          <w:sz w:val="16"/>
          <w:szCs w:val="16"/>
          <w:color w:val="auto"/>
          <w:vertAlign w:val="superscript"/>
        </w:rPr>
      </w:pPr>
    </w:p>
    <w:p>
      <w:pPr>
        <w:ind w:left="200" w:right="3740" w:hanging="192"/>
        <w:spacing w:after="0" w:line="339" w:lineRule="auto"/>
        <w:tabs>
          <w:tab w:leader="none" w:pos="200" w:val="left"/>
        </w:tabs>
        <w:numPr>
          <w:ilvl w:val="0"/>
          <w:numId w:val="116"/>
        </w:numPr>
        <w:rPr>
          <w:rFonts w:ascii="Arial" w:cs="Arial" w:eastAsia="Arial" w:hAnsi="Arial"/>
          <w:sz w:val="16"/>
          <w:szCs w:val="16"/>
          <w:color w:val="auto"/>
          <w:vertAlign w:val="superscript"/>
        </w:rPr>
      </w:pPr>
      <w:r>
        <w:rPr>
          <w:rFonts w:ascii="Arial" w:cs="Arial" w:eastAsia="Arial" w:hAnsi="Arial"/>
          <w:sz w:val="12"/>
          <w:szCs w:val="12"/>
          <w:color w:val="auto"/>
        </w:rPr>
        <w:t>https://media.business-humanrights.org/media/documents/2024_EV_supply_chains.pdf; https://mightyearth.org/wp-content/uploads/2024/05/FromForeststoEVs.pdf</w:t>
      </w:r>
    </w:p>
    <w:p>
      <w:pPr>
        <w:spacing w:after="0" w:line="7"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Board Response</w:t>
      </w:r>
    </w:p>
    <w:p>
      <w:pPr>
        <w:spacing w:after="0" w:line="129"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The Board is committed to respecting and supporting human rights, including the rights of Indigenous Peoples, throughout our global operations. GM seeks to do business with partners who share this commitment, as reflected in the clear expectations established in our Supplier Code of Conduct and our human rights policies.</w:t>
      </w:r>
    </w:p>
    <w:p>
      <w:pPr>
        <w:spacing w:after="0" w:line="31" w:lineRule="exact"/>
        <w:rPr>
          <w:sz w:val="20"/>
          <w:szCs w:val="20"/>
          <w:color w:val="auto"/>
        </w:rPr>
      </w:pPr>
    </w:p>
    <w:p>
      <w:pPr>
        <w:ind w:right="680"/>
        <w:spacing w:after="0" w:line="256" w:lineRule="auto"/>
        <w:rPr>
          <w:sz w:val="20"/>
          <w:szCs w:val="20"/>
          <w:color w:val="auto"/>
        </w:rPr>
      </w:pPr>
      <w:r>
        <w:rPr>
          <w:rFonts w:ascii="Arial" w:cs="Arial" w:eastAsia="Arial" w:hAnsi="Arial"/>
          <w:sz w:val="16"/>
          <w:szCs w:val="16"/>
          <w:color w:val="auto"/>
        </w:rPr>
        <w:t>GM’s approach to internationally recognized Indigenous Peoples’ rights is already incorporated into our human rights framework. Our Human Rights Policy explicitly recognizes and respects the rights of vulnerable groups, including Indigenous Peoples, and grounds GM’s commitments in foundational global instruments, such as the UN Declaration on the Rights of Indigenous Peoples (UNDRIP) and the International Labour Organization Convention (ILO) Indigenous and Tribal</w:t>
      </w:r>
    </w:p>
    <w:p>
      <w:pPr>
        <w:ind w:right="460"/>
        <w:spacing w:after="0" w:line="258" w:lineRule="auto"/>
        <w:rPr>
          <w:sz w:val="20"/>
          <w:szCs w:val="20"/>
          <w:color w:val="auto"/>
        </w:rPr>
      </w:pPr>
      <w:r>
        <w:rPr>
          <w:rFonts w:ascii="Arial" w:cs="Arial" w:eastAsia="Arial" w:hAnsi="Arial"/>
          <w:sz w:val="16"/>
          <w:szCs w:val="16"/>
          <w:color w:val="auto"/>
        </w:rPr>
        <w:t xml:space="preserve">Peoples Conventions (ILO 107 and ILO 169). GM embeds these principles in our Code of Conduct, </w:t>
      </w:r>
      <w:r>
        <w:rPr>
          <w:rFonts w:ascii="Arial" w:cs="Arial" w:eastAsia="Arial" w:hAnsi="Arial"/>
          <w:sz w:val="16"/>
          <w:szCs w:val="16"/>
          <w:i w:val="1"/>
          <w:iCs w:val="1"/>
          <w:color w:val="auto"/>
        </w:rPr>
        <w:t>Winning with Integrity</w:t>
      </w:r>
      <w:r>
        <w:rPr>
          <w:rFonts w:ascii="Arial" w:cs="Arial" w:eastAsia="Arial" w:hAnsi="Arial"/>
          <w:sz w:val="16"/>
          <w:szCs w:val="16"/>
          <w:color w:val="auto"/>
        </w:rPr>
        <w:t xml:space="preserve"> , establishing clear expectations for responsible business conduct throughout the Company and our value chain. These commitments are further reinforced in our Supplier Code of Conduct, which requires suppliers to uphold these same international conventions and promote equivalent expectations throughout their own supply chains.</w:t>
      </w:r>
    </w:p>
    <w:p>
      <w:pPr>
        <w:spacing w:after="0" w:line="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GM’s approach to human rights due diligence, including as it relates to Indigenous Peoples’ rights, is rooted in and aligned with core international guidelines for responsible business conduct.</w:t>
      </w:r>
    </w:p>
    <w:p>
      <w:pPr>
        <w:spacing w:after="0" w:line="20"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GM has established a globally aligned human rights due diligence process grounded in the UN Guiding Principles on Business and Human Rights and the OECD Guidelines for Multinational Enterprises. This approach includes ongoing risk identification, prioritization, mitigation, and remediation steps consistent with OECD due diligence expectations. Within Indigenous rights contexts, GM’s due diligence framework integrates expectations regarding consultation, cultural heritage protection, and Free, Prior, and Informed Consent (FPIC). We conduct supplier training, incorporate FPIC principles into contracts, and participate in industry forums which address the rights of Indigenous Peoples. We seek to continually improve and refine these processes in line with evolving risks and our global business.</w:t>
      </w:r>
    </w:p>
    <w:p>
      <w:pPr>
        <w:spacing w:after="0" w:line="57"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b w:val="1"/>
          <w:bCs w:val="1"/>
          <w:i w:val="1"/>
          <w:iCs w:val="1"/>
          <w:color w:val="auto"/>
        </w:rPr>
        <w:t>Stakeholder engagement is a key component of our overall approach to human rights and specifically to Indigenous Peoples’ rights.</w:t>
      </w:r>
    </w:p>
    <w:p>
      <w:pPr>
        <w:spacing w:after="0" w:line="7" w:lineRule="exact"/>
        <w:rPr>
          <w:sz w:val="20"/>
          <w:szCs w:val="20"/>
          <w:color w:val="auto"/>
        </w:rPr>
      </w:pPr>
    </w:p>
    <w:p>
      <w:pPr>
        <w:ind w:right="720"/>
        <w:spacing w:after="0" w:line="265" w:lineRule="auto"/>
        <w:rPr>
          <w:sz w:val="20"/>
          <w:szCs w:val="20"/>
          <w:color w:val="auto"/>
        </w:rPr>
      </w:pPr>
      <w:r>
        <w:rPr>
          <w:rFonts w:ascii="Arial" w:cs="Arial" w:eastAsia="Arial" w:hAnsi="Arial"/>
          <w:sz w:val="16"/>
          <w:szCs w:val="16"/>
          <w:color w:val="auto"/>
        </w:rPr>
        <w:t>GM engages with subject-matter experts, non-governmental organizations, and investors to enhance our overall human rights practices, including our work on Indigenous Peoples’ rights. We seek to foster ongoing dialogue, both indirectly through our third-party suppliers and, where appropriate, directly, as a means for building long-term relationships with potentially impacted Indigenous communities. We also seek to respond transparently and with accountability to stakeholder inquiries, and we integrate stakeholder input into our human rights strategy.</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requested report is unnecessary because GM already reports on human rights governance, processes, and actions.</w:t>
      </w:r>
    </w:p>
    <w:p>
      <w:pPr>
        <w:spacing w:after="0" w:line="98" w:lineRule="exact"/>
        <w:rPr>
          <w:sz w:val="20"/>
          <w:szCs w:val="20"/>
          <w:color w:val="auto"/>
        </w:rPr>
      </w:pPr>
    </w:p>
    <w:p>
      <w:pPr>
        <w:ind w:right="700"/>
        <w:spacing w:after="0" w:line="284" w:lineRule="auto"/>
        <w:rPr>
          <w:sz w:val="20"/>
          <w:szCs w:val="20"/>
          <w:color w:val="auto"/>
        </w:rPr>
      </w:pPr>
      <w:r>
        <w:rPr>
          <w:rFonts w:ascii="Arial" w:cs="Arial" w:eastAsia="Arial" w:hAnsi="Arial"/>
          <w:sz w:val="16"/>
          <w:szCs w:val="16"/>
          <w:color w:val="auto"/>
        </w:rPr>
        <w:t>GM already communicates publicly on our human rights commitments, governance structures, and due diligence processes through its Human Rights Policy, Supplier Code of Conduct, Conflict Minerals reporting, and Human Rights Statement.</w:t>
      </w:r>
    </w:p>
    <w:p>
      <w:pPr>
        <w:spacing w:after="0" w:line="1" w:lineRule="exact"/>
        <w:rPr>
          <w:sz w:val="20"/>
          <w:szCs w:val="20"/>
          <w:color w:val="auto"/>
        </w:rPr>
      </w:pPr>
    </w:p>
    <w:p>
      <w:pPr>
        <w:ind w:right="480"/>
        <w:spacing w:after="0" w:line="214" w:lineRule="exact"/>
        <w:rPr>
          <w:sz w:val="20"/>
          <w:szCs w:val="20"/>
          <w:color w:val="auto"/>
        </w:rPr>
      </w:pPr>
      <w:r>
        <w:rPr>
          <w:rFonts w:ascii="Arial" w:cs="Arial" w:eastAsia="Arial" w:hAnsi="Arial"/>
          <w:sz w:val="16"/>
          <w:szCs w:val="16"/>
          <w:color w:val="auto"/>
        </w:rPr>
        <w:t xml:space="preserve">GM has articulated commitments under UNDRIP and ILO 169 and maintains Indigenous </w:t>
      </w:r>
      <w:r>
        <w:rPr>
          <w:rFonts w:ascii="MS PGothic" w:cs="MS PGothic" w:eastAsia="MS PGothic" w:hAnsi="MS PGothic"/>
          <w:sz w:val="16"/>
          <w:szCs w:val="16"/>
          <w:color w:val="auto"/>
        </w:rPr>
        <w:t>‑</w:t>
      </w:r>
      <w:r>
        <w:rPr>
          <w:rFonts w:ascii="Arial" w:cs="Arial" w:eastAsia="Arial" w:hAnsi="Arial"/>
          <w:sz w:val="16"/>
          <w:szCs w:val="16"/>
          <w:color w:val="auto"/>
        </w:rPr>
        <w:t xml:space="preserve">rights </w:t>
      </w:r>
      <w:r>
        <w:rPr>
          <w:rFonts w:ascii="MS PGothic" w:cs="MS PGothic" w:eastAsia="MS PGothic" w:hAnsi="MS PGothic"/>
          <w:sz w:val="16"/>
          <w:szCs w:val="16"/>
          <w:color w:val="auto"/>
        </w:rPr>
        <w:t>‑</w:t>
      </w:r>
      <w:r>
        <w:rPr>
          <w:rFonts w:ascii="Arial" w:cs="Arial" w:eastAsia="Arial" w:hAnsi="Arial"/>
          <w:sz w:val="16"/>
          <w:szCs w:val="16"/>
          <w:color w:val="auto"/>
        </w:rPr>
        <w:t>aligned governance. We also disclose ongoing actions to mitigate risks and strengthen responsible sourcing on our website. Given GM’s existing policies, due diligence processes, and current external disclosures, we believe an additional standalone report is not necessary.</w:t>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20"/>
          <w:szCs w:val="20"/>
          <w:color w:val="auto"/>
        </w:rPr>
        <w:t xml:space="preserve">The Board of Directors recommends a vote </w:t>
      </w:r>
      <w:r>
        <w:rPr>
          <w:rFonts w:ascii="Arial" w:cs="Arial" w:eastAsia="Arial" w:hAnsi="Arial"/>
          <w:sz w:val="20"/>
          <w:szCs w:val="20"/>
          <w:b w:val="1"/>
          <w:bCs w:val="1"/>
          <w:color w:val="auto"/>
        </w:rPr>
        <w:t>AGAINST</w:t>
      </w:r>
      <w:r>
        <w:rPr>
          <w:rFonts w:ascii="Arial" w:cs="Arial" w:eastAsia="Arial" w:hAnsi="Arial"/>
          <w:sz w:val="20"/>
          <w:szCs w:val="20"/>
          <w:color w:val="auto"/>
        </w:rPr>
        <w:t xml:space="preserve"> this shareholder proposal.</w:t>
      </w:r>
    </w:p>
    <w:p>
      <w:pPr>
        <w:sectPr>
          <w:pgSz w:w="11900" w:h="16838" w:orient="portrait"/>
          <w:cols w:equalWidth="0" w:num="1">
            <w:col w:w="9540"/>
          </w:cols>
          <w:pgMar w:left="1400" w:top="657"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96</w:t>
      </w:r>
    </w:p>
    <w:p>
      <w:pPr>
        <w:sectPr>
          <w:pgSz w:w="11900" w:h="16838" w:orient="portrait"/>
          <w:cols w:equalWidth="0" w:num="1">
            <w:col w:w="9540"/>
          </w:cols>
          <w:pgMar w:left="1400" w:top="657" w:right="95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Security Ownership Information</w:t>
      </w:r>
    </w:p>
    <w:p>
      <w:pPr>
        <w:spacing w:after="0" w:line="200" w:lineRule="exact"/>
        <w:rPr>
          <w:sz w:val="20"/>
          <w:szCs w:val="20"/>
          <w:color w:val="auto"/>
        </w:rPr>
      </w:pPr>
    </w:p>
    <w:p>
      <w:pPr>
        <w:spacing w:after="0" w:line="379" w:lineRule="exact"/>
        <w:rPr>
          <w:sz w:val="20"/>
          <w:szCs w:val="20"/>
          <w:color w:val="auto"/>
        </w:rPr>
      </w:pPr>
    </w:p>
    <w:p>
      <w:pPr>
        <w:ind w:right="1480"/>
        <w:spacing w:after="0" w:line="268" w:lineRule="auto"/>
        <w:rPr>
          <w:sz w:val="20"/>
          <w:szCs w:val="20"/>
          <w:color w:val="auto"/>
        </w:rPr>
      </w:pPr>
      <w:r>
        <w:rPr>
          <w:rFonts w:ascii="Arial" w:cs="Arial" w:eastAsia="Arial" w:hAnsi="Arial"/>
          <w:sz w:val="40"/>
          <w:szCs w:val="40"/>
          <w:b w:val="1"/>
          <w:bCs w:val="1"/>
          <w:color w:val="0956FF"/>
        </w:rPr>
        <w:t>Security Ownership of Directors, Named Executive Officers, and Certain Other Beneficial Owners</w:t>
      </w:r>
    </w:p>
    <w:p>
      <w:pPr>
        <w:spacing w:after="0" w:line="4"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following table and accompanying footnotes show information regarding the beneficial ownership of GM’s issued and outstanding common stock by (i) each of our directors and NEOs, and all directors and executive officers as a group and (ii) each person known by us to beneficially own more than five percent of our issued and outstanding common stock as of the dates indicated in the footnotes. All directors and executive officers have sole voting and dispositive power over their shares, and none of the shares shown as beneficially owned by directors and executive officers are pledged as security for any obligation. The Percentage of Outstanding Shares is based on 901,656,578 shares issued and outstanding as of April 6, 2026.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820" w:type="dxa"/>
            <w:vAlign w:val="bottom"/>
            <w:shd w:val="clear" w:color="auto" w:fill="ECEBEB"/>
          </w:tcPr>
          <w:p>
            <w:pPr>
              <w:spacing w:after="0"/>
              <w:rPr>
                <w:sz w:val="21"/>
                <w:szCs w:val="21"/>
                <w:color w:val="auto"/>
              </w:rPr>
            </w:pPr>
          </w:p>
        </w:tc>
        <w:tc>
          <w:tcPr>
            <w:tcW w:w="2020" w:type="dxa"/>
            <w:vAlign w:val="bottom"/>
            <w:gridSpan w:val="2"/>
            <w:shd w:val="clear" w:color="auto" w:fill="ECEBEB"/>
          </w:tcPr>
          <w:p>
            <w:pPr>
              <w:jc w:val="right"/>
              <w:ind w:right="167"/>
              <w:spacing w:after="0"/>
              <w:rPr>
                <w:sz w:val="20"/>
                <w:szCs w:val="20"/>
                <w:color w:val="auto"/>
              </w:rPr>
            </w:pPr>
            <w:r>
              <w:rPr>
                <w:rFonts w:ascii="Arial" w:cs="Arial" w:eastAsia="Arial" w:hAnsi="Arial"/>
                <w:sz w:val="14"/>
                <w:szCs w:val="14"/>
                <w:b w:val="1"/>
                <w:bCs w:val="1"/>
                <w:color w:val="auto"/>
              </w:rPr>
              <w:t>Shares of Common</w:t>
            </w:r>
          </w:p>
        </w:tc>
        <w:tc>
          <w:tcPr>
            <w:tcW w:w="12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6"/>
        </w:trPr>
        <w:tc>
          <w:tcPr>
            <w:tcW w:w="5820" w:type="dxa"/>
            <w:vAlign w:val="bottom"/>
            <w:shd w:val="clear" w:color="auto" w:fill="ECEBEB"/>
          </w:tcPr>
          <w:p>
            <w:pPr>
              <w:spacing w:after="0"/>
              <w:rPr>
                <w:sz w:val="15"/>
                <w:szCs w:val="15"/>
                <w:color w:val="auto"/>
              </w:rPr>
            </w:pPr>
          </w:p>
        </w:tc>
        <w:tc>
          <w:tcPr>
            <w:tcW w:w="2020" w:type="dxa"/>
            <w:vAlign w:val="bottom"/>
            <w:gridSpan w:val="2"/>
            <w:shd w:val="clear" w:color="auto" w:fill="ECEBEB"/>
          </w:tcPr>
          <w:p>
            <w:pPr>
              <w:jc w:val="right"/>
              <w:ind w:right="207"/>
              <w:spacing w:after="0"/>
              <w:rPr>
                <w:sz w:val="20"/>
                <w:szCs w:val="20"/>
                <w:color w:val="auto"/>
              </w:rPr>
            </w:pPr>
            <w:r>
              <w:rPr>
                <w:rFonts w:ascii="Arial" w:cs="Arial" w:eastAsia="Arial" w:hAnsi="Arial"/>
                <w:sz w:val="14"/>
                <w:szCs w:val="14"/>
                <w:b w:val="1"/>
                <w:bCs w:val="1"/>
                <w:color w:val="auto"/>
              </w:rPr>
              <w:t>Stock Beneficially</w:t>
            </w:r>
          </w:p>
        </w:tc>
        <w:tc>
          <w:tcPr>
            <w:tcW w:w="1240" w:type="dxa"/>
            <w:vAlign w:val="bottom"/>
            <w:shd w:val="clear" w:color="auto" w:fill="ECEBEB"/>
          </w:tcPr>
          <w:p>
            <w:pPr>
              <w:jc w:val="right"/>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Name</w:t>
            </w:r>
          </w:p>
        </w:tc>
        <w:tc>
          <w:tcPr>
            <w:tcW w:w="2020" w:type="dxa"/>
            <w:vAlign w:val="bottom"/>
            <w:tcBorders>
              <w:bottom w:val="single" w:sz="8" w:color="0956FF"/>
            </w:tcBorders>
            <w:gridSpan w:val="2"/>
            <w:shd w:val="clear" w:color="auto" w:fill="ECEBEB"/>
          </w:tcPr>
          <w:p>
            <w:pPr>
              <w:jc w:val="right"/>
              <w:ind w:right="207"/>
              <w:spacing w:after="0"/>
              <w:rPr>
                <w:sz w:val="20"/>
                <w:szCs w:val="20"/>
                <w:color w:val="auto"/>
              </w:rPr>
            </w:pPr>
            <w:r>
              <w:rPr>
                <w:rFonts w:ascii="Arial" w:cs="Arial" w:eastAsia="Arial" w:hAnsi="Arial"/>
                <w:sz w:val="14"/>
                <w:szCs w:val="14"/>
                <w:b w:val="1"/>
                <w:bCs w:val="1"/>
                <w:color w:val="auto"/>
              </w:rPr>
              <w:t>Owned</w:t>
            </w:r>
          </w:p>
        </w:tc>
        <w:tc>
          <w:tcPr>
            <w:tcW w:w="12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Non-Employee Directors</w:t>
            </w:r>
            <w:r>
              <w:rPr>
                <w:rFonts w:ascii="Arial" w:cs="Arial" w:eastAsia="Arial" w:hAnsi="Arial"/>
                <w:sz w:val="21"/>
                <w:szCs w:val="21"/>
                <w:b w:val="1"/>
                <w:bCs w:val="1"/>
                <w:color w:val="auto"/>
                <w:vertAlign w:val="superscript"/>
              </w:rPr>
              <w:t>(1)</w:t>
            </w:r>
          </w:p>
        </w:tc>
        <w:tc>
          <w:tcPr>
            <w:tcW w:w="1380" w:type="dxa"/>
            <w:vAlign w:val="bottom"/>
            <w:tcBorders>
              <w:bottom w:val="single" w:sz="8" w:color="D8D7D7"/>
            </w:tcBorders>
          </w:tcPr>
          <w:p>
            <w:pPr>
              <w:spacing w:after="0"/>
              <w:rPr>
                <w:sz w:val="21"/>
                <w:szCs w:val="21"/>
                <w:color w:val="auto"/>
              </w:rPr>
            </w:pPr>
          </w:p>
        </w:tc>
        <w:tc>
          <w:tcPr>
            <w:tcW w:w="640" w:type="dxa"/>
            <w:vAlign w:val="bottom"/>
            <w:tcBorders>
              <w:bottom w:val="single" w:sz="8" w:color="D8D7D7"/>
            </w:tcBorders>
          </w:tcPr>
          <w:p>
            <w:pPr>
              <w:spacing w:after="0"/>
              <w:rPr>
                <w:sz w:val="21"/>
                <w:szCs w:val="21"/>
                <w:color w:val="auto"/>
              </w:rPr>
            </w:pPr>
          </w:p>
        </w:tc>
        <w:tc>
          <w:tcPr>
            <w:tcW w:w="1240" w:type="dxa"/>
            <w:vAlign w:val="bottom"/>
            <w:tcBorders>
              <w:bottom w:val="single" w:sz="8" w:color="D8D7D7"/>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820" w:type="dxa"/>
            <w:vAlign w:val="bottom"/>
            <w:vMerge w:val="restart"/>
          </w:tcPr>
          <w:p>
            <w:pPr>
              <w:ind w:left="60"/>
              <w:spacing w:after="0"/>
              <w:rPr>
                <w:sz w:val="20"/>
                <w:szCs w:val="20"/>
                <w:color w:val="auto"/>
              </w:rPr>
            </w:pPr>
            <w:r>
              <w:rPr>
                <w:rFonts w:ascii="Arial" w:cs="Arial" w:eastAsia="Arial" w:hAnsi="Arial"/>
                <w:sz w:val="16"/>
                <w:szCs w:val="16"/>
                <w:b w:val="1"/>
                <w:bCs w:val="1"/>
                <w:color w:val="0956FF"/>
              </w:rPr>
              <w:t>Wesley G. Bush</w:t>
            </w:r>
          </w:p>
        </w:tc>
        <w:tc>
          <w:tcPr>
            <w:tcW w:w="1380" w:type="dxa"/>
            <w:vAlign w:val="bottom"/>
            <w:vMerge w:val="restart"/>
          </w:tcPr>
          <w:p>
            <w:pPr>
              <w:jc w:val="right"/>
              <w:ind w:right="69"/>
              <w:spacing w:after="0"/>
              <w:rPr>
                <w:sz w:val="20"/>
                <w:szCs w:val="20"/>
                <w:color w:val="auto"/>
              </w:rPr>
            </w:pPr>
            <w:r>
              <w:rPr>
                <w:rFonts w:ascii="Arial" w:cs="Arial" w:eastAsia="Arial" w:hAnsi="Arial"/>
                <w:sz w:val="16"/>
                <w:szCs w:val="16"/>
                <w:color w:val="auto"/>
              </w:rPr>
              <w:t>20,000</w:t>
            </w:r>
          </w:p>
        </w:tc>
        <w:tc>
          <w:tcPr>
            <w:tcW w:w="640" w:type="dxa"/>
            <w:vAlign w:val="bottom"/>
          </w:tcPr>
          <w:p>
            <w:pPr>
              <w:jc w:val="right"/>
              <w:ind w:right="267"/>
              <w:spacing w:after="0"/>
              <w:rPr>
                <w:sz w:val="20"/>
                <w:szCs w:val="20"/>
                <w:color w:val="auto"/>
              </w:rPr>
            </w:pPr>
            <w:r>
              <w:rPr>
                <w:rFonts w:ascii="Arial" w:cs="Arial" w:eastAsia="Arial" w:hAnsi="Arial"/>
                <w:sz w:val="11"/>
                <w:szCs w:val="11"/>
                <w:color w:val="auto"/>
              </w:rPr>
              <w:t>(2),(3)</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5820" w:type="dxa"/>
            <w:vAlign w:val="bottom"/>
            <w:tcBorders>
              <w:bottom w:val="single" w:sz="8" w:color="D8D7D7"/>
            </w:tcBorders>
            <w:vMerge w:val="continue"/>
          </w:tcPr>
          <w:p>
            <w:pPr>
              <w:spacing w:after="0"/>
              <w:rPr>
                <w:sz w:val="8"/>
                <w:szCs w:val="8"/>
                <w:color w:val="auto"/>
              </w:rPr>
            </w:pPr>
          </w:p>
        </w:tc>
        <w:tc>
          <w:tcPr>
            <w:tcW w:w="1380" w:type="dxa"/>
            <w:vAlign w:val="bottom"/>
            <w:tcBorders>
              <w:bottom w:val="single" w:sz="8" w:color="D8D7D7"/>
            </w:tcBorders>
            <w:vMerge w:val="continue"/>
          </w:tcPr>
          <w:p>
            <w:pPr>
              <w:spacing w:after="0"/>
              <w:rPr>
                <w:sz w:val="8"/>
                <w:szCs w:val="8"/>
                <w:color w:val="auto"/>
              </w:rPr>
            </w:pPr>
          </w:p>
        </w:tc>
        <w:tc>
          <w:tcPr>
            <w:tcW w:w="640" w:type="dxa"/>
            <w:vAlign w:val="bottom"/>
            <w:tcBorders>
              <w:bottom w:val="single" w:sz="8" w:color="D8D7D7"/>
            </w:tcBorders>
          </w:tcPr>
          <w:p>
            <w:pPr>
              <w:spacing w:after="0"/>
              <w:rPr>
                <w:sz w:val="8"/>
                <w:szCs w:val="8"/>
                <w:color w:val="auto"/>
              </w:rPr>
            </w:pPr>
          </w:p>
        </w:tc>
        <w:tc>
          <w:tcPr>
            <w:tcW w:w="1240" w:type="dxa"/>
            <w:vAlign w:val="bottom"/>
            <w:tcBorders>
              <w:bottom w:val="single" w:sz="8" w:color="D8D7D7"/>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Joanne C. Crevoiserat</w:t>
            </w:r>
          </w:p>
        </w:tc>
        <w:tc>
          <w:tcPr>
            <w:tcW w:w="2020" w:type="dxa"/>
            <w:vAlign w:val="bottom"/>
            <w:tcBorders>
              <w:bottom w:val="single" w:sz="8" w:color="D8D7D7"/>
            </w:tcBorders>
            <w:gridSpan w:val="2"/>
          </w:tcPr>
          <w:p>
            <w:pPr>
              <w:jc w:val="right"/>
              <w:ind w:right="42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0"/>
                <w:szCs w:val="10"/>
                <w:color w:val="auto"/>
              </w:rPr>
              <w:t xml:space="preserve"> (2)</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Joseph Jimenez</w:t>
            </w:r>
          </w:p>
        </w:tc>
        <w:tc>
          <w:tcPr>
            <w:tcW w:w="1380" w:type="dxa"/>
            <w:vAlign w:val="bottom"/>
            <w:tcBorders>
              <w:bottom w:val="single" w:sz="8" w:color="D8D7D7"/>
            </w:tcBorders>
          </w:tcPr>
          <w:p>
            <w:pPr>
              <w:jc w:val="right"/>
              <w:ind w:right="49"/>
              <w:spacing w:after="0"/>
              <w:rPr>
                <w:sz w:val="20"/>
                <w:szCs w:val="20"/>
                <w:color w:val="auto"/>
              </w:rPr>
            </w:pPr>
            <w:r>
              <w:rPr>
                <w:rFonts w:ascii="Arial" w:cs="Arial" w:eastAsia="Arial" w:hAnsi="Arial"/>
                <w:sz w:val="16"/>
                <w:szCs w:val="16"/>
                <w:color w:val="auto"/>
              </w:rPr>
              <w:t>32,330</w:t>
            </w:r>
          </w:p>
        </w:tc>
        <w:tc>
          <w:tcPr>
            <w:tcW w:w="640" w:type="dxa"/>
            <w:vAlign w:val="bottom"/>
            <w:tcBorders>
              <w:bottom w:val="single" w:sz="8" w:color="D8D7D7"/>
            </w:tcBorders>
          </w:tcPr>
          <w:p>
            <w:pPr>
              <w:jc w:val="right"/>
              <w:ind w:right="267"/>
              <w:spacing w:after="0"/>
              <w:rPr>
                <w:sz w:val="20"/>
                <w:szCs w:val="20"/>
                <w:color w:val="auto"/>
              </w:rPr>
            </w:pPr>
            <w:r>
              <w:rPr>
                <w:rFonts w:ascii="Arial" w:cs="Arial" w:eastAsia="Arial" w:hAnsi="Arial"/>
                <w:sz w:val="11"/>
                <w:szCs w:val="11"/>
                <w:color w:val="auto"/>
              </w:rPr>
              <w:t>(2),(4)</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Alfred F. Kelly Jr.</w:t>
            </w:r>
          </w:p>
        </w:tc>
        <w:tc>
          <w:tcPr>
            <w:tcW w:w="138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17,323</w:t>
            </w:r>
          </w:p>
        </w:tc>
        <w:tc>
          <w:tcPr>
            <w:tcW w:w="640" w:type="dxa"/>
            <w:vAlign w:val="bottom"/>
            <w:tcBorders>
              <w:bottom w:val="single" w:sz="8" w:color="D8D7D7"/>
            </w:tcBorders>
          </w:tcPr>
          <w:p>
            <w:pPr>
              <w:jc w:val="right"/>
              <w:ind w:right="427"/>
              <w:spacing w:after="0"/>
              <w:rPr>
                <w:sz w:val="20"/>
                <w:szCs w:val="20"/>
                <w:color w:val="auto"/>
              </w:rPr>
            </w:pPr>
            <w:r>
              <w:rPr>
                <w:rFonts w:ascii="Arial" w:cs="Arial" w:eastAsia="Arial" w:hAnsi="Arial"/>
                <w:sz w:val="11"/>
                <w:szCs w:val="11"/>
                <w:color w:val="auto"/>
              </w:rPr>
              <w:t>(2)</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Jonathan McNeill</w:t>
            </w:r>
          </w:p>
        </w:tc>
        <w:tc>
          <w:tcPr>
            <w:tcW w:w="2020" w:type="dxa"/>
            <w:vAlign w:val="bottom"/>
            <w:tcBorders>
              <w:bottom w:val="single" w:sz="8" w:color="D8D7D7"/>
            </w:tcBorders>
            <w:gridSpan w:val="2"/>
          </w:tcPr>
          <w:p>
            <w:pPr>
              <w:jc w:val="right"/>
              <w:ind w:right="42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0"/>
                <w:szCs w:val="10"/>
                <w:color w:val="auto"/>
              </w:rPr>
              <w:t xml:space="preserve"> (2)</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Judith A. Miscik</w:t>
            </w:r>
          </w:p>
        </w:tc>
        <w:tc>
          <w:tcPr>
            <w:tcW w:w="2020" w:type="dxa"/>
            <w:vAlign w:val="bottom"/>
            <w:tcBorders>
              <w:bottom w:val="single" w:sz="8" w:color="D8D7D7"/>
            </w:tcBorders>
            <w:gridSpan w:val="2"/>
          </w:tcPr>
          <w:p>
            <w:pPr>
              <w:jc w:val="right"/>
              <w:ind w:right="42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0"/>
                <w:szCs w:val="10"/>
                <w:color w:val="auto"/>
              </w:rPr>
              <w:t xml:space="preserve"> (2)</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Patricia F. Russo</w:t>
            </w:r>
          </w:p>
        </w:tc>
        <w:tc>
          <w:tcPr>
            <w:tcW w:w="1380" w:type="dxa"/>
            <w:vAlign w:val="bottom"/>
            <w:tcBorders>
              <w:bottom w:val="single" w:sz="8" w:color="D8D7D7"/>
            </w:tcBorders>
          </w:tcPr>
          <w:p>
            <w:pPr>
              <w:jc w:val="right"/>
              <w:ind w:right="29"/>
              <w:spacing w:after="0"/>
              <w:rPr>
                <w:sz w:val="20"/>
                <w:szCs w:val="20"/>
                <w:color w:val="auto"/>
              </w:rPr>
            </w:pPr>
            <w:r>
              <w:rPr>
                <w:rFonts w:ascii="Arial" w:cs="Arial" w:eastAsia="Arial" w:hAnsi="Arial"/>
                <w:sz w:val="16"/>
                <w:szCs w:val="16"/>
                <w:color w:val="auto"/>
              </w:rPr>
              <w:t>31,000</w:t>
            </w:r>
          </w:p>
        </w:tc>
        <w:tc>
          <w:tcPr>
            <w:tcW w:w="640" w:type="dxa"/>
            <w:vAlign w:val="bottom"/>
            <w:tcBorders>
              <w:bottom w:val="single" w:sz="8" w:color="D8D7D7"/>
            </w:tcBorders>
          </w:tcPr>
          <w:p>
            <w:pPr>
              <w:jc w:val="right"/>
              <w:ind w:right="427"/>
              <w:spacing w:after="0"/>
              <w:rPr>
                <w:sz w:val="20"/>
                <w:szCs w:val="20"/>
                <w:color w:val="auto"/>
              </w:rPr>
            </w:pPr>
            <w:r>
              <w:rPr>
                <w:rFonts w:ascii="Arial" w:cs="Arial" w:eastAsia="Arial" w:hAnsi="Arial"/>
                <w:sz w:val="11"/>
                <w:szCs w:val="11"/>
                <w:color w:val="auto"/>
              </w:rPr>
              <w:t>(2)</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Mark A. Tatum</w:t>
            </w:r>
          </w:p>
        </w:tc>
        <w:tc>
          <w:tcPr>
            <w:tcW w:w="2020" w:type="dxa"/>
            <w:vAlign w:val="bottom"/>
            <w:tcBorders>
              <w:bottom w:val="single" w:sz="8" w:color="D8D7D7"/>
            </w:tcBorders>
            <w:gridSpan w:val="2"/>
          </w:tcPr>
          <w:p>
            <w:pPr>
              <w:jc w:val="right"/>
              <w:ind w:right="42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0"/>
                <w:szCs w:val="10"/>
                <w:color w:val="auto"/>
              </w:rPr>
              <w:t xml:space="preserve"> (2)</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Jan E. Tighe</w:t>
            </w:r>
          </w:p>
        </w:tc>
        <w:tc>
          <w:tcPr>
            <w:tcW w:w="2020" w:type="dxa"/>
            <w:vAlign w:val="bottom"/>
            <w:tcBorders>
              <w:bottom w:val="single" w:sz="8" w:color="D8D7D7"/>
            </w:tcBorders>
            <w:gridSpan w:val="2"/>
          </w:tcPr>
          <w:p>
            <w:pPr>
              <w:jc w:val="right"/>
              <w:ind w:right="42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0"/>
                <w:szCs w:val="10"/>
                <w:color w:val="auto"/>
              </w:rPr>
              <w:t xml:space="preserve"> (2)</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Devin N. Wenig</w:t>
            </w:r>
          </w:p>
        </w:tc>
        <w:tc>
          <w:tcPr>
            <w:tcW w:w="2020" w:type="dxa"/>
            <w:vAlign w:val="bottom"/>
            <w:tcBorders>
              <w:bottom w:val="single" w:sz="8" w:color="D8D7D7"/>
            </w:tcBorders>
            <w:gridSpan w:val="2"/>
          </w:tcPr>
          <w:p>
            <w:pPr>
              <w:jc w:val="right"/>
              <w:ind w:right="42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0"/>
                <w:szCs w:val="10"/>
                <w:color w:val="auto"/>
              </w:rPr>
              <w:t xml:space="preserve"> (2)</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Named Executive Officers</w:t>
            </w:r>
            <w:r>
              <w:rPr>
                <w:rFonts w:ascii="Arial" w:cs="Arial" w:eastAsia="Arial" w:hAnsi="Arial"/>
                <w:sz w:val="21"/>
                <w:szCs w:val="21"/>
                <w:b w:val="1"/>
                <w:bCs w:val="1"/>
                <w:color w:val="auto"/>
                <w:vertAlign w:val="superscript"/>
              </w:rPr>
              <w:t>(1)</w:t>
            </w:r>
          </w:p>
        </w:tc>
        <w:tc>
          <w:tcPr>
            <w:tcW w:w="1380" w:type="dxa"/>
            <w:vAlign w:val="bottom"/>
            <w:tcBorders>
              <w:bottom w:val="single" w:sz="8" w:color="D8D7D7"/>
            </w:tcBorders>
          </w:tcPr>
          <w:p>
            <w:pPr>
              <w:spacing w:after="0"/>
              <w:rPr>
                <w:sz w:val="21"/>
                <w:szCs w:val="21"/>
                <w:color w:val="auto"/>
              </w:rPr>
            </w:pPr>
          </w:p>
        </w:tc>
        <w:tc>
          <w:tcPr>
            <w:tcW w:w="640" w:type="dxa"/>
            <w:vAlign w:val="bottom"/>
            <w:tcBorders>
              <w:bottom w:val="single" w:sz="8" w:color="D8D7D7"/>
            </w:tcBorders>
          </w:tcPr>
          <w:p>
            <w:pPr>
              <w:spacing w:after="0"/>
              <w:rPr>
                <w:sz w:val="21"/>
                <w:szCs w:val="21"/>
                <w:color w:val="auto"/>
              </w:rPr>
            </w:pPr>
          </w:p>
        </w:tc>
        <w:tc>
          <w:tcPr>
            <w:tcW w:w="1240" w:type="dxa"/>
            <w:vAlign w:val="bottom"/>
            <w:tcBorders>
              <w:bottom w:val="single" w:sz="8" w:color="D8D7D7"/>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Mary T. Barra</w:t>
            </w:r>
          </w:p>
        </w:tc>
        <w:tc>
          <w:tcPr>
            <w:tcW w:w="1380" w:type="dxa"/>
            <w:vAlign w:val="bottom"/>
            <w:tcBorders>
              <w:bottom w:val="single" w:sz="8" w:color="D8D7D7"/>
            </w:tcBorders>
          </w:tcPr>
          <w:p>
            <w:pPr>
              <w:jc w:val="right"/>
              <w:ind w:right="9"/>
              <w:spacing w:after="0"/>
              <w:rPr>
                <w:sz w:val="20"/>
                <w:szCs w:val="20"/>
                <w:color w:val="auto"/>
              </w:rPr>
            </w:pPr>
            <w:r>
              <w:rPr>
                <w:rFonts w:ascii="Arial" w:cs="Arial" w:eastAsia="Arial" w:hAnsi="Arial"/>
                <w:sz w:val="16"/>
                <w:szCs w:val="16"/>
                <w:color w:val="auto"/>
              </w:rPr>
              <w:t>1,658,807</w:t>
            </w:r>
          </w:p>
        </w:tc>
        <w:tc>
          <w:tcPr>
            <w:tcW w:w="640" w:type="dxa"/>
            <w:vAlign w:val="bottom"/>
            <w:tcBorders>
              <w:bottom w:val="single" w:sz="8" w:color="D8D7D7"/>
            </w:tcBorders>
          </w:tcPr>
          <w:p>
            <w:pPr>
              <w:jc w:val="right"/>
              <w:ind w:right="427"/>
              <w:spacing w:after="0"/>
              <w:rPr>
                <w:sz w:val="20"/>
                <w:szCs w:val="20"/>
                <w:color w:val="auto"/>
              </w:rPr>
            </w:pPr>
            <w:r>
              <w:rPr>
                <w:rFonts w:ascii="Arial" w:cs="Arial" w:eastAsia="Arial" w:hAnsi="Arial"/>
                <w:sz w:val="11"/>
                <w:szCs w:val="11"/>
                <w:color w:val="auto"/>
              </w:rPr>
              <w:t>(5)</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Sterling J. Anderson</w:t>
            </w:r>
          </w:p>
        </w:tc>
        <w:tc>
          <w:tcPr>
            <w:tcW w:w="1380" w:type="dxa"/>
            <w:vAlign w:val="bottom"/>
            <w:tcBorders>
              <w:bottom w:val="single" w:sz="8" w:color="D8D7D7"/>
            </w:tcBorders>
          </w:tcPr>
          <w:p>
            <w:pPr>
              <w:jc w:val="right"/>
              <w:ind w:right="9"/>
              <w:spacing w:after="0"/>
              <w:rPr>
                <w:sz w:val="20"/>
                <w:szCs w:val="20"/>
                <w:color w:val="auto"/>
              </w:rPr>
            </w:pPr>
            <w:r>
              <w:rPr>
                <w:rFonts w:ascii="Arial" w:cs="Arial" w:eastAsia="Arial" w:hAnsi="Arial"/>
                <w:sz w:val="16"/>
                <w:szCs w:val="16"/>
                <w:color w:val="auto"/>
              </w:rPr>
              <w:t>96,807</w:t>
            </w:r>
          </w:p>
        </w:tc>
        <w:tc>
          <w:tcPr>
            <w:tcW w:w="640" w:type="dxa"/>
            <w:vAlign w:val="bottom"/>
            <w:tcBorders>
              <w:bottom w:val="single" w:sz="8" w:color="D8D7D7"/>
            </w:tcBorders>
          </w:tcPr>
          <w:p>
            <w:pPr>
              <w:jc w:val="right"/>
              <w:ind w:right="427"/>
              <w:spacing w:after="0"/>
              <w:rPr>
                <w:sz w:val="20"/>
                <w:szCs w:val="20"/>
                <w:color w:val="auto"/>
              </w:rPr>
            </w:pPr>
            <w:r>
              <w:rPr>
                <w:rFonts w:ascii="Arial" w:cs="Arial" w:eastAsia="Arial" w:hAnsi="Arial"/>
                <w:sz w:val="11"/>
                <w:szCs w:val="11"/>
                <w:color w:val="auto"/>
              </w:rPr>
              <w:t>(5)</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Rory V. Harvey</w:t>
            </w:r>
          </w:p>
        </w:tc>
        <w:tc>
          <w:tcPr>
            <w:tcW w:w="138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147,195</w:t>
            </w:r>
          </w:p>
        </w:tc>
        <w:tc>
          <w:tcPr>
            <w:tcW w:w="640" w:type="dxa"/>
            <w:vAlign w:val="bottom"/>
            <w:tcBorders>
              <w:bottom w:val="single" w:sz="8" w:color="D8D7D7"/>
            </w:tcBorders>
          </w:tcPr>
          <w:p>
            <w:pPr>
              <w:jc w:val="right"/>
              <w:ind w:right="427"/>
              <w:spacing w:after="0"/>
              <w:rPr>
                <w:sz w:val="20"/>
                <w:szCs w:val="20"/>
                <w:color w:val="auto"/>
              </w:rPr>
            </w:pPr>
            <w:r>
              <w:rPr>
                <w:rFonts w:ascii="Arial" w:cs="Arial" w:eastAsia="Arial" w:hAnsi="Arial"/>
                <w:sz w:val="11"/>
                <w:szCs w:val="11"/>
                <w:color w:val="auto"/>
              </w:rPr>
              <w:t>(5)</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Paul A. Jacobson</w:t>
            </w:r>
          </w:p>
        </w:tc>
        <w:tc>
          <w:tcPr>
            <w:tcW w:w="1380" w:type="dxa"/>
            <w:vAlign w:val="bottom"/>
            <w:tcBorders>
              <w:bottom w:val="single" w:sz="8" w:color="D8D7D7"/>
            </w:tcBorders>
          </w:tcPr>
          <w:p>
            <w:pPr>
              <w:jc w:val="right"/>
              <w:ind w:right="69"/>
              <w:spacing w:after="0"/>
              <w:rPr>
                <w:sz w:val="20"/>
                <w:szCs w:val="20"/>
                <w:color w:val="auto"/>
              </w:rPr>
            </w:pPr>
            <w:r>
              <w:rPr>
                <w:rFonts w:ascii="Arial" w:cs="Arial" w:eastAsia="Arial" w:hAnsi="Arial"/>
                <w:sz w:val="16"/>
                <w:szCs w:val="16"/>
                <w:color w:val="auto"/>
              </w:rPr>
              <w:t>846,346</w:t>
            </w:r>
          </w:p>
        </w:tc>
        <w:tc>
          <w:tcPr>
            <w:tcW w:w="640" w:type="dxa"/>
            <w:vAlign w:val="bottom"/>
            <w:tcBorders>
              <w:bottom w:val="single" w:sz="8" w:color="D8D7D7"/>
            </w:tcBorders>
          </w:tcPr>
          <w:p>
            <w:pPr>
              <w:jc w:val="right"/>
              <w:ind w:right="427"/>
              <w:spacing w:after="0"/>
              <w:rPr>
                <w:sz w:val="20"/>
                <w:szCs w:val="20"/>
                <w:color w:val="auto"/>
              </w:rPr>
            </w:pPr>
            <w:r>
              <w:rPr>
                <w:rFonts w:ascii="Arial" w:cs="Arial" w:eastAsia="Arial" w:hAnsi="Arial"/>
                <w:sz w:val="11"/>
                <w:szCs w:val="11"/>
                <w:color w:val="auto"/>
              </w:rPr>
              <w:t>(5)</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0956FF"/>
              </w:rPr>
              <w:t>Mark L. Reuss</w:t>
            </w:r>
          </w:p>
        </w:tc>
        <w:tc>
          <w:tcPr>
            <w:tcW w:w="1380" w:type="dxa"/>
            <w:vAlign w:val="bottom"/>
            <w:tcBorders>
              <w:bottom w:val="single" w:sz="8" w:color="D8D7D7"/>
            </w:tcBorders>
          </w:tcPr>
          <w:p>
            <w:pPr>
              <w:jc w:val="right"/>
              <w:ind w:right="69"/>
              <w:spacing w:after="0"/>
              <w:rPr>
                <w:sz w:val="20"/>
                <w:szCs w:val="20"/>
                <w:color w:val="auto"/>
              </w:rPr>
            </w:pPr>
            <w:r>
              <w:rPr>
                <w:rFonts w:ascii="Arial" w:cs="Arial" w:eastAsia="Arial" w:hAnsi="Arial"/>
                <w:sz w:val="16"/>
                <w:szCs w:val="16"/>
                <w:color w:val="auto"/>
              </w:rPr>
              <w:t>528,094</w:t>
            </w:r>
          </w:p>
        </w:tc>
        <w:tc>
          <w:tcPr>
            <w:tcW w:w="640" w:type="dxa"/>
            <w:vAlign w:val="bottom"/>
            <w:tcBorders>
              <w:bottom w:val="single" w:sz="8" w:color="D8D7D7"/>
            </w:tcBorders>
          </w:tcPr>
          <w:p>
            <w:pPr>
              <w:jc w:val="right"/>
              <w:ind w:right="427"/>
              <w:spacing w:after="0"/>
              <w:rPr>
                <w:sz w:val="20"/>
                <w:szCs w:val="20"/>
                <w:color w:val="auto"/>
              </w:rPr>
            </w:pPr>
            <w:r>
              <w:rPr>
                <w:rFonts w:ascii="Arial" w:cs="Arial" w:eastAsia="Arial" w:hAnsi="Arial"/>
                <w:sz w:val="11"/>
                <w:szCs w:val="11"/>
                <w:color w:val="auto"/>
              </w:rPr>
              <w:t>(5)</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All Directors and Current Executive Officers as a Group (17 persons)</w:t>
            </w:r>
          </w:p>
        </w:tc>
        <w:tc>
          <w:tcPr>
            <w:tcW w:w="1380" w:type="dxa"/>
            <w:vAlign w:val="bottom"/>
            <w:tcBorders>
              <w:bottom w:val="single" w:sz="8" w:color="D8D7D7"/>
            </w:tcBorders>
          </w:tcPr>
          <w:p>
            <w:pPr>
              <w:jc w:val="right"/>
              <w:ind w:right="9"/>
              <w:spacing w:after="0"/>
              <w:rPr>
                <w:sz w:val="20"/>
                <w:szCs w:val="20"/>
                <w:color w:val="auto"/>
              </w:rPr>
            </w:pPr>
            <w:r>
              <w:rPr>
                <w:rFonts w:ascii="Arial" w:cs="Arial" w:eastAsia="Arial" w:hAnsi="Arial"/>
                <w:sz w:val="16"/>
                <w:szCs w:val="16"/>
                <w:color w:val="auto"/>
              </w:rPr>
              <w:t>3,941,869</w:t>
            </w:r>
          </w:p>
        </w:tc>
        <w:tc>
          <w:tcPr>
            <w:tcW w:w="640" w:type="dxa"/>
            <w:vAlign w:val="bottom"/>
            <w:tcBorders>
              <w:bottom w:val="single" w:sz="8" w:color="D8D7D7"/>
            </w:tcBorders>
          </w:tcPr>
          <w:p>
            <w:pPr>
              <w:jc w:val="right"/>
              <w:ind w:right="427"/>
              <w:spacing w:after="0"/>
              <w:rPr>
                <w:sz w:val="20"/>
                <w:szCs w:val="20"/>
                <w:color w:val="auto"/>
              </w:rPr>
            </w:pPr>
            <w:r>
              <w:rPr>
                <w:rFonts w:ascii="Arial" w:cs="Arial" w:eastAsia="Arial" w:hAnsi="Arial"/>
                <w:sz w:val="11"/>
                <w:szCs w:val="11"/>
                <w:color w:val="auto"/>
              </w:rPr>
              <w:t>(6)</w:t>
            </w: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Certain Other Beneficial Owners</w:t>
            </w:r>
            <w:r>
              <w:rPr>
                <w:rFonts w:ascii="Arial" w:cs="Arial" w:eastAsia="Arial" w:hAnsi="Arial"/>
                <w:sz w:val="21"/>
                <w:szCs w:val="21"/>
                <w:b w:val="1"/>
                <w:bCs w:val="1"/>
                <w:color w:val="auto"/>
                <w:vertAlign w:val="superscript"/>
              </w:rPr>
              <w:t>(7)</w:t>
            </w:r>
          </w:p>
        </w:tc>
        <w:tc>
          <w:tcPr>
            <w:tcW w:w="1380" w:type="dxa"/>
            <w:vAlign w:val="bottom"/>
            <w:tcBorders>
              <w:bottom w:val="single" w:sz="8" w:color="D8D7D7"/>
            </w:tcBorders>
          </w:tcPr>
          <w:p>
            <w:pPr>
              <w:spacing w:after="0"/>
              <w:rPr>
                <w:sz w:val="21"/>
                <w:szCs w:val="21"/>
                <w:color w:val="auto"/>
              </w:rPr>
            </w:pPr>
          </w:p>
        </w:tc>
        <w:tc>
          <w:tcPr>
            <w:tcW w:w="640" w:type="dxa"/>
            <w:vAlign w:val="bottom"/>
            <w:tcBorders>
              <w:bottom w:val="single" w:sz="8" w:color="D8D7D7"/>
            </w:tcBorders>
          </w:tcPr>
          <w:p>
            <w:pPr>
              <w:spacing w:after="0"/>
              <w:rPr>
                <w:sz w:val="21"/>
                <w:szCs w:val="21"/>
                <w:color w:val="auto"/>
              </w:rPr>
            </w:pPr>
          </w:p>
        </w:tc>
        <w:tc>
          <w:tcPr>
            <w:tcW w:w="1240" w:type="dxa"/>
            <w:vAlign w:val="bottom"/>
            <w:tcBorders>
              <w:bottom w:val="single" w:sz="8" w:color="D8D7D7"/>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BlackRock, Inc.</w:t>
            </w:r>
            <w:r>
              <w:rPr>
                <w:rFonts w:ascii="Arial" w:cs="Arial" w:eastAsia="Arial" w:hAnsi="Arial"/>
                <w:sz w:val="21"/>
                <w:szCs w:val="21"/>
                <w:b w:val="1"/>
                <w:bCs w:val="1"/>
                <w:color w:val="auto"/>
                <w:vertAlign w:val="superscript"/>
              </w:rPr>
              <w:t>(8)</w:t>
            </w:r>
          </w:p>
        </w:tc>
        <w:tc>
          <w:tcPr>
            <w:tcW w:w="1380" w:type="dxa"/>
            <w:vAlign w:val="bottom"/>
            <w:tcBorders>
              <w:bottom w:val="single" w:sz="8" w:color="D8D7D7"/>
            </w:tcBorders>
          </w:tcPr>
          <w:p>
            <w:pPr>
              <w:jc w:val="right"/>
              <w:ind w:right="29"/>
              <w:spacing w:after="0"/>
              <w:rPr>
                <w:sz w:val="20"/>
                <w:szCs w:val="20"/>
                <w:color w:val="auto"/>
              </w:rPr>
            </w:pPr>
            <w:r>
              <w:rPr>
                <w:rFonts w:ascii="Arial" w:cs="Arial" w:eastAsia="Arial" w:hAnsi="Arial"/>
                <w:sz w:val="16"/>
                <w:szCs w:val="16"/>
                <w:color w:val="auto"/>
              </w:rPr>
              <w:t>74,909,069</w:t>
            </w:r>
          </w:p>
        </w:tc>
        <w:tc>
          <w:tcPr>
            <w:tcW w:w="640" w:type="dxa"/>
            <w:vAlign w:val="bottom"/>
            <w:tcBorders>
              <w:bottom w:val="single" w:sz="8" w:color="D8D7D7"/>
            </w:tcBorders>
          </w:tcPr>
          <w:p>
            <w:pPr>
              <w:spacing w:after="0"/>
              <w:rPr>
                <w:sz w:val="21"/>
                <w:szCs w:val="21"/>
                <w:color w:val="auto"/>
              </w:rPr>
            </w:pPr>
          </w:p>
        </w:tc>
        <w:tc>
          <w:tcPr>
            <w:tcW w:w="12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auto"/>
              </w:rPr>
              <w:t>State Street Corporation</w:t>
            </w:r>
            <w:r>
              <w:rPr>
                <w:rFonts w:ascii="Arial" w:cs="Arial" w:eastAsia="Arial" w:hAnsi="Arial"/>
                <w:sz w:val="21"/>
                <w:szCs w:val="21"/>
                <w:b w:val="1"/>
                <w:bCs w:val="1"/>
                <w:color w:val="auto"/>
                <w:vertAlign w:val="superscript"/>
              </w:rPr>
              <w:t>(9)</w:t>
            </w:r>
          </w:p>
        </w:tc>
        <w:tc>
          <w:tcPr>
            <w:tcW w:w="1380" w:type="dxa"/>
            <w:vAlign w:val="bottom"/>
            <w:tcBorders>
              <w:bottom w:val="single" w:sz="8" w:color="0956FF"/>
            </w:tcBorders>
          </w:tcPr>
          <w:p>
            <w:pPr>
              <w:jc w:val="right"/>
              <w:ind w:right="49"/>
              <w:spacing w:after="0"/>
              <w:rPr>
                <w:sz w:val="20"/>
                <w:szCs w:val="20"/>
                <w:color w:val="auto"/>
              </w:rPr>
            </w:pPr>
            <w:r>
              <w:rPr>
                <w:rFonts w:ascii="Arial" w:cs="Arial" w:eastAsia="Arial" w:hAnsi="Arial"/>
                <w:sz w:val="16"/>
                <w:szCs w:val="16"/>
                <w:color w:val="auto"/>
              </w:rPr>
              <w:t>46,594,475</w:t>
            </w:r>
          </w:p>
        </w:tc>
        <w:tc>
          <w:tcPr>
            <w:tcW w:w="640" w:type="dxa"/>
            <w:vAlign w:val="bottom"/>
            <w:tcBorders>
              <w:bottom w:val="single" w:sz="8" w:color="0956FF"/>
            </w:tcBorders>
          </w:tcPr>
          <w:p>
            <w:pPr>
              <w:spacing w:after="0"/>
              <w:rPr>
                <w:sz w:val="21"/>
                <w:szCs w:val="21"/>
                <w:color w:val="auto"/>
              </w:rPr>
            </w:pPr>
          </w:p>
        </w:tc>
        <w:tc>
          <w:tcPr>
            <w:tcW w:w="1240" w:type="dxa"/>
            <w:vAlign w:val="bottom"/>
            <w:tcBorders>
              <w:bottom w:val="single" w:sz="8" w:color="0956FF"/>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80"/>
          </w:cols>
          <w:pgMar w:left="1400" w:top="133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97</w:t>
      </w:r>
    </w:p>
    <w:p>
      <w:pPr>
        <w:sectPr>
          <w:pgSz w:w="11900" w:h="16838" w:orient="portrait"/>
          <w:cols w:equalWidth="0" w:num="1">
            <w:col w:w="9080"/>
          </w:cols>
          <w:pgMar w:left="1400" w:top="1339" w:right="141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Security Ownership Information</w:t>
      </w:r>
    </w:p>
    <w:p>
      <w:pPr>
        <w:spacing w:after="0" w:line="200" w:lineRule="exact"/>
        <w:rPr>
          <w:sz w:val="20"/>
          <w:szCs w:val="20"/>
          <w:color w:val="auto"/>
        </w:rPr>
      </w:pPr>
    </w:p>
    <w:p>
      <w:pPr>
        <w:spacing w:after="0" w:line="382" w:lineRule="exact"/>
        <w:rPr>
          <w:sz w:val="20"/>
          <w:szCs w:val="20"/>
          <w:color w:val="auto"/>
        </w:rPr>
      </w:pPr>
    </w:p>
    <w:p>
      <w:pPr>
        <w:spacing w:after="0"/>
        <w:tabs>
          <w:tab w:leader="none" w:pos="180" w:val="left"/>
        </w:tabs>
        <w:rPr>
          <w:sz w:val="20"/>
          <w:szCs w:val="20"/>
          <w:color w:val="auto"/>
        </w:rPr>
      </w:pPr>
      <w:r>
        <w:rPr>
          <w:rFonts w:ascii="Arial" w:cs="Arial" w:eastAsia="Arial" w:hAnsi="Arial"/>
          <w:sz w:val="14"/>
          <w:szCs w:val="14"/>
          <w:color w:val="auto"/>
        </w:rPr>
        <w:t>*</w:t>
        <w:tab/>
        <w:t>Less than 1 percent.</w:t>
      </w:r>
    </w:p>
    <w:p>
      <w:pPr>
        <w:spacing w:after="0" w:line="54" w:lineRule="exact"/>
        <w:rPr>
          <w:sz w:val="20"/>
          <w:szCs w:val="20"/>
          <w:color w:val="auto"/>
        </w:rPr>
      </w:pPr>
    </w:p>
    <w:p>
      <w:pPr>
        <w:ind w:left="200" w:hanging="192"/>
        <w:spacing w:after="0"/>
        <w:tabs>
          <w:tab w:leader="none" w:pos="20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c/o General Motors Company, Mail Code 482-22381-1101, 1240 Woodward Avenue, Detroit, Michigan 48265.</w:t>
      </w:r>
    </w:p>
    <w:p>
      <w:pPr>
        <w:spacing w:after="0" w:line="52" w:lineRule="exact"/>
        <w:rPr>
          <w:rFonts w:ascii="Arial" w:cs="Arial" w:eastAsia="Arial" w:hAnsi="Arial"/>
          <w:sz w:val="19"/>
          <w:szCs w:val="19"/>
          <w:color w:val="auto"/>
          <w:vertAlign w:val="superscript"/>
        </w:rPr>
      </w:pPr>
    </w:p>
    <w:p>
      <w:pPr>
        <w:ind w:left="200" w:right="99" w:hanging="192"/>
        <w:spacing w:after="0" w:line="270" w:lineRule="auto"/>
        <w:tabs>
          <w:tab w:leader="none" w:pos="20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common stock only and do not include DSUs, which are unit equivalents of our common stock. For more information about how DSUs work, see page 32. Non-employee directors hold the following number of DSUs: 54,696 DSUs for Mr. Bush; 25,885 DSUs for Ms. Crevoiserat; 7,885 DSUs for Mr. Kelly; 90,111 DSUs for Mr. Jimenez; 20,042 DSUs for Mr. McNeill; 30,630 DSUs for Ms. Miscik; 102,030 DSUs for Ms. Russo; 19,689 DSUs for Mr. Tatum; 17,990 DSUs for Ms. Tighe; and 64,631 DSUs for Mr. Wenig.</w:t>
      </w:r>
    </w:p>
    <w:p>
      <w:pPr>
        <w:spacing w:after="0" w:line="6"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These shares are held indirectly in the Wesley G. Bush Revocable Trust.</w:t>
      </w:r>
    </w:p>
    <w:p>
      <w:pPr>
        <w:spacing w:after="0" w:line="52" w:lineRule="exact"/>
        <w:rPr>
          <w:rFonts w:ascii="Arial" w:cs="Arial" w:eastAsia="Arial" w:hAnsi="Arial"/>
          <w:sz w:val="19"/>
          <w:szCs w:val="19"/>
          <w:color w:val="auto"/>
          <w:vertAlign w:val="superscript"/>
        </w:rPr>
      </w:pPr>
    </w:p>
    <w:p>
      <w:pPr>
        <w:ind w:left="200" w:right="379" w:hanging="192"/>
        <w:spacing w:after="0" w:line="239" w:lineRule="auto"/>
        <w:tabs>
          <w:tab w:leader="none" w:pos="20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This amount includes 330 shares of common stock that Mr. Jimenez holds indirectly through a limited liability company owned but not managed by him.</w:t>
      </w:r>
    </w:p>
    <w:p>
      <w:pPr>
        <w:spacing w:after="0" w:line="67" w:lineRule="exact"/>
        <w:rPr>
          <w:rFonts w:ascii="Arial" w:cs="Arial" w:eastAsia="Arial" w:hAnsi="Arial"/>
          <w:sz w:val="19"/>
          <w:szCs w:val="19"/>
          <w:color w:val="auto"/>
          <w:vertAlign w:val="superscript"/>
        </w:rPr>
      </w:pPr>
    </w:p>
    <w:p>
      <w:pPr>
        <w:jc w:val="both"/>
        <w:ind w:left="200" w:right="659" w:hanging="192"/>
        <w:spacing w:after="0" w:line="257" w:lineRule="auto"/>
        <w:tabs>
          <w:tab w:leader="none" w:pos="20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These amounts include shares that may be acquired upon exercise of stock options that are currently exercisable or will become exercisable within 60 days of April 1, 2026, as follows: 840,262 shares for Ms. Barra; 0 shares for Mr. Anderson; 5,652 shares for Mr. Harvey; 360,293 shares for Mr. Jacobson; and 405,206 shares for Mr. Reuss.</w:t>
      </w:r>
    </w:p>
    <w:p>
      <w:pPr>
        <w:spacing w:after="0" w:line="42" w:lineRule="exact"/>
        <w:rPr>
          <w:rFonts w:ascii="Arial" w:cs="Arial" w:eastAsia="Arial" w:hAnsi="Arial"/>
          <w:sz w:val="19"/>
          <w:szCs w:val="19"/>
          <w:color w:val="auto"/>
          <w:vertAlign w:val="superscript"/>
        </w:rPr>
      </w:pPr>
    </w:p>
    <w:p>
      <w:pPr>
        <w:ind w:left="200" w:right="359" w:hanging="192"/>
        <w:spacing w:after="0" w:line="266" w:lineRule="auto"/>
        <w:tabs>
          <w:tab w:leader="none" w:pos="20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This amount includes 3,407,627 shares that individuals in the group may acquire upon exercise of stock options that are currently exercisable or will become exercisable within 60 days of April 6, 2026. No director or executive officer has pledged shares of common stock as security or hedged their exposure to common stock.</w:t>
      </w:r>
    </w:p>
    <w:p>
      <w:pPr>
        <w:spacing w:after="0" w:line="35" w:lineRule="exact"/>
        <w:rPr>
          <w:rFonts w:ascii="Arial" w:cs="Arial" w:eastAsia="Arial" w:hAnsi="Arial"/>
          <w:sz w:val="19"/>
          <w:szCs w:val="19"/>
          <w:color w:val="auto"/>
          <w:vertAlign w:val="superscript"/>
        </w:rPr>
      </w:pPr>
    </w:p>
    <w:p>
      <w:pPr>
        <w:ind w:left="200" w:right="439" w:hanging="192"/>
        <w:spacing w:after="0" w:line="239" w:lineRule="auto"/>
        <w:tabs>
          <w:tab w:leader="none" w:pos="20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The Company is permitted to rely on the information reported by each beneficial owner in filings with the SEC and has no reason to believe that the information is incomplete or inaccurate or that the beneficial owner should have filed an amended report and did not.</w:t>
      </w:r>
    </w:p>
    <w:p>
      <w:pPr>
        <w:spacing w:after="0" w:line="54" w:lineRule="exact"/>
        <w:rPr>
          <w:rFonts w:ascii="Arial" w:cs="Arial" w:eastAsia="Arial" w:hAnsi="Arial"/>
          <w:sz w:val="19"/>
          <w:szCs w:val="19"/>
          <w:color w:val="auto"/>
          <w:vertAlign w:val="superscript"/>
        </w:rPr>
      </w:pPr>
    </w:p>
    <w:p>
      <w:pPr>
        <w:ind w:left="200" w:right="179" w:hanging="192"/>
        <w:spacing w:after="0" w:line="263" w:lineRule="auto"/>
        <w:tabs>
          <w:tab w:leader="none" w:pos="20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Based solely on information set forth in a Schedule 13G/A filed with the SEC on April 17, 2025, BlackRock, Inc., reported that it and its subsidiaries listed on Exhibit 99 to Schedule 13G/A were the beneficial owners of 74,909,069 shares of GM’s outstanding common stock as of March 31, 2025. BlackRock reported having sole voting power over 65,212,860 shares and sole dispositive power over 74,909,069 shares. No shared voting or dispositive powers were reported. The address for BlackRock, Inc., is 50 Hudson Yards, New York,</w:t>
      </w:r>
    </w:p>
    <w:p>
      <w:pPr>
        <w:spacing w:after="0" w:line="2" w:lineRule="exact"/>
        <w:rPr>
          <w:rFonts w:ascii="Arial" w:cs="Arial" w:eastAsia="Arial" w:hAnsi="Arial"/>
          <w:sz w:val="19"/>
          <w:szCs w:val="19"/>
          <w:color w:val="auto"/>
          <w:vertAlign w:val="superscript"/>
        </w:rPr>
      </w:pPr>
    </w:p>
    <w:p>
      <w:pPr>
        <w:ind w:left="200"/>
        <w:spacing w:after="0"/>
        <w:rPr>
          <w:rFonts w:ascii="Arial" w:cs="Arial" w:eastAsia="Arial" w:hAnsi="Arial"/>
          <w:sz w:val="19"/>
          <w:szCs w:val="19"/>
          <w:color w:val="auto"/>
          <w:vertAlign w:val="superscript"/>
        </w:rPr>
      </w:pPr>
      <w:r>
        <w:rPr>
          <w:rFonts w:ascii="Arial" w:cs="Arial" w:eastAsia="Arial" w:hAnsi="Arial"/>
          <w:sz w:val="14"/>
          <w:szCs w:val="14"/>
          <w:color w:val="auto"/>
        </w:rPr>
        <w:t>New York 10001.</w:t>
      </w:r>
    </w:p>
    <w:p>
      <w:pPr>
        <w:spacing w:after="0" w:line="80" w:lineRule="exact"/>
        <w:rPr>
          <w:rFonts w:ascii="Arial" w:cs="Arial" w:eastAsia="Arial" w:hAnsi="Arial"/>
          <w:sz w:val="19"/>
          <w:szCs w:val="19"/>
          <w:color w:val="auto"/>
          <w:vertAlign w:val="superscript"/>
        </w:rPr>
      </w:pPr>
    </w:p>
    <w:p>
      <w:pPr>
        <w:ind w:left="200" w:right="99" w:hanging="192"/>
        <w:spacing w:after="0" w:line="273" w:lineRule="auto"/>
        <w:tabs>
          <w:tab w:leader="none" w:pos="200"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Based solely on information set forth in a Schedule 13G filed with the SEC on November 10, 2025, State Street Corporation reported that it and its subsidiaries set forth on Schedule 13G were the beneficial owners of 46,594,475 shares of GM’s outstanding common stock as of September 30, 2025. State Street reported having shared voting power over 28,366,784 shares and shared dispositive power over 46,588,357 shares. No sole voting or dispositive powers were reported. The address for State Street Corporation is One Congress Street, Suite One, Boston, Massachusetts 02114.</w:t>
      </w:r>
    </w:p>
    <w:p>
      <w:pPr>
        <w:spacing w:after="0" w:line="344"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Delinquent Section 16(a) Reporting</w:t>
      </w:r>
    </w:p>
    <w:p>
      <w:pPr>
        <w:spacing w:after="0" w:line="140" w:lineRule="exact"/>
        <w:rPr>
          <w:sz w:val="20"/>
          <w:szCs w:val="20"/>
          <w:color w:val="auto"/>
        </w:rPr>
      </w:pPr>
    </w:p>
    <w:p>
      <w:pPr>
        <w:ind w:right="199"/>
        <w:spacing w:after="0" w:line="295" w:lineRule="auto"/>
        <w:rPr>
          <w:sz w:val="20"/>
          <w:szCs w:val="20"/>
          <w:color w:val="auto"/>
        </w:rPr>
      </w:pPr>
      <w:r>
        <w:rPr>
          <w:rFonts w:ascii="Arial" w:cs="Arial" w:eastAsia="Arial" w:hAnsi="Arial"/>
          <w:sz w:val="16"/>
          <w:szCs w:val="16"/>
          <w:color w:val="auto"/>
        </w:rPr>
        <w:t>Section 16(a) of the Securities Exchange Act of 1934 requires our directors, officers and beneficial owners of 10 percent or more of our common shares to file reports with the SEC. We assist our directors and officers by monitoring transactions and completing and filing these reports on their behalf. Based on our records and other information, we believe that all reports that were required to be filed under Section 16(a) during 2025 were timely filed.</w:t>
      </w:r>
    </w:p>
    <w:p>
      <w:pPr>
        <w:sectPr>
          <w:pgSz w:w="11900" w:h="16838" w:orient="portrait"/>
          <w:cols w:equalWidth="0" w:num="1">
            <w:col w:w="9059"/>
          </w:cols>
          <w:pgMar w:left="1400" w:top="6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98</w:t>
      </w:r>
    </w:p>
    <w:p>
      <w:pPr>
        <w:sectPr>
          <w:pgSz w:w="11900" w:h="16838" w:orient="portrait"/>
          <w:cols w:equalWidth="0" w:num="1">
            <w:col w:w="9059"/>
          </w:cols>
          <w:pgMar w:left="1400" w:top="657" w:right="1440" w:bottom="1440" w:gutter="0" w:footer="0" w:header="0"/>
          <w:type w:val="continuous"/>
        </w:sectPr>
      </w:pPr>
    </w:p>
    <w:bookmarkStart w:id="105" w:name="page106"/>
    <w:bookmarkEnd w:id="105"/>
    <w:p>
      <w:pPr>
        <w:ind w:right="2560"/>
        <w:spacing w:after="0" w:line="281" w:lineRule="auto"/>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General Information About the Annual Meeting</w:t>
      </w:r>
    </w:p>
    <w:p>
      <w:pPr>
        <w:spacing w:after="0" w:line="200" w:lineRule="exact"/>
        <w:rPr>
          <w:sz w:val="20"/>
          <w:szCs w:val="20"/>
          <w:color w:val="auto"/>
        </w:rPr>
      </w:pPr>
    </w:p>
    <w:p>
      <w:pPr>
        <w:spacing w:after="0" w:line="222" w:lineRule="exact"/>
        <w:rPr>
          <w:sz w:val="20"/>
          <w:szCs w:val="20"/>
          <w:color w:val="auto"/>
        </w:rPr>
      </w:pPr>
    </w:p>
    <w:p>
      <w:pPr>
        <w:ind w:right="680"/>
        <w:spacing w:after="0" w:line="273" w:lineRule="auto"/>
        <w:rPr>
          <w:sz w:val="20"/>
          <w:szCs w:val="20"/>
          <w:color w:val="auto"/>
        </w:rPr>
      </w:pPr>
      <w:r>
        <w:rPr>
          <w:rFonts w:ascii="Arial" w:cs="Arial" w:eastAsia="Arial" w:hAnsi="Arial"/>
          <w:sz w:val="22"/>
          <w:szCs w:val="22"/>
          <w:b w:val="1"/>
          <w:bCs w:val="1"/>
          <w:color w:val="auto"/>
        </w:rPr>
        <w:t>What are the matters to be presented at the Annual Meeting? How does the Board recommend that I vote, and what are the vote requirements?</w:t>
      </w:r>
      <w:r>
        <w:rPr>
          <w:rFonts w:ascii="Arial" w:cs="Arial" w:eastAsia="Arial" w:hAnsi="Arial"/>
          <w:sz w:val="28"/>
          <w:szCs w:val="28"/>
          <w:b w:val="1"/>
          <w:bCs w:val="1"/>
          <w:color w:val="auto"/>
          <w:vertAlign w:val="superscript"/>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shd w:val="clear" w:color="auto" w:fill="ECEBEB"/>
          </w:tcPr>
          <w:p>
            <w:pPr>
              <w:jc w:val="center"/>
              <w:spacing w:after="0"/>
              <w:rPr>
                <w:sz w:val="20"/>
                <w:szCs w:val="20"/>
                <w:color w:val="auto"/>
              </w:rPr>
            </w:pPr>
            <w:r>
              <w:rPr>
                <w:rFonts w:ascii="Arial" w:cs="Arial" w:eastAsia="Arial" w:hAnsi="Arial"/>
                <w:sz w:val="14"/>
                <w:szCs w:val="14"/>
                <w:b w:val="1"/>
                <w:bCs w:val="1"/>
                <w:color w:val="auto"/>
              </w:rPr>
              <w:t>Agenda</w:t>
            </w:r>
          </w:p>
        </w:tc>
        <w:tc>
          <w:tcPr>
            <w:tcW w:w="2580" w:type="dxa"/>
            <w:vAlign w:val="bottom"/>
            <w:shd w:val="clear" w:color="auto" w:fill="ECEBEB"/>
          </w:tcPr>
          <w:p>
            <w:pPr>
              <w:spacing w:after="0"/>
              <w:rPr>
                <w:sz w:val="19"/>
                <w:szCs w:val="19"/>
                <w:color w:val="auto"/>
              </w:rPr>
            </w:pPr>
          </w:p>
        </w:tc>
        <w:tc>
          <w:tcPr>
            <w:tcW w:w="1400" w:type="dxa"/>
            <w:vAlign w:val="bottom"/>
            <w:shd w:val="clear" w:color="auto" w:fill="ECEBEB"/>
          </w:tcPr>
          <w:p>
            <w:pPr>
              <w:jc w:val="center"/>
              <w:spacing w:after="0"/>
              <w:rPr>
                <w:sz w:val="20"/>
                <w:szCs w:val="20"/>
                <w:color w:val="auto"/>
              </w:rPr>
            </w:pPr>
            <w:r>
              <w:rPr>
                <w:rFonts w:ascii="Arial" w:cs="Arial" w:eastAsia="Arial" w:hAnsi="Arial"/>
                <w:sz w:val="14"/>
                <w:szCs w:val="14"/>
                <w:b w:val="1"/>
                <w:bCs w:val="1"/>
                <w:color w:val="auto"/>
              </w:rPr>
              <w:t>Board</w:t>
            </w:r>
          </w:p>
        </w:tc>
        <w:tc>
          <w:tcPr>
            <w:tcW w:w="2260" w:type="dxa"/>
            <w:vAlign w:val="bottom"/>
            <w:shd w:val="clear" w:color="auto" w:fill="ECEBEB"/>
          </w:tcPr>
          <w:p>
            <w:pPr>
              <w:spacing w:after="0"/>
              <w:rPr>
                <w:sz w:val="19"/>
                <w:szCs w:val="19"/>
                <w:color w:val="auto"/>
              </w:rPr>
            </w:pPr>
          </w:p>
        </w:tc>
        <w:tc>
          <w:tcPr>
            <w:tcW w:w="980" w:type="dxa"/>
            <w:vAlign w:val="bottom"/>
            <w:shd w:val="clear" w:color="auto" w:fill="ECEBEB"/>
          </w:tcPr>
          <w:p>
            <w:pPr>
              <w:jc w:val="center"/>
              <w:spacing w:after="0"/>
              <w:rPr>
                <w:sz w:val="20"/>
                <w:szCs w:val="20"/>
                <w:color w:val="auto"/>
              </w:rPr>
            </w:pPr>
            <w:r>
              <w:rPr>
                <w:rFonts w:ascii="Arial" w:cs="Arial" w:eastAsia="Arial" w:hAnsi="Arial"/>
                <w:sz w:val="14"/>
                <w:szCs w:val="14"/>
                <w:b w:val="1"/>
                <w:bCs w:val="1"/>
                <w:color w:val="auto"/>
              </w:rPr>
              <w:t>Effect of</w:t>
            </w:r>
          </w:p>
        </w:tc>
        <w:tc>
          <w:tcPr>
            <w:tcW w:w="1200" w:type="dxa"/>
            <w:vAlign w:val="bottom"/>
            <w:shd w:val="clear" w:color="auto" w:fill="ECEBEB"/>
          </w:tcPr>
          <w:p>
            <w:pPr>
              <w:jc w:val="center"/>
              <w:spacing w:after="0"/>
              <w:rPr>
                <w:sz w:val="20"/>
                <w:szCs w:val="20"/>
                <w:color w:val="auto"/>
              </w:rPr>
            </w:pPr>
            <w:r>
              <w:rPr>
                <w:rFonts w:ascii="Arial" w:cs="Arial" w:eastAsia="Arial" w:hAnsi="Arial"/>
                <w:sz w:val="14"/>
                <w:szCs w:val="14"/>
                <w:b w:val="1"/>
                <w:bCs w:val="1"/>
                <w:color w:val="auto"/>
              </w:rPr>
              <w:t>Effect of Broker</w:t>
            </w:r>
          </w:p>
        </w:tc>
        <w:tc>
          <w:tcPr>
            <w:tcW w:w="0" w:type="dxa"/>
            <w:vAlign w:val="bottom"/>
          </w:tcPr>
          <w:p>
            <w:pPr>
              <w:spacing w:after="0"/>
              <w:rPr>
                <w:sz w:val="1"/>
                <w:szCs w:val="1"/>
                <w:color w:val="auto"/>
              </w:rPr>
            </w:pPr>
          </w:p>
        </w:tc>
      </w:tr>
      <w:tr>
        <w:trPr>
          <w:trHeight w:val="185"/>
        </w:trPr>
        <w:tc>
          <w:tcPr>
            <w:tcW w:w="660" w:type="dxa"/>
            <w:vAlign w:val="bottom"/>
            <w:tcBorders>
              <w:bottom w:val="single" w:sz="8" w:color="0956FF"/>
            </w:tcBorders>
            <w:shd w:val="clear" w:color="auto" w:fill="ECEBEB"/>
          </w:tcPr>
          <w:p>
            <w:pPr>
              <w:jc w:val="center"/>
              <w:spacing w:after="0"/>
              <w:rPr>
                <w:sz w:val="20"/>
                <w:szCs w:val="20"/>
                <w:color w:val="auto"/>
              </w:rPr>
            </w:pPr>
            <w:r>
              <w:rPr>
                <w:rFonts w:ascii="Arial" w:cs="Arial" w:eastAsia="Arial" w:hAnsi="Arial"/>
                <w:sz w:val="14"/>
                <w:szCs w:val="14"/>
                <w:b w:val="1"/>
                <w:bCs w:val="1"/>
                <w:color w:val="auto"/>
              </w:rPr>
              <w:t>Item</w:t>
            </w:r>
          </w:p>
        </w:tc>
        <w:tc>
          <w:tcPr>
            <w:tcW w:w="2580" w:type="dxa"/>
            <w:vAlign w:val="bottom"/>
            <w:tcBorders>
              <w:bottom w:val="single" w:sz="8" w:color="0956FF"/>
            </w:tcBorders>
            <w:shd w:val="clear" w:color="auto" w:fill="ECEBEB"/>
          </w:tcPr>
          <w:p>
            <w:pPr>
              <w:ind w:left="920"/>
              <w:spacing w:after="0"/>
              <w:rPr>
                <w:sz w:val="20"/>
                <w:szCs w:val="20"/>
                <w:color w:val="auto"/>
              </w:rPr>
            </w:pPr>
            <w:r>
              <w:rPr>
                <w:rFonts w:ascii="Arial" w:cs="Arial" w:eastAsia="Arial" w:hAnsi="Arial"/>
                <w:sz w:val="14"/>
                <w:szCs w:val="14"/>
                <w:b w:val="1"/>
                <w:bCs w:val="1"/>
                <w:color w:val="auto"/>
              </w:rPr>
              <w:t>Description</w:t>
            </w:r>
          </w:p>
        </w:tc>
        <w:tc>
          <w:tcPr>
            <w:tcW w:w="1400" w:type="dxa"/>
            <w:vAlign w:val="bottom"/>
            <w:tcBorders>
              <w:bottom w:val="single" w:sz="8" w:color="0956FF"/>
            </w:tcBorders>
            <w:shd w:val="clear" w:color="auto" w:fill="ECEBEB"/>
          </w:tcPr>
          <w:p>
            <w:pPr>
              <w:jc w:val="center"/>
              <w:spacing w:after="0"/>
              <w:rPr>
                <w:sz w:val="20"/>
                <w:szCs w:val="20"/>
                <w:color w:val="auto"/>
              </w:rPr>
            </w:pPr>
            <w:r>
              <w:rPr>
                <w:rFonts w:ascii="Arial" w:cs="Arial" w:eastAsia="Arial" w:hAnsi="Arial"/>
                <w:sz w:val="14"/>
                <w:szCs w:val="14"/>
                <w:b w:val="1"/>
                <w:bCs w:val="1"/>
                <w:color w:val="auto"/>
              </w:rPr>
              <w:t>Recommendation</w:t>
            </w:r>
          </w:p>
        </w:tc>
        <w:tc>
          <w:tcPr>
            <w:tcW w:w="2260" w:type="dxa"/>
            <w:vAlign w:val="bottom"/>
            <w:tcBorders>
              <w:bottom w:val="single" w:sz="8" w:color="0956FF"/>
            </w:tcBorders>
            <w:shd w:val="clear" w:color="auto" w:fill="ECEBEB"/>
          </w:tcPr>
          <w:p>
            <w:pPr>
              <w:ind w:left="80"/>
              <w:spacing w:after="0"/>
              <w:rPr>
                <w:sz w:val="20"/>
                <w:szCs w:val="20"/>
                <w:color w:val="auto"/>
              </w:rPr>
            </w:pPr>
            <w:r>
              <w:rPr>
                <w:rFonts w:ascii="Arial" w:cs="Arial" w:eastAsia="Arial" w:hAnsi="Arial"/>
                <w:sz w:val="14"/>
                <w:szCs w:val="14"/>
                <w:b w:val="1"/>
                <w:bCs w:val="1"/>
                <w:color w:val="auto"/>
              </w:rPr>
              <w:t>Vote Requirement for Approval</w:t>
            </w:r>
          </w:p>
        </w:tc>
        <w:tc>
          <w:tcPr>
            <w:tcW w:w="980" w:type="dxa"/>
            <w:vAlign w:val="bottom"/>
            <w:tcBorders>
              <w:bottom w:val="single" w:sz="8" w:color="0956FF"/>
            </w:tcBorders>
            <w:shd w:val="clear" w:color="auto" w:fill="ECEBEB"/>
          </w:tcPr>
          <w:p>
            <w:pPr>
              <w:jc w:val="center"/>
              <w:spacing w:after="0"/>
              <w:rPr>
                <w:sz w:val="20"/>
                <w:szCs w:val="20"/>
                <w:color w:val="auto"/>
              </w:rPr>
            </w:pPr>
            <w:r>
              <w:rPr>
                <w:rFonts w:ascii="Arial" w:cs="Arial" w:eastAsia="Arial" w:hAnsi="Arial"/>
                <w:sz w:val="14"/>
                <w:szCs w:val="14"/>
                <w:b w:val="1"/>
                <w:bCs w:val="1"/>
                <w:color w:val="auto"/>
              </w:rPr>
              <w:t>Abstentions</w:t>
            </w:r>
          </w:p>
        </w:tc>
        <w:tc>
          <w:tcPr>
            <w:tcW w:w="1200" w:type="dxa"/>
            <w:vAlign w:val="bottom"/>
            <w:tcBorders>
              <w:bottom w:val="single" w:sz="8" w:color="0956FF"/>
            </w:tcBorders>
            <w:shd w:val="clear" w:color="auto" w:fill="ECEBEB"/>
          </w:tcPr>
          <w:p>
            <w:pPr>
              <w:jc w:val="center"/>
              <w:spacing w:after="0"/>
              <w:rPr>
                <w:sz w:val="20"/>
                <w:szCs w:val="20"/>
                <w:color w:val="auto"/>
              </w:rPr>
            </w:pPr>
            <w:r>
              <w:rPr>
                <w:rFonts w:ascii="Arial" w:cs="Arial" w:eastAsia="Arial" w:hAnsi="Arial"/>
                <w:sz w:val="14"/>
                <w:szCs w:val="14"/>
                <w:b w:val="1"/>
                <w:bCs w:val="1"/>
                <w:color w:val="auto"/>
                <w:w w:val="99"/>
              </w:rPr>
              <w:t>Non-Votes</w:t>
            </w: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956FF"/>
              </w:rPr>
              <w:t>FOR</w:t>
            </w:r>
          </w:p>
        </w:tc>
        <w:tc>
          <w:tcPr>
            <w:tcW w:w="2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60" w:type="dxa"/>
            <w:vAlign w:val="bottom"/>
          </w:tcPr>
          <w:p>
            <w:pPr>
              <w:jc w:val="center"/>
              <w:spacing w:after="0"/>
              <w:rPr>
                <w:sz w:val="20"/>
                <w:szCs w:val="20"/>
                <w:color w:val="auto"/>
              </w:rPr>
            </w:pPr>
            <w:r>
              <w:rPr>
                <w:rFonts w:ascii="Arial" w:cs="Arial" w:eastAsia="Arial" w:hAnsi="Arial"/>
                <w:sz w:val="14"/>
                <w:szCs w:val="14"/>
                <w:color w:val="auto"/>
              </w:rPr>
              <w:t>1</w:t>
            </w:r>
          </w:p>
        </w:tc>
        <w:tc>
          <w:tcPr>
            <w:tcW w:w="2580" w:type="dxa"/>
            <w:vAlign w:val="bottom"/>
          </w:tcPr>
          <w:p>
            <w:pPr>
              <w:ind w:left="60"/>
              <w:spacing w:after="0"/>
              <w:rPr>
                <w:sz w:val="20"/>
                <w:szCs w:val="20"/>
                <w:color w:val="auto"/>
              </w:rPr>
            </w:pPr>
            <w:r>
              <w:rPr>
                <w:rFonts w:ascii="Arial" w:cs="Arial" w:eastAsia="Arial" w:hAnsi="Arial"/>
                <w:sz w:val="14"/>
                <w:szCs w:val="14"/>
                <w:color w:val="auto"/>
              </w:rPr>
              <w:t>Annual Election of Directors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956FF"/>
              </w:rPr>
              <w:t>each director</w:t>
            </w:r>
          </w:p>
        </w:tc>
        <w:tc>
          <w:tcPr>
            <w:tcW w:w="2260" w:type="dxa"/>
            <w:vAlign w:val="bottom"/>
          </w:tcPr>
          <w:p>
            <w:pPr>
              <w:jc w:val="center"/>
              <w:spacing w:after="0"/>
              <w:rPr>
                <w:sz w:val="20"/>
                <w:szCs w:val="20"/>
                <w:color w:val="auto"/>
              </w:rPr>
            </w:pPr>
            <w:r>
              <w:rPr>
                <w:rFonts w:ascii="Arial" w:cs="Arial" w:eastAsia="Arial" w:hAnsi="Arial"/>
                <w:sz w:val="14"/>
                <w:szCs w:val="14"/>
                <w:color w:val="auto"/>
              </w:rPr>
              <w:t>Majority of votes cast</w:t>
            </w:r>
          </w:p>
        </w:tc>
        <w:tc>
          <w:tcPr>
            <w:tcW w:w="980" w:type="dxa"/>
            <w:vAlign w:val="bottom"/>
          </w:tcPr>
          <w:p>
            <w:pPr>
              <w:jc w:val="center"/>
              <w:spacing w:after="0"/>
              <w:rPr>
                <w:sz w:val="20"/>
                <w:szCs w:val="20"/>
                <w:color w:val="auto"/>
              </w:rPr>
            </w:pPr>
            <w:r>
              <w:rPr>
                <w:rFonts w:ascii="Arial" w:cs="Arial" w:eastAsia="Arial" w:hAnsi="Arial"/>
                <w:sz w:val="14"/>
                <w:szCs w:val="14"/>
                <w:color w:val="auto"/>
              </w:rPr>
              <w:t>No effect</w:t>
            </w:r>
          </w:p>
        </w:tc>
        <w:tc>
          <w:tcPr>
            <w:tcW w:w="1200" w:type="dxa"/>
            <w:vAlign w:val="bottom"/>
          </w:tcPr>
          <w:p>
            <w:pPr>
              <w:jc w:val="center"/>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956FF"/>
              </w:rPr>
              <w:t>nominee</w:t>
            </w:r>
          </w:p>
        </w:tc>
        <w:tc>
          <w:tcPr>
            <w:tcW w:w="2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660" w:type="dxa"/>
            <w:vAlign w:val="bottom"/>
            <w:tcBorders>
              <w:bottom w:val="single" w:sz="8" w:color="D8D7D7"/>
            </w:tcBorders>
          </w:tcPr>
          <w:p>
            <w:pPr>
              <w:spacing w:after="0"/>
              <w:rPr>
                <w:sz w:val="4"/>
                <w:szCs w:val="4"/>
                <w:color w:val="auto"/>
              </w:rPr>
            </w:pPr>
          </w:p>
        </w:tc>
        <w:tc>
          <w:tcPr>
            <w:tcW w:w="2580" w:type="dxa"/>
            <w:vAlign w:val="bottom"/>
            <w:tcBorders>
              <w:bottom w:val="single" w:sz="8" w:color="D8D7D7"/>
            </w:tcBorders>
          </w:tcPr>
          <w:p>
            <w:pPr>
              <w:spacing w:after="0"/>
              <w:rPr>
                <w:sz w:val="4"/>
                <w:szCs w:val="4"/>
                <w:color w:val="auto"/>
              </w:rPr>
            </w:pPr>
          </w:p>
        </w:tc>
        <w:tc>
          <w:tcPr>
            <w:tcW w:w="1400" w:type="dxa"/>
            <w:vAlign w:val="bottom"/>
            <w:tcBorders>
              <w:bottom w:val="single" w:sz="8" w:color="D8D7D7"/>
            </w:tcBorders>
          </w:tcPr>
          <w:p>
            <w:pPr>
              <w:spacing w:after="0"/>
              <w:rPr>
                <w:sz w:val="4"/>
                <w:szCs w:val="4"/>
                <w:color w:val="auto"/>
              </w:rPr>
            </w:pPr>
          </w:p>
        </w:tc>
        <w:tc>
          <w:tcPr>
            <w:tcW w:w="2260" w:type="dxa"/>
            <w:vAlign w:val="bottom"/>
            <w:tcBorders>
              <w:bottom w:val="single" w:sz="8" w:color="D8D7D7"/>
            </w:tcBorders>
          </w:tcPr>
          <w:p>
            <w:pPr>
              <w:spacing w:after="0"/>
              <w:rPr>
                <w:sz w:val="4"/>
                <w:szCs w:val="4"/>
                <w:color w:val="auto"/>
              </w:rPr>
            </w:pPr>
          </w:p>
        </w:tc>
        <w:tc>
          <w:tcPr>
            <w:tcW w:w="980" w:type="dxa"/>
            <w:vAlign w:val="bottom"/>
            <w:tcBorders>
              <w:bottom w:val="single" w:sz="8" w:color="D8D7D7"/>
            </w:tcBorders>
          </w:tcPr>
          <w:p>
            <w:pPr>
              <w:spacing w:after="0"/>
              <w:rPr>
                <w:sz w:val="4"/>
                <w:szCs w:val="4"/>
                <w:color w:val="auto"/>
              </w:rPr>
            </w:pPr>
          </w:p>
        </w:tc>
        <w:tc>
          <w:tcPr>
            <w:tcW w:w="1200" w:type="dxa"/>
            <w:vAlign w:val="bottom"/>
            <w:tcBorders>
              <w:bottom w:val="single" w:sz="8" w:color="D8D7D7"/>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4"/>
                <w:szCs w:val="14"/>
                <w:color w:val="auto"/>
              </w:rPr>
              <w:t>Proposal to Ratify the Selection of</w:t>
            </w:r>
          </w:p>
        </w:tc>
        <w:tc>
          <w:tcPr>
            <w:tcW w:w="1400" w:type="dxa"/>
            <w:vAlign w:val="bottom"/>
          </w:tcPr>
          <w:p>
            <w:pPr>
              <w:spacing w:after="0"/>
              <w:rPr>
                <w:sz w:val="23"/>
                <w:szCs w:val="23"/>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Majority of shares present</w:t>
            </w: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660" w:type="dxa"/>
            <w:vAlign w:val="bottom"/>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Ernst &amp; Young LLP as the Company’s</w:t>
            </w:r>
          </w:p>
        </w:tc>
        <w:tc>
          <w:tcPr>
            <w:tcW w:w="14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Counted as</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Discretionary</w:t>
            </w:r>
          </w:p>
        </w:tc>
        <w:tc>
          <w:tcPr>
            <w:tcW w:w="0" w:type="dxa"/>
            <w:vAlign w:val="bottom"/>
          </w:tcPr>
          <w:p>
            <w:pPr>
              <w:spacing w:after="0"/>
              <w:rPr>
                <w:sz w:val="1"/>
                <w:szCs w:val="1"/>
                <w:color w:val="auto"/>
              </w:rPr>
            </w:pPr>
          </w:p>
        </w:tc>
      </w:tr>
      <w:tr>
        <w:trPr>
          <w:trHeight w:val="96"/>
        </w:trPr>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2580" w:type="dxa"/>
            <w:vAlign w:val="bottom"/>
            <w:vMerge w:val="continue"/>
          </w:tcPr>
          <w:p>
            <w:pPr>
              <w:spacing w:after="0"/>
              <w:rPr>
                <w:sz w:val="8"/>
                <w:szCs w:val="8"/>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0956FF"/>
              </w:rPr>
              <w:t>FOR</w:t>
            </w: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(in person or by proxy)</w:t>
            </w:r>
          </w:p>
        </w:tc>
        <w:tc>
          <w:tcPr>
            <w:tcW w:w="9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60" w:type="dxa"/>
            <w:vAlign w:val="bottom"/>
            <w:vMerge w:val="continue"/>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Independent Registered Public</w:t>
            </w:r>
          </w:p>
        </w:tc>
        <w:tc>
          <w:tcPr>
            <w:tcW w:w="1400" w:type="dxa"/>
            <w:vAlign w:val="bottom"/>
            <w:vMerge w:val="continue"/>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w w:val="98"/>
              </w:rPr>
              <w:t>vote</w:t>
            </w:r>
          </w:p>
        </w:tc>
        <w:tc>
          <w:tcPr>
            <w:tcW w:w="0" w:type="dxa"/>
            <w:vAlign w:val="bottom"/>
          </w:tcPr>
          <w:p>
            <w:pPr>
              <w:spacing w:after="0"/>
              <w:rPr>
                <w:sz w:val="1"/>
                <w:szCs w:val="1"/>
                <w:color w:val="auto"/>
              </w:rPr>
            </w:pPr>
          </w:p>
        </w:tc>
      </w:tr>
      <w:tr>
        <w:trPr>
          <w:trHeight w:val="101"/>
        </w:trPr>
        <w:tc>
          <w:tcPr>
            <w:tcW w:w="66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and entitled to vote</w:t>
            </w:r>
          </w:p>
        </w:tc>
        <w:tc>
          <w:tcPr>
            <w:tcW w:w="9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660" w:type="dxa"/>
            <w:vAlign w:val="bottom"/>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Accounting Firm for 2026</w:t>
            </w:r>
          </w:p>
        </w:tc>
        <w:tc>
          <w:tcPr>
            <w:tcW w:w="14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6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660" w:type="dxa"/>
            <w:vAlign w:val="bottom"/>
            <w:tcBorders>
              <w:bottom w:val="single" w:sz="8" w:color="D8D7D7"/>
            </w:tcBorders>
          </w:tcPr>
          <w:p>
            <w:pPr>
              <w:spacing w:after="0"/>
              <w:rPr>
                <w:sz w:val="5"/>
                <w:szCs w:val="5"/>
                <w:color w:val="auto"/>
              </w:rPr>
            </w:pPr>
          </w:p>
        </w:tc>
        <w:tc>
          <w:tcPr>
            <w:tcW w:w="2580" w:type="dxa"/>
            <w:vAlign w:val="bottom"/>
            <w:tcBorders>
              <w:bottom w:val="single" w:sz="8" w:color="D8D7D7"/>
            </w:tcBorders>
          </w:tcPr>
          <w:p>
            <w:pPr>
              <w:spacing w:after="0"/>
              <w:rPr>
                <w:sz w:val="5"/>
                <w:szCs w:val="5"/>
                <w:color w:val="auto"/>
              </w:rPr>
            </w:pPr>
          </w:p>
        </w:tc>
        <w:tc>
          <w:tcPr>
            <w:tcW w:w="1400" w:type="dxa"/>
            <w:vAlign w:val="bottom"/>
            <w:tcBorders>
              <w:bottom w:val="single" w:sz="8" w:color="D8D7D7"/>
            </w:tcBorders>
          </w:tcPr>
          <w:p>
            <w:pPr>
              <w:spacing w:after="0"/>
              <w:rPr>
                <w:sz w:val="5"/>
                <w:szCs w:val="5"/>
                <w:color w:val="auto"/>
              </w:rPr>
            </w:pPr>
          </w:p>
        </w:tc>
        <w:tc>
          <w:tcPr>
            <w:tcW w:w="2260" w:type="dxa"/>
            <w:vAlign w:val="bottom"/>
            <w:tcBorders>
              <w:bottom w:val="single" w:sz="8" w:color="D8D7D7"/>
            </w:tcBorders>
          </w:tcPr>
          <w:p>
            <w:pPr>
              <w:spacing w:after="0"/>
              <w:rPr>
                <w:sz w:val="5"/>
                <w:szCs w:val="5"/>
                <w:color w:val="auto"/>
              </w:rPr>
            </w:pPr>
          </w:p>
        </w:tc>
        <w:tc>
          <w:tcPr>
            <w:tcW w:w="980" w:type="dxa"/>
            <w:vAlign w:val="bottom"/>
            <w:tcBorders>
              <w:bottom w:val="single" w:sz="8" w:color="D8D7D7"/>
            </w:tcBorders>
          </w:tcPr>
          <w:p>
            <w:pPr>
              <w:spacing w:after="0"/>
              <w:rPr>
                <w:sz w:val="5"/>
                <w:szCs w:val="5"/>
                <w:color w:val="auto"/>
              </w:rPr>
            </w:pPr>
          </w:p>
        </w:tc>
        <w:tc>
          <w:tcPr>
            <w:tcW w:w="1200" w:type="dxa"/>
            <w:vAlign w:val="bottom"/>
            <w:tcBorders>
              <w:bottom w:val="single" w:sz="8" w:color="D8D7D7"/>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4"/>
                <w:szCs w:val="14"/>
                <w:color w:val="auto"/>
              </w:rPr>
              <w:t>Proposal to Approve, on an Advisory</w:t>
            </w:r>
          </w:p>
        </w:tc>
        <w:tc>
          <w:tcPr>
            <w:tcW w:w="140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Majority of shares present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Counted as</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3</w:t>
            </w: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Basis, Named Executive Officer</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0956FF"/>
              </w:rPr>
              <w:t>FOR</w:t>
            </w: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(in person or by proxy)</w:t>
            </w:r>
          </w:p>
        </w:tc>
        <w:tc>
          <w:tcPr>
            <w:tcW w:w="980" w:type="dxa"/>
            <w:vAlign w:val="bottom"/>
            <w:vMerge w:val="continue"/>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00"/>
        </w:trPr>
        <w:tc>
          <w:tcPr>
            <w:tcW w:w="660" w:type="dxa"/>
            <w:vAlign w:val="bottom"/>
            <w:vMerge w:val="continue"/>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0" w:type="dxa"/>
            <w:vAlign w:val="bottom"/>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Compensation</w:t>
            </w:r>
          </w:p>
        </w:tc>
        <w:tc>
          <w:tcPr>
            <w:tcW w:w="140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and entitled to vote</w:t>
            </w:r>
          </w:p>
        </w:tc>
        <w:tc>
          <w:tcPr>
            <w:tcW w:w="9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6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660" w:type="dxa"/>
            <w:vAlign w:val="bottom"/>
            <w:tcBorders>
              <w:bottom w:val="single" w:sz="8" w:color="D8D7D7"/>
            </w:tcBorders>
          </w:tcPr>
          <w:p>
            <w:pPr>
              <w:spacing w:after="0"/>
              <w:rPr>
                <w:sz w:val="5"/>
                <w:szCs w:val="5"/>
                <w:color w:val="auto"/>
              </w:rPr>
            </w:pPr>
          </w:p>
        </w:tc>
        <w:tc>
          <w:tcPr>
            <w:tcW w:w="2580" w:type="dxa"/>
            <w:vAlign w:val="bottom"/>
            <w:tcBorders>
              <w:bottom w:val="single" w:sz="8" w:color="D8D7D7"/>
            </w:tcBorders>
          </w:tcPr>
          <w:p>
            <w:pPr>
              <w:spacing w:after="0"/>
              <w:rPr>
                <w:sz w:val="5"/>
                <w:szCs w:val="5"/>
                <w:color w:val="auto"/>
              </w:rPr>
            </w:pPr>
          </w:p>
        </w:tc>
        <w:tc>
          <w:tcPr>
            <w:tcW w:w="1400" w:type="dxa"/>
            <w:vAlign w:val="bottom"/>
            <w:tcBorders>
              <w:bottom w:val="single" w:sz="8" w:color="D8D7D7"/>
            </w:tcBorders>
          </w:tcPr>
          <w:p>
            <w:pPr>
              <w:spacing w:after="0"/>
              <w:rPr>
                <w:sz w:val="5"/>
                <w:szCs w:val="5"/>
                <w:color w:val="auto"/>
              </w:rPr>
            </w:pPr>
          </w:p>
        </w:tc>
        <w:tc>
          <w:tcPr>
            <w:tcW w:w="2260" w:type="dxa"/>
            <w:vAlign w:val="bottom"/>
            <w:tcBorders>
              <w:bottom w:val="single" w:sz="8" w:color="D8D7D7"/>
            </w:tcBorders>
          </w:tcPr>
          <w:p>
            <w:pPr>
              <w:spacing w:after="0"/>
              <w:rPr>
                <w:sz w:val="5"/>
                <w:szCs w:val="5"/>
                <w:color w:val="auto"/>
              </w:rPr>
            </w:pPr>
          </w:p>
        </w:tc>
        <w:tc>
          <w:tcPr>
            <w:tcW w:w="980" w:type="dxa"/>
            <w:vAlign w:val="bottom"/>
            <w:tcBorders>
              <w:bottom w:val="single" w:sz="8" w:color="D8D7D7"/>
            </w:tcBorders>
          </w:tcPr>
          <w:p>
            <w:pPr>
              <w:spacing w:after="0"/>
              <w:rPr>
                <w:sz w:val="5"/>
                <w:szCs w:val="5"/>
                <w:color w:val="auto"/>
              </w:rPr>
            </w:pPr>
          </w:p>
        </w:tc>
        <w:tc>
          <w:tcPr>
            <w:tcW w:w="1200" w:type="dxa"/>
            <w:vAlign w:val="bottom"/>
            <w:tcBorders>
              <w:bottom w:val="single" w:sz="8" w:color="D8D7D7"/>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4"/>
                <w:szCs w:val="14"/>
                <w:color w:val="auto"/>
              </w:rPr>
              <w:t>Proposal to Approve, on an Advisory</w:t>
            </w:r>
          </w:p>
        </w:tc>
        <w:tc>
          <w:tcPr>
            <w:tcW w:w="1400" w:type="dxa"/>
            <w:vAlign w:val="bottom"/>
          </w:tcPr>
          <w:p>
            <w:pPr>
              <w:spacing w:after="0"/>
              <w:rPr>
                <w:sz w:val="23"/>
                <w:szCs w:val="23"/>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Majority of shares present (in</w:t>
            </w: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Basis, the Frequency of Future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0956FF"/>
              </w:rPr>
              <w:t>FOR</w:t>
            </w:r>
          </w:p>
        </w:tc>
        <w:tc>
          <w:tcPr>
            <w:tcW w:w="226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Counted as</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4</w:t>
            </w:r>
          </w:p>
        </w:tc>
        <w:tc>
          <w:tcPr>
            <w:tcW w:w="25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person or by proxy) and entitled</w:t>
            </w:r>
          </w:p>
        </w:tc>
        <w:tc>
          <w:tcPr>
            <w:tcW w:w="980" w:type="dxa"/>
            <w:vAlign w:val="bottom"/>
            <w:vMerge w:val="continue"/>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Advisory Votes on Named Executive</w:t>
            </w:r>
          </w:p>
        </w:tc>
        <w:tc>
          <w:tcPr>
            <w:tcW w:w="14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0956FF"/>
              </w:rPr>
              <w:t>1 YEAR</w:t>
            </w:r>
          </w:p>
        </w:tc>
        <w:tc>
          <w:tcPr>
            <w:tcW w:w="2260" w:type="dxa"/>
            <w:vAlign w:val="bottom"/>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to vote</w:t>
            </w:r>
          </w:p>
        </w:tc>
        <w:tc>
          <w:tcPr>
            <w:tcW w:w="9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660" w:type="dxa"/>
            <w:vAlign w:val="bottom"/>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Officer Compensation</w:t>
            </w:r>
          </w:p>
        </w:tc>
        <w:tc>
          <w:tcPr>
            <w:tcW w:w="14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660" w:type="dxa"/>
            <w:vAlign w:val="bottom"/>
            <w:tcBorders>
              <w:bottom w:val="single" w:sz="8" w:color="D8D7D7"/>
            </w:tcBorders>
          </w:tcPr>
          <w:p>
            <w:pPr>
              <w:spacing w:after="0"/>
              <w:rPr>
                <w:sz w:val="5"/>
                <w:szCs w:val="5"/>
                <w:color w:val="auto"/>
              </w:rPr>
            </w:pPr>
          </w:p>
        </w:tc>
        <w:tc>
          <w:tcPr>
            <w:tcW w:w="2580" w:type="dxa"/>
            <w:vAlign w:val="bottom"/>
            <w:tcBorders>
              <w:bottom w:val="single" w:sz="8" w:color="D8D7D7"/>
            </w:tcBorders>
          </w:tcPr>
          <w:p>
            <w:pPr>
              <w:spacing w:after="0"/>
              <w:rPr>
                <w:sz w:val="5"/>
                <w:szCs w:val="5"/>
                <w:color w:val="auto"/>
              </w:rPr>
            </w:pPr>
          </w:p>
        </w:tc>
        <w:tc>
          <w:tcPr>
            <w:tcW w:w="1400" w:type="dxa"/>
            <w:vAlign w:val="bottom"/>
            <w:tcBorders>
              <w:bottom w:val="single" w:sz="8" w:color="D8D7D7"/>
            </w:tcBorders>
          </w:tcPr>
          <w:p>
            <w:pPr>
              <w:spacing w:after="0"/>
              <w:rPr>
                <w:sz w:val="5"/>
                <w:szCs w:val="5"/>
                <w:color w:val="auto"/>
              </w:rPr>
            </w:pPr>
          </w:p>
        </w:tc>
        <w:tc>
          <w:tcPr>
            <w:tcW w:w="2260" w:type="dxa"/>
            <w:vAlign w:val="bottom"/>
            <w:tcBorders>
              <w:bottom w:val="single" w:sz="8" w:color="D8D7D7"/>
            </w:tcBorders>
          </w:tcPr>
          <w:p>
            <w:pPr>
              <w:spacing w:after="0"/>
              <w:rPr>
                <w:sz w:val="5"/>
                <w:szCs w:val="5"/>
                <w:color w:val="auto"/>
              </w:rPr>
            </w:pPr>
          </w:p>
        </w:tc>
        <w:tc>
          <w:tcPr>
            <w:tcW w:w="980" w:type="dxa"/>
            <w:vAlign w:val="bottom"/>
            <w:tcBorders>
              <w:bottom w:val="single" w:sz="8" w:color="D8D7D7"/>
            </w:tcBorders>
          </w:tcPr>
          <w:p>
            <w:pPr>
              <w:spacing w:after="0"/>
              <w:rPr>
                <w:sz w:val="5"/>
                <w:szCs w:val="5"/>
                <w:color w:val="auto"/>
              </w:rPr>
            </w:pPr>
          </w:p>
        </w:tc>
        <w:tc>
          <w:tcPr>
            <w:tcW w:w="1200" w:type="dxa"/>
            <w:vAlign w:val="bottom"/>
            <w:tcBorders>
              <w:bottom w:val="single" w:sz="8" w:color="D8D7D7"/>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4"/>
                <w:szCs w:val="14"/>
                <w:color w:val="auto"/>
              </w:rPr>
              <w:t>Proposal to Approve Amendment No.</w:t>
            </w:r>
          </w:p>
        </w:tc>
        <w:tc>
          <w:tcPr>
            <w:tcW w:w="14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4"/>
                <w:szCs w:val="14"/>
                <w:color w:val="auto"/>
              </w:rPr>
              <w:t>2 to the Company’s 2020 Long-Term</w:t>
            </w:r>
          </w:p>
        </w:tc>
        <w:tc>
          <w:tcPr>
            <w:tcW w:w="14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Majority of shares present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Counted as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5</w:t>
            </w: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Incentive Plan to Increase the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0956FF"/>
              </w:rPr>
              <w:t>FOR</w:t>
            </w: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(in person or by proxy)</w:t>
            </w:r>
          </w:p>
        </w:tc>
        <w:tc>
          <w:tcPr>
            <w:tcW w:w="980" w:type="dxa"/>
            <w:vAlign w:val="bottom"/>
            <w:vMerge w:val="continue"/>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01"/>
        </w:trPr>
        <w:tc>
          <w:tcPr>
            <w:tcW w:w="660" w:type="dxa"/>
            <w:vAlign w:val="bottom"/>
            <w:vMerge w:val="continue"/>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0" w:type="dxa"/>
            <w:vAlign w:val="bottom"/>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Number of Shares Available for</w:t>
            </w:r>
          </w:p>
        </w:tc>
        <w:tc>
          <w:tcPr>
            <w:tcW w:w="140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and entitled to vote</w:t>
            </w:r>
          </w:p>
        </w:tc>
        <w:tc>
          <w:tcPr>
            <w:tcW w:w="9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66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4"/>
                <w:szCs w:val="14"/>
                <w:color w:val="auto"/>
              </w:rPr>
              <w:t>Issuance Thereunder</w:t>
            </w:r>
          </w:p>
        </w:tc>
        <w:tc>
          <w:tcPr>
            <w:tcW w:w="14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660" w:type="dxa"/>
            <w:vAlign w:val="bottom"/>
            <w:tcBorders>
              <w:bottom w:val="single" w:sz="8" w:color="D8D7D7"/>
            </w:tcBorders>
          </w:tcPr>
          <w:p>
            <w:pPr>
              <w:spacing w:after="0"/>
              <w:rPr>
                <w:sz w:val="5"/>
                <w:szCs w:val="5"/>
                <w:color w:val="auto"/>
              </w:rPr>
            </w:pPr>
          </w:p>
        </w:tc>
        <w:tc>
          <w:tcPr>
            <w:tcW w:w="2580" w:type="dxa"/>
            <w:vAlign w:val="bottom"/>
            <w:tcBorders>
              <w:bottom w:val="single" w:sz="8" w:color="D8D7D7"/>
            </w:tcBorders>
          </w:tcPr>
          <w:p>
            <w:pPr>
              <w:spacing w:after="0"/>
              <w:rPr>
                <w:sz w:val="5"/>
                <w:szCs w:val="5"/>
                <w:color w:val="auto"/>
              </w:rPr>
            </w:pPr>
          </w:p>
        </w:tc>
        <w:tc>
          <w:tcPr>
            <w:tcW w:w="1400" w:type="dxa"/>
            <w:vAlign w:val="bottom"/>
            <w:tcBorders>
              <w:bottom w:val="single" w:sz="8" w:color="D8D7D7"/>
            </w:tcBorders>
          </w:tcPr>
          <w:p>
            <w:pPr>
              <w:spacing w:after="0"/>
              <w:rPr>
                <w:sz w:val="5"/>
                <w:szCs w:val="5"/>
                <w:color w:val="auto"/>
              </w:rPr>
            </w:pPr>
          </w:p>
        </w:tc>
        <w:tc>
          <w:tcPr>
            <w:tcW w:w="2260" w:type="dxa"/>
            <w:vAlign w:val="bottom"/>
            <w:tcBorders>
              <w:bottom w:val="single" w:sz="8" w:color="D8D7D7"/>
            </w:tcBorders>
          </w:tcPr>
          <w:p>
            <w:pPr>
              <w:spacing w:after="0"/>
              <w:rPr>
                <w:sz w:val="5"/>
                <w:szCs w:val="5"/>
                <w:color w:val="auto"/>
              </w:rPr>
            </w:pPr>
          </w:p>
        </w:tc>
        <w:tc>
          <w:tcPr>
            <w:tcW w:w="980" w:type="dxa"/>
            <w:vAlign w:val="bottom"/>
            <w:tcBorders>
              <w:bottom w:val="single" w:sz="8" w:color="D8D7D7"/>
            </w:tcBorders>
          </w:tcPr>
          <w:p>
            <w:pPr>
              <w:spacing w:after="0"/>
              <w:rPr>
                <w:sz w:val="5"/>
                <w:szCs w:val="5"/>
                <w:color w:val="auto"/>
              </w:rPr>
            </w:pPr>
          </w:p>
        </w:tc>
        <w:tc>
          <w:tcPr>
            <w:tcW w:w="1200" w:type="dxa"/>
            <w:vAlign w:val="bottom"/>
            <w:tcBorders>
              <w:bottom w:val="single" w:sz="8" w:color="D8D7D7"/>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Shareholder Proposal Regarding</w:t>
            </w:r>
          </w:p>
        </w:tc>
        <w:tc>
          <w:tcPr>
            <w:tcW w:w="140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Majority of shares present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Counted as</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6</w:t>
            </w:r>
          </w:p>
        </w:tc>
        <w:tc>
          <w:tcPr>
            <w:tcW w:w="2580" w:type="dxa"/>
            <w:vAlign w:val="bottom"/>
            <w:vMerge w:val="continue"/>
          </w:tcPr>
          <w:p>
            <w:pPr>
              <w:spacing w:after="0"/>
              <w:rPr>
                <w:sz w:val="8"/>
                <w:szCs w:val="8"/>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AGAINST</w:t>
            </w: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(in person or by proxy)</w:t>
            </w:r>
          </w:p>
        </w:tc>
        <w:tc>
          <w:tcPr>
            <w:tcW w:w="980" w:type="dxa"/>
            <w:vAlign w:val="bottom"/>
            <w:vMerge w:val="continue"/>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01"/>
        </w:trPr>
        <w:tc>
          <w:tcPr>
            <w:tcW w:w="660" w:type="dxa"/>
            <w:vAlign w:val="bottom"/>
            <w:vMerge w:val="continue"/>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Separation of Chair and CEO Roles</w:t>
            </w:r>
          </w:p>
        </w:tc>
        <w:tc>
          <w:tcPr>
            <w:tcW w:w="1400" w:type="dxa"/>
            <w:vAlign w:val="bottom"/>
            <w:vMerge w:val="continue"/>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and entitled to vote</w:t>
            </w:r>
          </w:p>
        </w:tc>
        <w:tc>
          <w:tcPr>
            <w:tcW w:w="9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6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660" w:type="dxa"/>
            <w:vAlign w:val="bottom"/>
            <w:tcBorders>
              <w:bottom w:val="single" w:sz="8" w:color="D8D7D7"/>
            </w:tcBorders>
          </w:tcPr>
          <w:p>
            <w:pPr>
              <w:spacing w:after="0"/>
              <w:rPr>
                <w:sz w:val="5"/>
                <w:szCs w:val="5"/>
                <w:color w:val="auto"/>
              </w:rPr>
            </w:pPr>
          </w:p>
        </w:tc>
        <w:tc>
          <w:tcPr>
            <w:tcW w:w="2580" w:type="dxa"/>
            <w:vAlign w:val="bottom"/>
            <w:tcBorders>
              <w:bottom w:val="single" w:sz="8" w:color="D8D7D7"/>
            </w:tcBorders>
          </w:tcPr>
          <w:p>
            <w:pPr>
              <w:spacing w:after="0"/>
              <w:rPr>
                <w:sz w:val="5"/>
                <w:szCs w:val="5"/>
                <w:color w:val="auto"/>
              </w:rPr>
            </w:pPr>
          </w:p>
        </w:tc>
        <w:tc>
          <w:tcPr>
            <w:tcW w:w="1400" w:type="dxa"/>
            <w:vAlign w:val="bottom"/>
            <w:tcBorders>
              <w:bottom w:val="single" w:sz="8" w:color="D8D7D7"/>
            </w:tcBorders>
          </w:tcPr>
          <w:p>
            <w:pPr>
              <w:spacing w:after="0"/>
              <w:rPr>
                <w:sz w:val="5"/>
                <w:szCs w:val="5"/>
                <w:color w:val="auto"/>
              </w:rPr>
            </w:pPr>
          </w:p>
        </w:tc>
        <w:tc>
          <w:tcPr>
            <w:tcW w:w="2260" w:type="dxa"/>
            <w:vAlign w:val="bottom"/>
            <w:tcBorders>
              <w:bottom w:val="single" w:sz="8" w:color="D8D7D7"/>
            </w:tcBorders>
          </w:tcPr>
          <w:p>
            <w:pPr>
              <w:spacing w:after="0"/>
              <w:rPr>
                <w:sz w:val="5"/>
                <w:szCs w:val="5"/>
                <w:color w:val="auto"/>
              </w:rPr>
            </w:pPr>
          </w:p>
        </w:tc>
        <w:tc>
          <w:tcPr>
            <w:tcW w:w="980" w:type="dxa"/>
            <w:vAlign w:val="bottom"/>
            <w:tcBorders>
              <w:bottom w:val="single" w:sz="8" w:color="D8D7D7"/>
            </w:tcBorders>
          </w:tcPr>
          <w:p>
            <w:pPr>
              <w:spacing w:after="0"/>
              <w:rPr>
                <w:sz w:val="5"/>
                <w:szCs w:val="5"/>
                <w:color w:val="auto"/>
              </w:rPr>
            </w:pPr>
          </w:p>
        </w:tc>
        <w:tc>
          <w:tcPr>
            <w:tcW w:w="1200" w:type="dxa"/>
            <w:vAlign w:val="bottom"/>
            <w:tcBorders>
              <w:bottom w:val="single" w:sz="8" w:color="D8D7D7"/>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66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4"/>
                <w:szCs w:val="14"/>
                <w:color w:val="auto"/>
              </w:rPr>
              <w:t>Shareholder Proposal Requesting a</w:t>
            </w:r>
          </w:p>
        </w:tc>
        <w:tc>
          <w:tcPr>
            <w:tcW w:w="140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14"/>
                <w:szCs w:val="14"/>
                <w:color w:val="auto"/>
              </w:rPr>
              <w:t>Majority of shares present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Counted as</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7</w:t>
            </w: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Report on Human Rights Standards</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AGAINST</w:t>
            </w: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(in person or by proxy)</w:t>
            </w:r>
          </w:p>
        </w:tc>
        <w:tc>
          <w:tcPr>
            <w:tcW w:w="980" w:type="dxa"/>
            <w:vAlign w:val="bottom"/>
            <w:vMerge w:val="continue"/>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No effect</w:t>
            </w:r>
          </w:p>
        </w:tc>
        <w:tc>
          <w:tcPr>
            <w:tcW w:w="0" w:type="dxa"/>
            <w:vAlign w:val="bottom"/>
          </w:tcPr>
          <w:p>
            <w:pPr>
              <w:spacing w:after="0"/>
              <w:rPr>
                <w:sz w:val="1"/>
                <w:szCs w:val="1"/>
                <w:color w:val="auto"/>
              </w:rPr>
            </w:pPr>
          </w:p>
        </w:tc>
      </w:tr>
      <w:tr>
        <w:trPr>
          <w:trHeight w:val="100"/>
        </w:trPr>
        <w:tc>
          <w:tcPr>
            <w:tcW w:w="660" w:type="dxa"/>
            <w:vAlign w:val="bottom"/>
            <w:vMerge w:val="continue"/>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“AGAINST”</w:t>
            </w: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60" w:type="dxa"/>
            <w:vAlign w:val="bottom"/>
          </w:tcPr>
          <w:p>
            <w:pPr>
              <w:spacing w:after="0"/>
              <w:rPr>
                <w:sz w:val="8"/>
                <w:szCs w:val="8"/>
                <w:color w:val="auto"/>
              </w:rPr>
            </w:pPr>
          </w:p>
        </w:tc>
        <w:tc>
          <w:tcPr>
            <w:tcW w:w="2580" w:type="dxa"/>
            <w:vAlign w:val="bottom"/>
            <w:vMerge w:val="restart"/>
          </w:tcPr>
          <w:p>
            <w:pPr>
              <w:ind w:left="60"/>
              <w:spacing w:after="0"/>
              <w:rPr>
                <w:sz w:val="20"/>
                <w:szCs w:val="20"/>
                <w:color w:val="auto"/>
              </w:rPr>
            </w:pPr>
            <w:r>
              <w:rPr>
                <w:rFonts w:ascii="Arial" w:cs="Arial" w:eastAsia="Arial" w:hAnsi="Arial"/>
                <w:sz w:val="14"/>
                <w:szCs w:val="14"/>
                <w:color w:val="auto"/>
              </w:rPr>
              <w:t>for Indigenous Peoples</w:t>
            </w:r>
          </w:p>
        </w:tc>
        <w:tc>
          <w:tcPr>
            <w:tcW w:w="1400" w:type="dxa"/>
            <w:vAlign w:val="bottom"/>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color w:val="auto"/>
              </w:rPr>
              <w:t>and entitled to vote</w:t>
            </w:r>
          </w:p>
        </w:tc>
        <w:tc>
          <w:tcPr>
            <w:tcW w:w="9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6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660" w:type="dxa"/>
            <w:vAlign w:val="bottom"/>
            <w:tcBorders>
              <w:bottom w:val="single" w:sz="8" w:color="0956FF"/>
            </w:tcBorders>
          </w:tcPr>
          <w:p>
            <w:pPr>
              <w:spacing w:after="0"/>
              <w:rPr>
                <w:sz w:val="5"/>
                <w:szCs w:val="5"/>
                <w:color w:val="auto"/>
              </w:rPr>
            </w:pPr>
          </w:p>
        </w:tc>
        <w:tc>
          <w:tcPr>
            <w:tcW w:w="2580" w:type="dxa"/>
            <w:vAlign w:val="bottom"/>
            <w:tcBorders>
              <w:bottom w:val="single" w:sz="8" w:color="0956FF"/>
            </w:tcBorders>
          </w:tcPr>
          <w:p>
            <w:pPr>
              <w:spacing w:after="0"/>
              <w:rPr>
                <w:sz w:val="5"/>
                <w:szCs w:val="5"/>
                <w:color w:val="auto"/>
              </w:rPr>
            </w:pPr>
          </w:p>
        </w:tc>
        <w:tc>
          <w:tcPr>
            <w:tcW w:w="1400" w:type="dxa"/>
            <w:vAlign w:val="bottom"/>
            <w:tcBorders>
              <w:bottom w:val="single" w:sz="8" w:color="0956FF"/>
            </w:tcBorders>
          </w:tcPr>
          <w:p>
            <w:pPr>
              <w:spacing w:after="0"/>
              <w:rPr>
                <w:sz w:val="5"/>
                <w:szCs w:val="5"/>
                <w:color w:val="auto"/>
              </w:rPr>
            </w:pPr>
          </w:p>
        </w:tc>
        <w:tc>
          <w:tcPr>
            <w:tcW w:w="2260" w:type="dxa"/>
            <w:vAlign w:val="bottom"/>
            <w:tcBorders>
              <w:bottom w:val="single" w:sz="8" w:color="0956FF"/>
            </w:tcBorders>
          </w:tcPr>
          <w:p>
            <w:pPr>
              <w:spacing w:after="0"/>
              <w:rPr>
                <w:sz w:val="5"/>
                <w:szCs w:val="5"/>
                <w:color w:val="auto"/>
              </w:rPr>
            </w:pPr>
          </w:p>
        </w:tc>
        <w:tc>
          <w:tcPr>
            <w:tcW w:w="980" w:type="dxa"/>
            <w:vAlign w:val="bottom"/>
            <w:tcBorders>
              <w:bottom w:val="single" w:sz="8" w:color="0956FF"/>
            </w:tcBorders>
          </w:tcPr>
          <w:p>
            <w:pPr>
              <w:spacing w:after="0"/>
              <w:rPr>
                <w:sz w:val="5"/>
                <w:szCs w:val="5"/>
                <w:color w:val="auto"/>
              </w:rPr>
            </w:pPr>
          </w:p>
        </w:tc>
        <w:tc>
          <w:tcPr>
            <w:tcW w:w="1200" w:type="dxa"/>
            <w:vAlign w:val="bottom"/>
            <w:tcBorders>
              <w:bottom w:val="single" w:sz="8" w:color="0956F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00" w:right="180" w:hanging="192"/>
        <w:spacing w:after="0" w:line="325" w:lineRule="auto"/>
        <w:tabs>
          <w:tab w:leader="none" w:pos="2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See sections 1.7 and 2.2(c) of the Company’s Bylaws for a description of the vote requirements and the impact of abstentions and broker non-votes on the meeting agenda items listed above.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Will Other Matters Be Presented at the Annual Meeting?</w:t>
      </w:r>
    </w:p>
    <w:p>
      <w:pPr>
        <w:spacing w:after="0" w:line="99"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We do not know of any matters to be voted on by shareholders at the Annual Meeting other than those included in this Proxy Statement. If any matter other than the election of directors or Items 2 through 7 in this Proxy Statement is properly presented at the meeting, your executed proxy gives the Proxies discretionary authority to vote your shares in accordance with their best judgment with respect to the matter presented.</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Attend the Virtual Annual Meeting?</w:t>
      </w:r>
    </w:p>
    <w:p>
      <w:pPr>
        <w:spacing w:after="0" w:line="99"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Annual Meeting will be held virtually this year. If circumstances warrant, the Board and certain members of management may dial in to the webinar from remote locations and will not be present in person.</w:t>
      </w:r>
    </w:p>
    <w:p>
      <w:pPr>
        <w:sectPr>
          <w:pgSz w:w="11900" w:h="16838" w:orient="portrait"/>
          <w:cols w:equalWidth="0" w:num="1">
            <w:col w:w="9080"/>
          </w:cols>
          <w:pgMar w:left="1400" w:top="1339"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020"/>
        <w:spacing w:after="0"/>
        <w:tabs>
          <w:tab w:leader="none" w:pos="884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99</w:t>
      </w:r>
    </w:p>
    <w:p>
      <w:pPr>
        <w:sectPr>
          <w:pgSz w:w="11900" w:h="16838" w:orient="portrait"/>
          <w:cols w:equalWidth="0" w:num="1">
            <w:col w:w="9080"/>
          </w:cols>
          <w:pgMar w:left="1400" w:top="1339" w:right="141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General Information About the Annual Meeting</w:t>
      </w:r>
    </w:p>
    <w:p>
      <w:pPr>
        <w:sectPr>
          <w:pgSz w:w="11900" w:h="16838" w:orient="portrait"/>
          <w:cols w:equalWidth="0" w:num="1">
            <w:col w:w="9080"/>
          </w:cols>
          <w:pgMar w:left="1400" w:top="65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line="332" w:lineRule="auto"/>
        <w:rPr>
          <w:sz w:val="20"/>
          <w:szCs w:val="20"/>
          <w:color w:val="auto"/>
        </w:rPr>
      </w:pPr>
      <w:r>
        <w:rPr>
          <w:rFonts w:ascii="Arial" w:cs="Arial" w:eastAsia="Arial" w:hAnsi="Arial"/>
          <w:sz w:val="16"/>
          <w:szCs w:val="16"/>
          <w:b w:val="1"/>
          <w:bCs w:val="1"/>
          <w:color w:val="0956FF"/>
        </w:rPr>
        <w:t>How to Participate in the Annual Meeting Online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7" w:hanging="267"/>
        <w:spacing w:after="0"/>
        <w:tabs>
          <w:tab w:leader="none" w:pos="267" w:val="left"/>
        </w:tabs>
        <w:numPr>
          <w:ilvl w:val="0"/>
          <w:numId w:val="119"/>
        </w:numPr>
        <w:rPr>
          <w:rFonts w:ascii="Arial" w:cs="Arial" w:eastAsia="Arial" w:hAnsi="Arial"/>
          <w:sz w:val="16"/>
          <w:szCs w:val="16"/>
          <w:b w:val="1"/>
          <w:bCs w:val="1"/>
          <w:color w:val="0956FF"/>
        </w:rPr>
      </w:pPr>
      <w:r>
        <w:rPr>
          <w:rFonts w:ascii="Arial" w:cs="Arial" w:eastAsia="Arial" w:hAnsi="Arial"/>
          <w:sz w:val="16"/>
          <w:szCs w:val="16"/>
          <w:color w:val="auto"/>
        </w:rPr>
        <w:t xml:space="preserve">Visit </w:t>
      </w:r>
      <w:r>
        <w:rPr>
          <w:rFonts w:ascii="Arial" w:cs="Arial" w:eastAsia="Arial" w:hAnsi="Arial"/>
          <w:sz w:val="16"/>
          <w:szCs w:val="16"/>
          <w:u w:val="single" w:color="auto"/>
          <w:color w:val="0956FF"/>
        </w:rPr>
        <w:t>virtualshareholdermeeting.com/GM2026</w:t>
      </w:r>
      <w:r>
        <w:rPr>
          <w:rFonts w:ascii="Arial" w:cs="Arial" w:eastAsia="Arial" w:hAnsi="Arial"/>
          <w:sz w:val="16"/>
          <w:szCs w:val="16"/>
          <w:color w:val="auto"/>
        </w:rPr>
        <w:t xml:space="preserve">  ; and</w:t>
      </w:r>
    </w:p>
    <w:p>
      <w:pPr>
        <w:spacing w:after="0" w:line="86" w:lineRule="exact"/>
        <w:rPr>
          <w:rFonts w:ascii="Arial" w:cs="Arial" w:eastAsia="Arial" w:hAnsi="Arial"/>
          <w:sz w:val="16"/>
          <w:szCs w:val="16"/>
          <w:b w:val="1"/>
          <w:bCs w:val="1"/>
          <w:color w:val="0956FF"/>
        </w:rPr>
      </w:pPr>
    </w:p>
    <w:p>
      <w:pPr>
        <w:ind w:left="267" w:right="200" w:hanging="267"/>
        <w:spacing w:after="0" w:line="301" w:lineRule="auto"/>
        <w:tabs>
          <w:tab w:leader="none" w:pos="267" w:val="left"/>
        </w:tabs>
        <w:numPr>
          <w:ilvl w:val="0"/>
          <w:numId w:val="119"/>
        </w:numPr>
        <w:rPr>
          <w:rFonts w:ascii="Arial" w:cs="Arial" w:eastAsia="Arial" w:hAnsi="Arial"/>
          <w:sz w:val="16"/>
          <w:szCs w:val="16"/>
          <w:b w:val="1"/>
          <w:bCs w:val="1"/>
          <w:color w:val="0956FF"/>
        </w:rPr>
      </w:pPr>
      <w:r>
        <w:rPr>
          <w:rFonts w:ascii="Arial" w:cs="Arial" w:eastAsia="Arial" w:hAnsi="Arial"/>
          <w:sz w:val="16"/>
          <w:szCs w:val="16"/>
          <w:color w:val="auto"/>
        </w:rPr>
        <w:t>Enter the 16-digit control number included on your Notice, on your proxy card (if you received a printed copy of the proxy materials), or on the instructions that accompanied your proxy materials.</w:t>
      </w:r>
    </w:p>
    <w:p>
      <w:pPr>
        <w:spacing w:after="0" w:line="104" w:lineRule="exact"/>
        <w:rPr>
          <w:sz w:val="20"/>
          <w:szCs w:val="20"/>
          <w:color w:val="auto"/>
        </w:rPr>
      </w:pPr>
    </w:p>
    <w:p>
      <w:pPr>
        <w:ind w:left="7" w:right="360"/>
        <w:spacing w:after="0" w:line="304" w:lineRule="auto"/>
        <w:rPr>
          <w:sz w:val="20"/>
          <w:szCs w:val="20"/>
          <w:color w:val="auto"/>
        </w:rPr>
      </w:pPr>
      <w:r>
        <w:rPr>
          <w:rFonts w:ascii="Arial" w:cs="Arial" w:eastAsia="Arial" w:hAnsi="Arial"/>
          <w:sz w:val="16"/>
          <w:szCs w:val="16"/>
          <w:color w:val="auto"/>
        </w:rPr>
        <w:t>You may log in to the meeting platform beginning at 2:15 p.m. Eastern Time on June 2, 2026. The meeting will begin promptly at 2:30 p.m. Eastern Time.</w:t>
      </w:r>
    </w:p>
    <w:p>
      <w:pPr>
        <w:spacing w:after="0" w:line="128" w:lineRule="exact"/>
        <w:rPr>
          <w:sz w:val="20"/>
          <w:szCs w:val="20"/>
          <w:color w:val="auto"/>
        </w:rPr>
      </w:pPr>
    </w:p>
    <w:p>
      <w:pPr>
        <w:sectPr>
          <w:pgSz w:w="11900" w:h="16838" w:orient="portrait"/>
          <w:cols w:equalWidth="0" w:num="2">
            <w:col w:w="2560" w:space="533"/>
            <w:col w:w="5987"/>
          </w:cols>
          <w:pgMar w:left="1400" w:top="657" w:right="1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940" w:type="dxa"/>
            <w:vAlign w:val="bottom"/>
          </w:tcPr>
          <w:p>
            <w:pPr>
              <w:ind w:left="60"/>
              <w:spacing w:after="0"/>
              <w:rPr>
                <w:sz w:val="20"/>
                <w:szCs w:val="20"/>
                <w:color w:val="auto"/>
              </w:rPr>
            </w:pPr>
            <w:r>
              <w:rPr>
                <w:rFonts w:ascii="Arial" w:cs="Arial" w:eastAsia="Arial" w:hAnsi="Arial"/>
                <w:sz w:val="16"/>
                <w:szCs w:val="16"/>
                <w:b w:val="1"/>
                <w:bCs w:val="1"/>
                <w:color w:val="0956FF"/>
              </w:rPr>
              <w:t>How to Participate in the Annual</w:t>
            </w:r>
          </w:p>
        </w:tc>
        <w:tc>
          <w:tcPr>
            <w:tcW w:w="6140" w:type="dxa"/>
            <w:vAlign w:val="bottom"/>
            <w:gridSpan w:val="5"/>
          </w:tcPr>
          <w:p>
            <w:pPr>
              <w:ind w:left="160"/>
              <w:spacing w:after="0"/>
              <w:rPr>
                <w:sz w:val="20"/>
                <w:szCs w:val="20"/>
                <w:color w:val="auto"/>
              </w:rPr>
            </w:pPr>
            <w:r>
              <w:rPr>
                <w:rFonts w:ascii="Arial" w:cs="Arial" w:eastAsia="Arial" w:hAnsi="Arial"/>
                <w:sz w:val="16"/>
                <w:szCs w:val="16"/>
                <w:color w:val="auto"/>
              </w:rPr>
              <w:t>Call (877) 328-2502 (toll free) or (412) 317-5419 (international) to listen to the</w:t>
            </w:r>
          </w:p>
        </w:tc>
      </w:tr>
      <w:tr>
        <w:trPr>
          <w:trHeight w:val="216"/>
        </w:trPr>
        <w:tc>
          <w:tcPr>
            <w:tcW w:w="2940" w:type="dxa"/>
            <w:vAlign w:val="bottom"/>
          </w:tcPr>
          <w:p>
            <w:pPr>
              <w:ind w:left="60"/>
              <w:spacing w:after="0"/>
              <w:rPr>
                <w:sz w:val="20"/>
                <w:szCs w:val="20"/>
                <w:color w:val="auto"/>
              </w:rPr>
            </w:pPr>
            <w:r>
              <w:rPr>
                <w:rFonts w:ascii="Arial" w:cs="Arial" w:eastAsia="Arial" w:hAnsi="Arial"/>
                <w:sz w:val="16"/>
                <w:szCs w:val="16"/>
                <w:b w:val="1"/>
                <w:bCs w:val="1"/>
                <w:color w:val="0956FF"/>
              </w:rPr>
              <w:t>Meeting Without Internet Access</w:t>
            </w:r>
          </w:p>
        </w:tc>
        <w:tc>
          <w:tcPr>
            <w:tcW w:w="6140" w:type="dxa"/>
            <w:vAlign w:val="bottom"/>
            <w:gridSpan w:val="5"/>
          </w:tcPr>
          <w:p>
            <w:pPr>
              <w:ind w:left="160"/>
              <w:spacing w:after="0"/>
              <w:rPr>
                <w:sz w:val="20"/>
                <w:szCs w:val="20"/>
                <w:color w:val="auto"/>
              </w:rPr>
            </w:pPr>
            <w:r>
              <w:rPr>
                <w:rFonts w:ascii="Arial" w:cs="Arial" w:eastAsia="Arial" w:hAnsi="Arial"/>
                <w:sz w:val="16"/>
                <w:szCs w:val="16"/>
                <w:color w:val="auto"/>
              </w:rPr>
              <w:t>meeting proceedings. If you join via phone, you will not be able to vote your</w:t>
            </w:r>
          </w:p>
        </w:tc>
      </w:tr>
      <w:tr>
        <w:trPr>
          <w:trHeight w:val="215"/>
        </w:trPr>
        <w:tc>
          <w:tcPr>
            <w:tcW w:w="2940" w:type="dxa"/>
            <w:vAlign w:val="bottom"/>
          </w:tcPr>
          <w:p>
            <w:pPr>
              <w:spacing w:after="0"/>
              <w:rPr>
                <w:sz w:val="18"/>
                <w:szCs w:val="18"/>
                <w:color w:val="auto"/>
              </w:rPr>
            </w:pPr>
          </w:p>
        </w:tc>
        <w:tc>
          <w:tcPr>
            <w:tcW w:w="6140" w:type="dxa"/>
            <w:vAlign w:val="bottom"/>
            <w:gridSpan w:val="5"/>
          </w:tcPr>
          <w:p>
            <w:pPr>
              <w:ind w:left="160"/>
              <w:spacing w:after="0"/>
              <w:rPr>
                <w:sz w:val="20"/>
                <w:szCs w:val="20"/>
                <w:color w:val="auto"/>
              </w:rPr>
            </w:pPr>
            <w:r>
              <w:rPr>
                <w:rFonts w:ascii="Arial" w:cs="Arial" w:eastAsia="Arial" w:hAnsi="Arial"/>
                <w:sz w:val="16"/>
                <w:szCs w:val="16"/>
                <w:color w:val="auto"/>
              </w:rPr>
              <w:t>shares during the meeting.</w:t>
            </w:r>
          </w:p>
        </w:tc>
      </w:tr>
      <w:tr>
        <w:trPr>
          <w:trHeight w:val="56"/>
        </w:trPr>
        <w:tc>
          <w:tcPr>
            <w:tcW w:w="2940" w:type="dxa"/>
            <w:vAlign w:val="bottom"/>
            <w:tcBorders>
              <w:bottom w:val="single" w:sz="8" w:color="D8D7D7"/>
            </w:tcBorders>
          </w:tcPr>
          <w:p>
            <w:pPr>
              <w:spacing w:after="0"/>
              <w:rPr>
                <w:sz w:val="4"/>
                <w:szCs w:val="4"/>
                <w:color w:val="auto"/>
              </w:rPr>
            </w:pPr>
          </w:p>
        </w:tc>
        <w:tc>
          <w:tcPr>
            <w:tcW w:w="520" w:type="dxa"/>
            <w:vAlign w:val="bottom"/>
            <w:tcBorders>
              <w:bottom w:val="single" w:sz="8" w:color="D8D7D7"/>
            </w:tcBorders>
          </w:tcPr>
          <w:p>
            <w:pPr>
              <w:spacing w:after="0"/>
              <w:rPr>
                <w:sz w:val="4"/>
                <w:szCs w:val="4"/>
                <w:color w:val="auto"/>
              </w:rPr>
            </w:pPr>
          </w:p>
        </w:tc>
        <w:tc>
          <w:tcPr>
            <w:tcW w:w="2200" w:type="dxa"/>
            <w:vAlign w:val="bottom"/>
            <w:tcBorders>
              <w:bottom w:val="single" w:sz="8" w:color="D8D7D7"/>
            </w:tcBorders>
          </w:tcPr>
          <w:p>
            <w:pPr>
              <w:spacing w:after="0"/>
              <w:rPr>
                <w:sz w:val="4"/>
                <w:szCs w:val="4"/>
                <w:color w:val="auto"/>
              </w:rPr>
            </w:pPr>
          </w:p>
        </w:tc>
        <w:tc>
          <w:tcPr>
            <w:tcW w:w="680" w:type="dxa"/>
            <w:vAlign w:val="bottom"/>
            <w:tcBorders>
              <w:bottom w:val="single" w:sz="8" w:color="D8D7D7"/>
            </w:tcBorders>
          </w:tcPr>
          <w:p>
            <w:pPr>
              <w:spacing w:after="0"/>
              <w:rPr>
                <w:sz w:val="4"/>
                <w:szCs w:val="4"/>
                <w:color w:val="auto"/>
              </w:rPr>
            </w:pPr>
          </w:p>
        </w:tc>
        <w:tc>
          <w:tcPr>
            <w:tcW w:w="1560" w:type="dxa"/>
            <w:vAlign w:val="bottom"/>
            <w:tcBorders>
              <w:bottom w:val="single" w:sz="8" w:color="D8D7D7"/>
            </w:tcBorders>
          </w:tcPr>
          <w:p>
            <w:pPr>
              <w:spacing w:after="0"/>
              <w:rPr>
                <w:sz w:val="4"/>
                <w:szCs w:val="4"/>
                <w:color w:val="auto"/>
              </w:rPr>
            </w:pPr>
          </w:p>
        </w:tc>
        <w:tc>
          <w:tcPr>
            <w:tcW w:w="1180" w:type="dxa"/>
            <w:vAlign w:val="bottom"/>
            <w:tcBorders>
              <w:bottom w:val="single" w:sz="8" w:color="D8D7D7"/>
            </w:tcBorders>
          </w:tcPr>
          <w:p>
            <w:pPr>
              <w:spacing w:after="0"/>
              <w:rPr>
                <w:sz w:val="4"/>
                <w:szCs w:val="4"/>
                <w:color w:val="auto"/>
              </w:rPr>
            </w:pPr>
          </w:p>
        </w:tc>
      </w:tr>
      <w:tr>
        <w:trPr>
          <w:trHeight w:val="250"/>
        </w:trPr>
        <w:tc>
          <w:tcPr>
            <w:tcW w:w="2940" w:type="dxa"/>
            <w:vAlign w:val="bottom"/>
          </w:tcPr>
          <w:p>
            <w:pPr>
              <w:ind w:left="60"/>
              <w:spacing w:after="0"/>
              <w:rPr>
                <w:sz w:val="20"/>
                <w:szCs w:val="20"/>
                <w:color w:val="auto"/>
              </w:rPr>
            </w:pPr>
            <w:r>
              <w:rPr>
                <w:rFonts w:ascii="Arial" w:cs="Arial" w:eastAsia="Arial" w:hAnsi="Arial"/>
                <w:sz w:val="16"/>
                <w:szCs w:val="16"/>
                <w:b w:val="1"/>
                <w:bCs w:val="1"/>
                <w:color w:val="0956FF"/>
              </w:rPr>
              <w:t>How to Participate in the Annual</w:t>
            </w:r>
          </w:p>
        </w:tc>
        <w:tc>
          <w:tcPr>
            <w:tcW w:w="6140" w:type="dxa"/>
            <w:vAlign w:val="bottom"/>
            <w:gridSpan w:val="5"/>
          </w:tcPr>
          <w:p>
            <w:pPr>
              <w:ind w:left="160"/>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color w:val="0956FF"/>
              </w:rPr>
              <w:t>virtualshareholdermeeting.com/GM2026</w:t>
            </w:r>
            <w:r>
              <w:rPr>
                <w:rFonts w:ascii="Arial" w:cs="Arial" w:eastAsia="Arial" w:hAnsi="Arial"/>
                <w:sz w:val="16"/>
                <w:szCs w:val="16"/>
                <w:color w:val="auto"/>
              </w:rPr>
              <w:t xml:space="preserve">  and register as a guest. If you join</w:t>
            </w:r>
          </w:p>
        </w:tc>
      </w:tr>
      <w:tr>
        <w:trPr>
          <w:trHeight w:val="20"/>
        </w:trPr>
        <w:tc>
          <w:tcPr>
            <w:tcW w:w="2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shd w:val="clear" w:color="auto" w:fill="0956FF"/>
          </w:tcPr>
          <w:p>
            <w:pPr>
              <w:spacing w:after="0" w:line="20" w:lineRule="exact"/>
              <w:rPr>
                <w:sz w:val="1"/>
                <w:szCs w:val="1"/>
                <w:color w:val="auto"/>
              </w:rPr>
            </w:pPr>
          </w:p>
        </w:tc>
        <w:tc>
          <w:tcPr>
            <w:tcW w:w="680" w:type="dxa"/>
            <w:vAlign w:val="bottom"/>
            <w:shd w:val="clear" w:color="auto" w:fill="0956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2940" w:type="dxa"/>
            <w:vAlign w:val="bottom"/>
          </w:tcPr>
          <w:p>
            <w:pPr>
              <w:ind w:left="60"/>
              <w:spacing w:after="0"/>
              <w:rPr>
                <w:sz w:val="20"/>
                <w:szCs w:val="20"/>
                <w:color w:val="auto"/>
              </w:rPr>
            </w:pPr>
            <w:r>
              <w:rPr>
                <w:rFonts w:ascii="Arial" w:cs="Arial" w:eastAsia="Arial" w:hAnsi="Arial"/>
                <w:sz w:val="16"/>
                <w:szCs w:val="16"/>
                <w:b w:val="1"/>
                <w:bCs w:val="1"/>
                <w:color w:val="0956FF"/>
              </w:rPr>
              <w:t>Meeting Without a 16-Digit</w:t>
            </w:r>
          </w:p>
        </w:tc>
        <w:tc>
          <w:tcPr>
            <w:tcW w:w="6140" w:type="dxa"/>
            <w:vAlign w:val="bottom"/>
            <w:gridSpan w:val="5"/>
          </w:tcPr>
          <w:p>
            <w:pPr>
              <w:ind w:left="160"/>
              <w:spacing w:after="0"/>
              <w:rPr>
                <w:sz w:val="20"/>
                <w:szCs w:val="20"/>
                <w:color w:val="auto"/>
              </w:rPr>
            </w:pPr>
            <w:r>
              <w:rPr>
                <w:rFonts w:ascii="Arial" w:cs="Arial" w:eastAsia="Arial" w:hAnsi="Arial"/>
                <w:sz w:val="16"/>
                <w:szCs w:val="16"/>
                <w:color w:val="auto"/>
              </w:rPr>
              <w:t>as a guest, you will not be able to vote your shares or ask questions during</w:t>
            </w:r>
          </w:p>
        </w:tc>
      </w:tr>
      <w:tr>
        <w:trPr>
          <w:trHeight w:val="223"/>
        </w:trPr>
        <w:tc>
          <w:tcPr>
            <w:tcW w:w="2940" w:type="dxa"/>
            <w:vAlign w:val="bottom"/>
          </w:tcPr>
          <w:p>
            <w:pPr>
              <w:ind w:left="60"/>
              <w:spacing w:after="0"/>
              <w:rPr>
                <w:sz w:val="20"/>
                <w:szCs w:val="20"/>
                <w:color w:val="auto"/>
              </w:rPr>
            </w:pPr>
            <w:r>
              <w:rPr>
                <w:rFonts w:ascii="Arial" w:cs="Arial" w:eastAsia="Arial" w:hAnsi="Arial"/>
                <w:sz w:val="16"/>
                <w:szCs w:val="16"/>
                <w:b w:val="1"/>
                <w:bCs w:val="1"/>
                <w:color w:val="0956FF"/>
              </w:rPr>
              <w:t>Control Number</w:t>
            </w:r>
          </w:p>
        </w:tc>
        <w:tc>
          <w:tcPr>
            <w:tcW w:w="6140" w:type="dxa"/>
            <w:vAlign w:val="bottom"/>
            <w:gridSpan w:val="5"/>
          </w:tcPr>
          <w:p>
            <w:pPr>
              <w:ind w:left="160"/>
              <w:spacing w:after="0"/>
              <w:rPr>
                <w:sz w:val="20"/>
                <w:szCs w:val="20"/>
                <w:color w:val="auto"/>
              </w:rPr>
            </w:pPr>
            <w:r>
              <w:rPr>
                <w:rFonts w:ascii="Arial" w:cs="Arial" w:eastAsia="Arial" w:hAnsi="Arial"/>
                <w:sz w:val="16"/>
                <w:szCs w:val="16"/>
                <w:color w:val="auto"/>
              </w:rPr>
              <w:t>the meeting.</w:t>
            </w:r>
          </w:p>
        </w:tc>
      </w:tr>
      <w:tr>
        <w:trPr>
          <w:trHeight w:val="48"/>
        </w:trPr>
        <w:tc>
          <w:tcPr>
            <w:tcW w:w="2940" w:type="dxa"/>
            <w:vAlign w:val="bottom"/>
            <w:tcBorders>
              <w:bottom w:val="single" w:sz="8" w:color="D8D7D7"/>
            </w:tcBorders>
          </w:tcPr>
          <w:p>
            <w:pPr>
              <w:spacing w:after="0"/>
              <w:rPr>
                <w:sz w:val="4"/>
                <w:szCs w:val="4"/>
                <w:color w:val="auto"/>
              </w:rPr>
            </w:pPr>
          </w:p>
        </w:tc>
        <w:tc>
          <w:tcPr>
            <w:tcW w:w="520" w:type="dxa"/>
            <w:vAlign w:val="bottom"/>
            <w:tcBorders>
              <w:bottom w:val="single" w:sz="8" w:color="D8D7D7"/>
            </w:tcBorders>
          </w:tcPr>
          <w:p>
            <w:pPr>
              <w:spacing w:after="0"/>
              <w:rPr>
                <w:sz w:val="4"/>
                <w:szCs w:val="4"/>
                <w:color w:val="auto"/>
              </w:rPr>
            </w:pPr>
          </w:p>
        </w:tc>
        <w:tc>
          <w:tcPr>
            <w:tcW w:w="2200" w:type="dxa"/>
            <w:vAlign w:val="bottom"/>
            <w:tcBorders>
              <w:bottom w:val="single" w:sz="8" w:color="D8D7D7"/>
            </w:tcBorders>
          </w:tcPr>
          <w:p>
            <w:pPr>
              <w:spacing w:after="0"/>
              <w:rPr>
                <w:sz w:val="4"/>
                <w:szCs w:val="4"/>
                <w:color w:val="auto"/>
              </w:rPr>
            </w:pPr>
          </w:p>
        </w:tc>
        <w:tc>
          <w:tcPr>
            <w:tcW w:w="680" w:type="dxa"/>
            <w:vAlign w:val="bottom"/>
            <w:tcBorders>
              <w:bottom w:val="single" w:sz="8" w:color="D8D7D7"/>
            </w:tcBorders>
          </w:tcPr>
          <w:p>
            <w:pPr>
              <w:spacing w:after="0"/>
              <w:rPr>
                <w:sz w:val="4"/>
                <w:szCs w:val="4"/>
                <w:color w:val="auto"/>
              </w:rPr>
            </w:pPr>
          </w:p>
        </w:tc>
        <w:tc>
          <w:tcPr>
            <w:tcW w:w="1560" w:type="dxa"/>
            <w:vAlign w:val="bottom"/>
            <w:tcBorders>
              <w:bottom w:val="single" w:sz="8" w:color="D8D7D7"/>
            </w:tcBorders>
          </w:tcPr>
          <w:p>
            <w:pPr>
              <w:spacing w:after="0"/>
              <w:rPr>
                <w:sz w:val="4"/>
                <w:szCs w:val="4"/>
                <w:color w:val="auto"/>
              </w:rPr>
            </w:pPr>
          </w:p>
        </w:tc>
        <w:tc>
          <w:tcPr>
            <w:tcW w:w="1180" w:type="dxa"/>
            <w:vAlign w:val="bottom"/>
            <w:tcBorders>
              <w:bottom w:val="single" w:sz="8" w:color="D8D7D7"/>
            </w:tcBorders>
          </w:tcPr>
          <w:p>
            <w:pPr>
              <w:spacing w:after="0"/>
              <w:rPr>
                <w:sz w:val="4"/>
                <w:szCs w:val="4"/>
                <w:color w:val="auto"/>
              </w:rPr>
            </w:pPr>
          </w:p>
        </w:tc>
      </w:tr>
      <w:tr>
        <w:trPr>
          <w:trHeight w:val="297"/>
        </w:trPr>
        <w:tc>
          <w:tcPr>
            <w:tcW w:w="2940" w:type="dxa"/>
            <w:vAlign w:val="bottom"/>
          </w:tcPr>
          <w:p>
            <w:pPr>
              <w:ind w:left="60"/>
              <w:spacing w:after="0"/>
              <w:rPr>
                <w:sz w:val="20"/>
                <w:szCs w:val="20"/>
                <w:color w:val="auto"/>
              </w:rPr>
            </w:pPr>
            <w:r>
              <w:rPr>
                <w:rFonts w:ascii="Arial" w:cs="Arial" w:eastAsia="Arial" w:hAnsi="Arial"/>
                <w:sz w:val="16"/>
                <w:szCs w:val="16"/>
                <w:b w:val="1"/>
                <w:bCs w:val="1"/>
                <w:color w:val="0956FF"/>
              </w:rPr>
              <w:t>For Help With Technical Difficulties</w:t>
            </w:r>
          </w:p>
        </w:tc>
        <w:tc>
          <w:tcPr>
            <w:tcW w:w="6140" w:type="dxa"/>
            <w:vAlign w:val="bottom"/>
            <w:gridSpan w:val="5"/>
          </w:tcPr>
          <w:p>
            <w:pPr>
              <w:ind w:left="160"/>
              <w:spacing w:after="0"/>
              <w:rPr>
                <w:sz w:val="20"/>
                <w:szCs w:val="20"/>
                <w:color w:val="auto"/>
              </w:rPr>
            </w:pPr>
            <w:r>
              <w:rPr>
                <w:rFonts w:ascii="Arial" w:cs="Arial" w:eastAsia="Arial" w:hAnsi="Arial"/>
                <w:sz w:val="16"/>
                <w:szCs w:val="16"/>
                <w:color w:val="auto"/>
              </w:rPr>
              <w:t>Call (844) 986-0822 (U.S.) or (303) 562-9302 (international) for assistance.</w:t>
            </w:r>
          </w:p>
        </w:tc>
      </w:tr>
      <w:tr>
        <w:trPr>
          <w:trHeight w:val="61"/>
        </w:trPr>
        <w:tc>
          <w:tcPr>
            <w:tcW w:w="2940" w:type="dxa"/>
            <w:vAlign w:val="bottom"/>
            <w:tcBorders>
              <w:bottom w:val="single" w:sz="8" w:color="D8D7D7"/>
            </w:tcBorders>
          </w:tcPr>
          <w:p>
            <w:pPr>
              <w:spacing w:after="0"/>
              <w:rPr>
                <w:sz w:val="5"/>
                <w:szCs w:val="5"/>
                <w:color w:val="auto"/>
              </w:rPr>
            </w:pPr>
          </w:p>
        </w:tc>
        <w:tc>
          <w:tcPr>
            <w:tcW w:w="520" w:type="dxa"/>
            <w:vAlign w:val="bottom"/>
            <w:tcBorders>
              <w:bottom w:val="single" w:sz="8" w:color="D8D7D7"/>
            </w:tcBorders>
          </w:tcPr>
          <w:p>
            <w:pPr>
              <w:spacing w:after="0"/>
              <w:rPr>
                <w:sz w:val="5"/>
                <w:szCs w:val="5"/>
                <w:color w:val="auto"/>
              </w:rPr>
            </w:pPr>
          </w:p>
        </w:tc>
        <w:tc>
          <w:tcPr>
            <w:tcW w:w="2200" w:type="dxa"/>
            <w:vAlign w:val="bottom"/>
            <w:tcBorders>
              <w:bottom w:val="single" w:sz="8" w:color="D8D7D7"/>
            </w:tcBorders>
          </w:tcPr>
          <w:p>
            <w:pPr>
              <w:spacing w:after="0"/>
              <w:rPr>
                <w:sz w:val="5"/>
                <w:szCs w:val="5"/>
                <w:color w:val="auto"/>
              </w:rPr>
            </w:pPr>
          </w:p>
        </w:tc>
        <w:tc>
          <w:tcPr>
            <w:tcW w:w="680" w:type="dxa"/>
            <w:vAlign w:val="bottom"/>
            <w:tcBorders>
              <w:bottom w:val="single" w:sz="8" w:color="D8D7D7"/>
            </w:tcBorders>
          </w:tcPr>
          <w:p>
            <w:pPr>
              <w:spacing w:after="0"/>
              <w:rPr>
                <w:sz w:val="5"/>
                <w:szCs w:val="5"/>
                <w:color w:val="auto"/>
              </w:rPr>
            </w:pPr>
          </w:p>
        </w:tc>
        <w:tc>
          <w:tcPr>
            <w:tcW w:w="1560" w:type="dxa"/>
            <w:vAlign w:val="bottom"/>
            <w:tcBorders>
              <w:bottom w:val="single" w:sz="8" w:color="D8D7D7"/>
            </w:tcBorders>
          </w:tcPr>
          <w:p>
            <w:pPr>
              <w:spacing w:after="0"/>
              <w:rPr>
                <w:sz w:val="5"/>
                <w:szCs w:val="5"/>
                <w:color w:val="auto"/>
              </w:rPr>
            </w:pPr>
          </w:p>
        </w:tc>
        <w:tc>
          <w:tcPr>
            <w:tcW w:w="1180" w:type="dxa"/>
            <w:vAlign w:val="bottom"/>
            <w:tcBorders>
              <w:bottom w:val="single" w:sz="8" w:color="D8D7D7"/>
            </w:tcBorders>
          </w:tcPr>
          <w:p>
            <w:pPr>
              <w:spacing w:after="0"/>
              <w:rPr>
                <w:sz w:val="5"/>
                <w:szCs w:val="5"/>
                <w:color w:val="auto"/>
              </w:rPr>
            </w:pPr>
          </w:p>
        </w:tc>
      </w:tr>
      <w:tr>
        <w:trPr>
          <w:trHeight w:val="250"/>
        </w:trPr>
        <w:tc>
          <w:tcPr>
            <w:tcW w:w="2940" w:type="dxa"/>
            <w:vAlign w:val="bottom"/>
          </w:tcPr>
          <w:p>
            <w:pPr>
              <w:ind w:left="60"/>
              <w:spacing w:after="0"/>
              <w:rPr>
                <w:sz w:val="20"/>
                <w:szCs w:val="20"/>
                <w:color w:val="auto"/>
              </w:rPr>
            </w:pPr>
            <w:r>
              <w:rPr>
                <w:rFonts w:ascii="Arial" w:cs="Arial" w:eastAsia="Arial" w:hAnsi="Arial"/>
                <w:sz w:val="16"/>
                <w:szCs w:val="16"/>
                <w:b w:val="1"/>
                <w:bCs w:val="1"/>
                <w:color w:val="0956FF"/>
              </w:rPr>
              <w:t>Additional Questions</w:t>
            </w:r>
          </w:p>
        </w:tc>
        <w:tc>
          <w:tcPr>
            <w:tcW w:w="6140" w:type="dxa"/>
            <w:vAlign w:val="bottom"/>
            <w:gridSpan w:val="5"/>
          </w:tcPr>
          <w:p>
            <w:pPr>
              <w:ind w:left="160"/>
              <w:spacing w:after="0"/>
              <w:rPr>
                <w:sz w:val="20"/>
                <w:szCs w:val="20"/>
                <w:color w:val="auto"/>
              </w:rPr>
            </w:pPr>
            <w:r>
              <w:rPr>
                <w:rFonts w:ascii="Arial" w:cs="Arial" w:eastAsia="Arial" w:hAnsi="Arial"/>
                <w:sz w:val="16"/>
                <w:szCs w:val="16"/>
                <w:color w:val="auto"/>
              </w:rPr>
              <w:t xml:space="preserve">Email GM Shareholder Relations at </w:t>
            </w:r>
            <w:r>
              <w:rPr>
                <w:rFonts w:ascii="Arial" w:cs="Arial" w:eastAsia="Arial" w:hAnsi="Arial"/>
                <w:sz w:val="16"/>
                <w:szCs w:val="16"/>
                <w:color w:val="0956FF"/>
              </w:rPr>
              <w:t>shareholder.relations@gm.com</w:t>
            </w:r>
            <w:r>
              <w:rPr>
                <w:rFonts w:ascii="Arial" w:cs="Arial" w:eastAsia="Arial" w:hAnsi="Arial"/>
                <w:sz w:val="16"/>
                <w:szCs w:val="16"/>
                <w:color w:val="auto"/>
              </w:rPr>
              <w:t xml:space="preserve"> .</w:t>
            </w:r>
          </w:p>
        </w:tc>
      </w:tr>
      <w:tr>
        <w:trPr>
          <w:trHeight w:val="88"/>
        </w:trPr>
        <w:tc>
          <w:tcPr>
            <w:tcW w:w="2940" w:type="dxa"/>
            <w:vAlign w:val="bottom"/>
            <w:tcBorders>
              <w:bottom w:val="single" w:sz="8" w:color="0956FF"/>
            </w:tcBorders>
          </w:tcPr>
          <w:p>
            <w:pPr>
              <w:spacing w:after="0"/>
              <w:rPr>
                <w:sz w:val="7"/>
                <w:szCs w:val="7"/>
                <w:color w:val="auto"/>
              </w:rPr>
            </w:pPr>
          </w:p>
        </w:tc>
        <w:tc>
          <w:tcPr>
            <w:tcW w:w="520" w:type="dxa"/>
            <w:vAlign w:val="bottom"/>
            <w:tcBorders>
              <w:bottom w:val="single" w:sz="8" w:color="0956FF"/>
            </w:tcBorders>
          </w:tcPr>
          <w:p>
            <w:pPr>
              <w:spacing w:after="0"/>
              <w:rPr>
                <w:sz w:val="7"/>
                <w:szCs w:val="7"/>
                <w:color w:val="auto"/>
              </w:rPr>
            </w:pPr>
          </w:p>
        </w:tc>
        <w:tc>
          <w:tcPr>
            <w:tcW w:w="2200" w:type="dxa"/>
            <w:vAlign w:val="bottom"/>
            <w:tcBorders>
              <w:bottom w:val="single" w:sz="8" w:color="0956FF"/>
            </w:tcBorders>
          </w:tcPr>
          <w:p>
            <w:pPr>
              <w:spacing w:after="0"/>
              <w:rPr>
                <w:sz w:val="7"/>
                <w:szCs w:val="7"/>
                <w:color w:val="auto"/>
              </w:rPr>
            </w:pPr>
          </w:p>
        </w:tc>
        <w:tc>
          <w:tcPr>
            <w:tcW w:w="680" w:type="dxa"/>
            <w:vAlign w:val="bottom"/>
            <w:tcBorders>
              <w:top w:val="single" w:sz="8" w:color="0956FF"/>
              <w:bottom w:val="single" w:sz="8" w:color="0956FF"/>
            </w:tcBorders>
          </w:tcPr>
          <w:p>
            <w:pPr>
              <w:spacing w:after="0"/>
              <w:rPr>
                <w:sz w:val="7"/>
                <w:szCs w:val="7"/>
                <w:color w:val="auto"/>
              </w:rPr>
            </w:pPr>
          </w:p>
        </w:tc>
        <w:tc>
          <w:tcPr>
            <w:tcW w:w="1560" w:type="dxa"/>
            <w:vAlign w:val="bottom"/>
            <w:tcBorders>
              <w:top w:val="single" w:sz="8" w:color="0956FF"/>
              <w:bottom w:val="single" w:sz="8" w:color="0956FF"/>
            </w:tcBorders>
          </w:tcPr>
          <w:p>
            <w:pPr>
              <w:spacing w:after="0"/>
              <w:rPr>
                <w:sz w:val="7"/>
                <w:szCs w:val="7"/>
                <w:color w:val="auto"/>
              </w:rPr>
            </w:pPr>
          </w:p>
        </w:tc>
        <w:tc>
          <w:tcPr>
            <w:tcW w:w="1180" w:type="dxa"/>
            <w:vAlign w:val="bottom"/>
            <w:tcBorders>
              <w:bottom w:val="single" w:sz="8" w:color="0956FF"/>
            </w:tcBorders>
          </w:tcPr>
          <w:p>
            <w:pPr>
              <w:spacing w:after="0"/>
              <w:rPr>
                <w:sz w:val="7"/>
                <w:szCs w:val="7"/>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Can I Submit Questions for the Online Meeting?</w:t>
      </w:r>
    </w:p>
    <w:p>
      <w:pPr>
        <w:sectPr>
          <w:pgSz w:w="11900" w:h="16838" w:orient="portrait"/>
          <w:cols w:equalWidth="0" w:num="1">
            <w:col w:w="9080"/>
          </w:cols>
          <w:pgMar w:left="1400" w:top="657" w:right="1419" w:bottom="1440" w:gutter="0" w:footer="0" w:header="0"/>
          <w:type w:val="continuous"/>
        </w:sectPr>
      </w:pPr>
    </w:p>
    <w:p>
      <w:pPr>
        <w:spacing w:after="0" w:line="234" w:lineRule="exact"/>
        <w:rPr>
          <w:sz w:val="20"/>
          <w:szCs w:val="20"/>
          <w:color w:val="auto"/>
        </w:rPr>
      </w:pPr>
    </w:p>
    <w:p>
      <w:pPr>
        <w:ind w:left="60" w:right="626"/>
        <w:spacing w:after="0" w:line="314" w:lineRule="auto"/>
        <w:rPr>
          <w:sz w:val="20"/>
          <w:szCs w:val="20"/>
          <w:color w:val="auto"/>
        </w:rPr>
      </w:pPr>
      <w:r>
        <w:rPr>
          <w:rFonts w:ascii="Arial" w:cs="Arial" w:eastAsia="Arial" w:hAnsi="Arial"/>
          <w:sz w:val="16"/>
          <w:szCs w:val="16"/>
          <w:b w:val="1"/>
          <w:bCs w:val="1"/>
          <w:color w:val="0956FF"/>
        </w:rPr>
        <w:t>Submitting Questions Before the Meeting</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54" w:hanging="254"/>
        <w:spacing w:after="0"/>
        <w:tabs>
          <w:tab w:leader="none" w:pos="254" w:val="left"/>
        </w:tabs>
        <w:numPr>
          <w:ilvl w:val="0"/>
          <w:numId w:val="120"/>
        </w:numPr>
        <w:rPr>
          <w:rFonts w:ascii="Arial" w:cs="Arial" w:eastAsia="Arial" w:hAnsi="Arial"/>
          <w:sz w:val="16"/>
          <w:szCs w:val="16"/>
          <w:b w:val="1"/>
          <w:bCs w:val="1"/>
          <w:color w:val="0956FF"/>
        </w:rPr>
      </w:pPr>
      <w:r>
        <w:rPr>
          <w:rFonts w:ascii="Arial" w:cs="Arial" w:eastAsia="Arial" w:hAnsi="Arial"/>
          <w:sz w:val="16"/>
          <w:szCs w:val="16"/>
          <w:color w:val="auto"/>
        </w:rPr>
        <w:t xml:space="preserve">Log in to </w:t>
      </w:r>
      <w:r>
        <w:rPr>
          <w:rFonts w:ascii="Arial" w:cs="Arial" w:eastAsia="Arial" w:hAnsi="Arial"/>
          <w:sz w:val="16"/>
          <w:szCs w:val="16"/>
          <w:u w:val="single" w:color="auto"/>
          <w:color w:val="0956FF"/>
        </w:rPr>
        <w:t>proxyvote.com</w:t>
      </w:r>
      <w:r>
        <w:rPr>
          <w:rFonts w:ascii="Arial" w:cs="Arial" w:eastAsia="Arial" w:hAnsi="Arial"/>
          <w:sz w:val="16"/>
          <w:szCs w:val="16"/>
          <w:color w:val="auto"/>
        </w:rPr>
        <w:t xml:space="preserve"> ;</w:t>
      </w:r>
    </w:p>
    <w:p>
      <w:pPr>
        <w:spacing w:after="0" w:line="72" w:lineRule="exact"/>
        <w:rPr>
          <w:rFonts w:ascii="Arial" w:cs="Arial" w:eastAsia="Arial" w:hAnsi="Arial"/>
          <w:sz w:val="16"/>
          <w:szCs w:val="16"/>
          <w:b w:val="1"/>
          <w:bCs w:val="1"/>
          <w:color w:val="0956FF"/>
        </w:rPr>
      </w:pPr>
    </w:p>
    <w:p>
      <w:pPr>
        <w:ind w:left="254" w:hanging="254"/>
        <w:spacing w:after="0"/>
        <w:tabs>
          <w:tab w:leader="none" w:pos="254" w:val="left"/>
        </w:tabs>
        <w:numPr>
          <w:ilvl w:val="0"/>
          <w:numId w:val="120"/>
        </w:numPr>
        <w:rPr>
          <w:rFonts w:ascii="Arial" w:cs="Arial" w:eastAsia="Arial" w:hAnsi="Arial"/>
          <w:sz w:val="16"/>
          <w:szCs w:val="16"/>
          <w:b w:val="1"/>
          <w:bCs w:val="1"/>
          <w:color w:val="0956FF"/>
        </w:rPr>
      </w:pPr>
      <w:r>
        <w:rPr>
          <w:rFonts w:ascii="Arial" w:cs="Arial" w:eastAsia="Arial" w:hAnsi="Arial"/>
          <w:sz w:val="16"/>
          <w:szCs w:val="16"/>
          <w:color w:val="auto"/>
        </w:rPr>
        <w:t>Enter your 16-digit control number; and</w:t>
      </w:r>
    </w:p>
    <w:p>
      <w:pPr>
        <w:spacing w:after="0" w:line="86" w:lineRule="exact"/>
        <w:rPr>
          <w:rFonts w:ascii="Arial" w:cs="Arial" w:eastAsia="Arial" w:hAnsi="Arial"/>
          <w:sz w:val="16"/>
          <w:szCs w:val="16"/>
          <w:b w:val="1"/>
          <w:bCs w:val="1"/>
          <w:color w:val="0956FF"/>
        </w:rPr>
      </w:pPr>
    </w:p>
    <w:p>
      <w:pPr>
        <w:ind w:left="254" w:right="480" w:hanging="254"/>
        <w:spacing w:after="0" w:line="321" w:lineRule="auto"/>
        <w:tabs>
          <w:tab w:leader="none" w:pos="254" w:val="left"/>
        </w:tabs>
        <w:numPr>
          <w:ilvl w:val="0"/>
          <w:numId w:val="120"/>
        </w:numPr>
        <w:rPr>
          <w:rFonts w:ascii="Arial" w:cs="Arial" w:eastAsia="Arial" w:hAnsi="Arial"/>
          <w:sz w:val="16"/>
          <w:szCs w:val="16"/>
          <w:b w:val="1"/>
          <w:bCs w:val="1"/>
          <w:color w:val="0956FF"/>
        </w:rPr>
      </w:pPr>
      <w:r>
        <w:rPr>
          <w:rFonts w:ascii="Arial" w:cs="Arial" w:eastAsia="Arial" w:hAnsi="Arial"/>
          <w:sz w:val="16"/>
          <w:szCs w:val="16"/>
          <w:color w:val="auto"/>
        </w:rPr>
        <w:t>Once past the login screen, click on “Questions for Management,” type in your question, and click “Submit.”</w:t>
      </w:r>
    </w:p>
    <w:p>
      <w:pPr>
        <w:spacing w:after="0" w:line="94" w:lineRule="exact"/>
        <w:rPr>
          <w:sz w:val="20"/>
          <w:szCs w:val="20"/>
          <w:color w:val="auto"/>
        </w:rPr>
      </w:pPr>
    </w:p>
    <w:p>
      <w:pPr>
        <w:sectPr>
          <w:pgSz w:w="11900" w:h="16838" w:orient="portrait"/>
          <w:cols w:equalWidth="0" w:num="2">
            <w:col w:w="2386" w:space="720"/>
            <w:col w:w="5974"/>
          </w:cols>
          <w:pgMar w:left="1400" w:top="657" w:right="141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2420" w:type="dxa"/>
            <w:vAlign w:val="bottom"/>
          </w:tcPr>
          <w:p>
            <w:pPr>
              <w:ind w:left="60"/>
              <w:spacing w:after="0"/>
              <w:rPr>
                <w:sz w:val="20"/>
                <w:szCs w:val="20"/>
                <w:color w:val="auto"/>
              </w:rPr>
            </w:pPr>
            <w:r>
              <w:rPr>
                <w:rFonts w:ascii="Arial" w:cs="Arial" w:eastAsia="Arial" w:hAnsi="Arial"/>
                <w:sz w:val="16"/>
                <w:szCs w:val="16"/>
                <w:b w:val="1"/>
                <w:bCs w:val="1"/>
                <w:color w:val="0956FF"/>
              </w:rPr>
              <w:t>Submitting Questions</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0956FF"/>
              </w:rPr>
              <w:t>1.</w:t>
            </w:r>
          </w:p>
        </w:tc>
        <w:tc>
          <w:tcPr>
            <w:tcW w:w="3300" w:type="dxa"/>
            <w:vAlign w:val="bottom"/>
            <w:gridSpan w:val="2"/>
          </w:tcPr>
          <w:p>
            <w:pPr>
              <w:spacing w:after="0"/>
              <w:rPr>
                <w:sz w:val="20"/>
                <w:szCs w:val="20"/>
                <w:color w:val="auto"/>
              </w:rPr>
            </w:pPr>
            <w:r>
              <w:rPr>
                <w:rFonts w:ascii="Arial" w:cs="Arial" w:eastAsia="Arial" w:hAnsi="Arial"/>
                <w:sz w:val="16"/>
                <w:szCs w:val="16"/>
                <w:color w:val="auto"/>
              </w:rPr>
              <w:t>Log in to the online meeting platform at</w:t>
            </w:r>
          </w:p>
        </w:tc>
        <w:tc>
          <w:tcPr>
            <w:tcW w:w="2260" w:type="dxa"/>
            <w:vAlign w:val="bottom"/>
            <w:tcBorders>
              <w:bottom w:val="single" w:sz="8" w:color="0956FF"/>
            </w:tcBorders>
          </w:tcPr>
          <w:p>
            <w:pPr>
              <w:spacing w:after="0"/>
              <w:rPr>
                <w:sz w:val="20"/>
                <w:szCs w:val="20"/>
                <w:color w:val="auto"/>
              </w:rPr>
            </w:pPr>
            <w:r>
              <w:rPr>
                <w:rFonts w:ascii="Arial" w:cs="Arial" w:eastAsia="Arial" w:hAnsi="Arial"/>
                <w:sz w:val="16"/>
                <w:szCs w:val="16"/>
                <w:color w:val="0956FF"/>
              </w:rPr>
              <w:t>virtualshareholdermeeting.com/</w:t>
            </w:r>
          </w:p>
        </w:tc>
        <w:tc>
          <w:tcPr>
            <w:tcW w:w="160" w:type="dxa"/>
            <w:vAlign w:val="bottom"/>
          </w:tcPr>
          <w:p>
            <w:pPr>
              <w:spacing w:after="0"/>
              <w:rPr>
                <w:sz w:val="16"/>
                <w:szCs w:val="16"/>
                <w:color w:val="auto"/>
              </w:rPr>
            </w:pPr>
          </w:p>
        </w:tc>
      </w:tr>
      <w:tr>
        <w:trPr>
          <w:trHeight w:val="183"/>
        </w:trPr>
        <w:tc>
          <w:tcPr>
            <w:tcW w:w="2420" w:type="dxa"/>
            <w:vAlign w:val="bottom"/>
          </w:tcPr>
          <w:p>
            <w:pPr>
              <w:ind w:left="60"/>
              <w:spacing w:after="0" w:line="183" w:lineRule="exact"/>
              <w:rPr>
                <w:sz w:val="20"/>
                <w:szCs w:val="20"/>
                <w:color w:val="auto"/>
              </w:rPr>
            </w:pPr>
            <w:r>
              <w:rPr>
                <w:rFonts w:ascii="Arial" w:cs="Arial" w:eastAsia="Arial" w:hAnsi="Arial"/>
                <w:sz w:val="16"/>
                <w:szCs w:val="16"/>
                <w:b w:val="1"/>
                <w:bCs w:val="1"/>
                <w:color w:val="0956FF"/>
              </w:rPr>
              <w:t>During the Meeting</w:t>
            </w:r>
          </w:p>
        </w:tc>
        <w:tc>
          <w:tcPr>
            <w:tcW w:w="940" w:type="dxa"/>
            <w:vAlign w:val="bottom"/>
          </w:tcPr>
          <w:p>
            <w:pPr>
              <w:spacing w:after="0"/>
              <w:rPr>
                <w:sz w:val="15"/>
                <w:szCs w:val="15"/>
                <w:color w:val="auto"/>
              </w:rPr>
            </w:pPr>
          </w:p>
        </w:tc>
        <w:tc>
          <w:tcPr>
            <w:tcW w:w="5720" w:type="dxa"/>
            <w:vAlign w:val="bottom"/>
            <w:gridSpan w:val="4"/>
          </w:tcPr>
          <w:p>
            <w:pPr>
              <w:spacing w:after="0" w:line="183" w:lineRule="exact"/>
              <w:rPr>
                <w:sz w:val="20"/>
                <w:szCs w:val="20"/>
                <w:color w:val="auto"/>
              </w:rPr>
            </w:pPr>
            <w:r>
              <w:rPr>
                <w:rFonts w:ascii="Arial" w:cs="Arial" w:eastAsia="Arial" w:hAnsi="Arial"/>
                <w:sz w:val="16"/>
                <w:szCs w:val="16"/>
                <w:color w:val="0956FF"/>
              </w:rPr>
              <w:t xml:space="preserve">GM2026 </w:t>
            </w:r>
            <w:r>
              <w:rPr>
                <w:rFonts w:ascii="Arial" w:cs="Arial" w:eastAsia="Arial" w:hAnsi="Arial"/>
                <w:sz w:val="16"/>
                <w:szCs w:val="16"/>
                <w:color w:val="000000"/>
              </w:rPr>
              <w:t>, type your question in the “Ask a Question” field, and click</w:t>
            </w:r>
          </w:p>
        </w:tc>
      </w:tr>
      <w:tr>
        <w:trPr>
          <w:trHeight w:val="20"/>
        </w:trPr>
        <w:tc>
          <w:tcPr>
            <w:tcW w:w="2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shd w:val="clear" w:color="auto" w:fill="0956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5"/>
        </w:trPr>
        <w:tc>
          <w:tcPr>
            <w:tcW w:w="2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“Submit”; or</w:t>
            </w:r>
          </w:p>
        </w:tc>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1"/>
        </w:trPr>
        <w:tc>
          <w:tcPr>
            <w:tcW w:w="24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0956FF"/>
              </w:rPr>
              <w:t>2.</w:t>
            </w:r>
          </w:p>
        </w:tc>
        <w:tc>
          <w:tcPr>
            <w:tcW w:w="5720" w:type="dxa"/>
            <w:vAlign w:val="bottom"/>
            <w:gridSpan w:val="4"/>
          </w:tcPr>
          <w:p>
            <w:pPr>
              <w:spacing w:after="0"/>
              <w:rPr>
                <w:sz w:val="20"/>
                <w:szCs w:val="20"/>
                <w:color w:val="auto"/>
              </w:rPr>
            </w:pPr>
            <w:r>
              <w:rPr>
                <w:rFonts w:ascii="Arial" w:cs="Arial" w:eastAsia="Arial" w:hAnsi="Arial"/>
                <w:sz w:val="16"/>
                <w:szCs w:val="16"/>
                <w:color w:val="auto"/>
              </w:rPr>
              <w:t>Call (877) 328-2502 (toll free) or (412) 317-5419 (international) and press *1</w:t>
            </w:r>
          </w:p>
        </w:tc>
      </w:tr>
      <w:tr>
        <w:trPr>
          <w:trHeight w:val="215"/>
        </w:trPr>
        <w:tc>
          <w:tcPr>
            <w:tcW w:w="2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6"/>
                <w:szCs w:val="16"/>
                <w:color w:val="auto"/>
              </w:rPr>
              <w:t>when we announce the question and answer session has opened.</w:t>
            </w:r>
          </w:p>
        </w:tc>
      </w:tr>
      <w:tr>
        <w:trPr>
          <w:trHeight w:val="70"/>
        </w:trPr>
        <w:tc>
          <w:tcPr>
            <w:tcW w:w="2420" w:type="dxa"/>
            <w:vAlign w:val="bottom"/>
            <w:tcBorders>
              <w:bottom w:val="single" w:sz="8" w:color="0956FF"/>
            </w:tcBorders>
          </w:tcPr>
          <w:p>
            <w:pPr>
              <w:spacing w:after="0"/>
              <w:rPr>
                <w:sz w:val="6"/>
                <w:szCs w:val="6"/>
                <w:color w:val="auto"/>
              </w:rPr>
            </w:pPr>
          </w:p>
        </w:tc>
        <w:tc>
          <w:tcPr>
            <w:tcW w:w="940" w:type="dxa"/>
            <w:vAlign w:val="bottom"/>
            <w:tcBorders>
              <w:bottom w:val="single" w:sz="8" w:color="0956FF"/>
            </w:tcBorders>
          </w:tcPr>
          <w:p>
            <w:pPr>
              <w:spacing w:after="0"/>
              <w:rPr>
                <w:sz w:val="6"/>
                <w:szCs w:val="6"/>
                <w:color w:val="auto"/>
              </w:rPr>
            </w:pPr>
          </w:p>
        </w:tc>
        <w:tc>
          <w:tcPr>
            <w:tcW w:w="620" w:type="dxa"/>
            <w:vAlign w:val="bottom"/>
            <w:tcBorders>
              <w:bottom w:val="single" w:sz="8" w:color="0956FF"/>
            </w:tcBorders>
          </w:tcPr>
          <w:p>
            <w:pPr>
              <w:spacing w:after="0"/>
              <w:rPr>
                <w:sz w:val="6"/>
                <w:szCs w:val="6"/>
                <w:color w:val="auto"/>
              </w:rPr>
            </w:pPr>
          </w:p>
        </w:tc>
        <w:tc>
          <w:tcPr>
            <w:tcW w:w="2680" w:type="dxa"/>
            <w:vAlign w:val="bottom"/>
            <w:tcBorders>
              <w:bottom w:val="single" w:sz="8" w:color="0956FF"/>
            </w:tcBorders>
          </w:tcPr>
          <w:p>
            <w:pPr>
              <w:spacing w:after="0"/>
              <w:rPr>
                <w:sz w:val="6"/>
                <w:szCs w:val="6"/>
                <w:color w:val="auto"/>
              </w:rPr>
            </w:pPr>
          </w:p>
        </w:tc>
        <w:tc>
          <w:tcPr>
            <w:tcW w:w="2260" w:type="dxa"/>
            <w:vAlign w:val="bottom"/>
            <w:tcBorders>
              <w:bottom w:val="single" w:sz="8" w:color="0956FF"/>
            </w:tcBorders>
          </w:tcPr>
          <w:p>
            <w:pPr>
              <w:spacing w:after="0"/>
              <w:rPr>
                <w:sz w:val="6"/>
                <w:szCs w:val="6"/>
                <w:color w:val="auto"/>
              </w:rPr>
            </w:pPr>
          </w:p>
        </w:tc>
        <w:tc>
          <w:tcPr>
            <w:tcW w:w="160" w:type="dxa"/>
            <w:vAlign w:val="bottom"/>
            <w:tcBorders>
              <w:bottom w:val="single" w:sz="8" w:color="0956FF"/>
            </w:tcBorders>
          </w:tcPr>
          <w:p>
            <w:pPr>
              <w:spacing w:after="0"/>
              <w:rPr>
                <w:sz w:val="6"/>
                <w:szCs w:val="6"/>
                <w:color w:val="auto"/>
              </w:rPr>
            </w:pPr>
          </w:p>
        </w:tc>
      </w:tr>
    </w:tbl>
    <w:p>
      <w:pPr>
        <w:spacing w:after="0" w:line="188"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Only shareholders with a valid control number will be allowed to ask questions. Questions pertinent to meeting matters will be answered during the meeting, subject to time constraints.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Vote at the Annual Meeting?</w:t>
      </w:r>
    </w:p>
    <w:p>
      <w:pPr>
        <w:spacing w:after="0" w:line="11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Shareholders of record and beneficial owners who join the Annual Meeting online will be able to vote their shares electronically during the meeting. However, even if you plan to participate in the Annual Meeting online, we recommend that you also vote by proxy so that your votes will be counted if you later decide not to participate in the Annual Meeting.</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Quorum?</w:t>
      </w:r>
    </w:p>
    <w:p>
      <w:pPr>
        <w:spacing w:after="0" w:line="99"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The presence of the holders of a majority of the outstanding shares of our common stock entitled to vote at the meeting, in person or by proxy, will constitute a quorum for transacting business at the Annual Meeting. Abstentions and broker non-votes are counted as present for purposes of establishing a quorum at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Are the Proxies for the Annual Meeting?</w:t>
      </w:r>
    </w:p>
    <w:p>
      <w:pPr>
        <w:spacing w:after="0" w:line="99"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The Board appointed the following officers to act as Proxies: Mary T. Barra, Grant Dixton, and John S. Kim. If you sign and return your proxy card or voting instruction form with voting instructions, one or more of the Proxies will vote your shares as you direct on the matters described in this Proxy Statement. If you sign and return your proxy card or voting instruction form without voting instructions, one or more of the Proxies will vote your shares as recommended by the Board.</w:t>
      </w:r>
    </w:p>
    <w:p>
      <w:pPr>
        <w:sectPr>
          <w:pgSz w:w="11900" w:h="16838" w:orient="portrait"/>
          <w:cols w:equalWidth="0" w:num="1">
            <w:col w:w="9080"/>
          </w:cols>
          <w:pgMar w:left="1400" w:top="65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100</w:t>
      </w:r>
    </w:p>
    <w:p>
      <w:pPr>
        <w:sectPr>
          <w:pgSz w:w="11900" w:h="16838" w:orient="portrait"/>
          <w:cols w:equalWidth="0" w:num="1">
            <w:col w:w="9080"/>
          </w:cols>
          <w:pgMar w:left="1400" w:top="657" w:right="141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General Information About the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Can Vote at the Annual Meeting?</w:t>
      </w:r>
    </w:p>
    <w:p>
      <w:pPr>
        <w:spacing w:after="0" w:line="99"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If you are a holder of the Company’s common stock as of the close of business on April 6, 2026, or you hold a valid proxy, you are entitled to vote at the Annual Meeting. On that date, the Company had 901,656,578 shares of common stock outstanding and entitled to vote. Each share of our common stock entitles the holder to one vote.</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Vote Without Attending the Annual Meeting?</w:t>
      </w:r>
    </w:p>
    <w:p>
      <w:pPr>
        <w:spacing w:after="0" w:line="99"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To vote your shares without attending the Annual Meeting, please follow the instructions for voting provided on the Notice, on your proxy card, or on the voting instructions form. When you timely submit your proxy or voting instructions in the proper form, your shares will be voted according to your instructions. If you sign, date, and return the proxy card or voting instructions form without specifying how you wish to cast your vote, your shares will be voted by the Proxies according to the recommendations of the Board, as indicated above. Internet and telephone voting are available 24 hours a day through 11:59 p.m. Eastern Time on Monday, June 1, 2026.</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 I Revoke My Proxy?</w:t>
      </w:r>
    </w:p>
    <w:p>
      <w:pPr>
        <w:spacing w:after="0" w:line="112"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After you have submitted your proxy or voting instructions by internet, telephone, or mail, you may revoke it at any time until it is voted at the Annual Meeting. Your attendance at the Annual Meeting will not cause your previously granted proxy to be revoked unless you specifically make that request or vote your shares electronically during the meeting.</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 revoke your proxy, follow the instructions below.</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0956FF"/>
        </w:rPr>
        <w:t>Shareholders of Record</w:t>
      </w:r>
    </w:p>
    <w:p>
      <w:pPr>
        <w:spacing w:after="0" w:line="81" w:lineRule="exact"/>
        <w:rPr>
          <w:sz w:val="20"/>
          <w:szCs w:val="20"/>
          <w:color w:val="auto"/>
        </w:rPr>
      </w:pPr>
    </w:p>
    <w:p>
      <w:pPr>
        <w:ind w:left="460" w:right="353" w:hanging="197"/>
        <w:spacing w:after="0" w:line="316" w:lineRule="auto"/>
        <w:tabs>
          <w:tab w:leader="none" w:pos="460" w:val="left"/>
        </w:tabs>
        <w:numPr>
          <w:ilvl w:val="0"/>
          <w:numId w:val="121"/>
        </w:numPr>
        <w:rPr>
          <w:rFonts w:ascii="Arial" w:cs="Arial" w:eastAsia="Arial" w:hAnsi="Arial"/>
          <w:sz w:val="16"/>
          <w:szCs w:val="16"/>
          <w:color w:val="0956FF"/>
        </w:rPr>
      </w:pPr>
      <w:r>
        <w:rPr>
          <w:rFonts w:ascii="Arial" w:cs="Arial" w:eastAsia="Arial" w:hAnsi="Arial"/>
          <w:sz w:val="16"/>
          <w:szCs w:val="16"/>
          <w:color w:val="auto"/>
        </w:rPr>
        <w:t>Grant a new proxy bearing a later date (which automatically revokes the earlier proxy);</w:t>
      </w:r>
    </w:p>
    <w:p>
      <w:pPr>
        <w:spacing w:after="0" w:line="1" w:lineRule="exact"/>
        <w:rPr>
          <w:rFonts w:ascii="Arial" w:cs="Arial" w:eastAsia="Arial" w:hAnsi="Arial"/>
          <w:sz w:val="16"/>
          <w:szCs w:val="16"/>
          <w:color w:val="0956FF"/>
        </w:rPr>
      </w:pPr>
    </w:p>
    <w:p>
      <w:pPr>
        <w:ind w:left="460" w:right="93" w:hanging="197"/>
        <w:spacing w:after="0" w:line="294" w:lineRule="auto"/>
        <w:tabs>
          <w:tab w:leader="none" w:pos="460" w:val="left"/>
        </w:tabs>
        <w:numPr>
          <w:ilvl w:val="0"/>
          <w:numId w:val="121"/>
        </w:numPr>
        <w:rPr>
          <w:rFonts w:ascii="Arial" w:cs="Arial" w:eastAsia="Arial" w:hAnsi="Arial"/>
          <w:sz w:val="16"/>
          <w:szCs w:val="16"/>
          <w:color w:val="0956FF"/>
        </w:rPr>
      </w:pPr>
      <w:r>
        <w:rPr>
          <w:rFonts w:ascii="Arial" w:cs="Arial" w:eastAsia="Arial" w:hAnsi="Arial"/>
          <w:sz w:val="16"/>
          <w:szCs w:val="16"/>
          <w:color w:val="auto"/>
        </w:rPr>
        <w:t>Send a written notice of revocation to the General Motors Company Corporate Secretary at Mail Code 482-22381-1101, 1240 Woodward Avenue, Detroit, Michigan 48265;</w:t>
      </w:r>
    </w:p>
    <w:p>
      <w:pPr>
        <w:spacing w:after="0" w:line="2" w:lineRule="exact"/>
        <w:rPr>
          <w:rFonts w:ascii="Arial" w:cs="Arial" w:eastAsia="Arial" w:hAnsi="Arial"/>
          <w:sz w:val="16"/>
          <w:szCs w:val="16"/>
          <w:color w:val="0956FF"/>
        </w:rPr>
      </w:pPr>
    </w:p>
    <w:p>
      <w:pPr>
        <w:ind w:left="460" w:right="193" w:hanging="197"/>
        <w:spacing w:after="0" w:line="316" w:lineRule="auto"/>
        <w:tabs>
          <w:tab w:leader="none" w:pos="460" w:val="left"/>
        </w:tabs>
        <w:numPr>
          <w:ilvl w:val="0"/>
          <w:numId w:val="121"/>
        </w:numPr>
        <w:rPr>
          <w:rFonts w:ascii="Arial" w:cs="Arial" w:eastAsia="Arial" w:hAnsi="Arial"/>
          <w:sz w:val="16"/>
          <w:szCs w:val="16"/>
          <w:color w:val="0956FF"/>
        </w:rPr>
      </w:pPr>
      <w:r>
        <w:rPr>
          <w:rFonts w:ascii="Arial" w:cs="Arial" w:eastAsia="Arial" w:hAnsi="Arial"/>
          <w:sz w:val="16"/>
          <w:szCs w:val="16"/>
          <w:color w:val="auto"/>
        </w:rPr>
        <w:t xml:space="preserve">Email the General Motors Company Corporate Secretary at </w:t>
      </w:r>
      <w:r>
        <w:rPr>
          <w:rFonts w:ascii="Arial" w:cs="Arial" w:eastAsia="Arial" w:hAnsi="Arial"/>
          <w:sz w:val="16"/>
          <w:szCs w:val="16"/>
          <w:u w:val="single" w:color="auto"/>
          <w:color w:val="0956FF"/>
        </w:rPr>
        <w:t>shareholder.relations@gm.com</w:t>
      </w:r>
      <w:r>
        <w:rPr>
          <w:rFonts w:ascii="Arial" w:cs="Arial" w:eastAsia="Arial" w:hAnsi="Arial"/>
          <w:sz w:val="16"/>
          <w:szCs w:val="16"/>
          <w:color w:val="auto"/>
        </w:rPr>
        <w:t xml:space="preserve"> ; or</w:t>
      </w:r>
    </w:p>
    <w:p>
      <w:pPr>
        <w:spacing w:after="0" w:line="1" w:lineRule="exact"/>
        <w:rPr>
          <w:rFonts w:ascii="Arial" w:cs="Arial" w:eastAsia="Arial" w:hAnsi="Arial"/>
          <w:sz w:val="16"/>
          <w:szCs w:val="16"/>
          <w:color w:val="0956FF"/>
        </w:rPr>
      </w:pPr>
    </w:p>
    <w:p>
      <w:pPr>
        <w:ind w:left="460" w:right="233" w:hanging="197"/>
        <w:spacing w:after="0" w:line="321" w:lineRule="auto"/>
        <w:tabs>
          <w:tab w:leader="none" w:pos="460" w:val="left"/>
        </w:tabs>
        <w:numPr>
          <w:ilvl w:val="0"/>
          <w:numId w:val="121"/>
        </w:numPr>
        <w:rPr>
          <w:rFonts w:ascii="Arial" w:cs="Arial" w:eastAsia="Arial" w:hAnsi="Arial"/>
          <w:sz w:val="16"/>
          <w:szCs w:val="16"/>
          <w:color w:val="0956FF"/>
        </w:rPr>
      </w:pPr>
      <w:r>
        <w:rPr>
          <w:rFonts w:ascii="Arial" w:cs="Arial" w:eastAsia="Arial" w:hAnsi="Arial"/>
          <w:sz w:val="16"/>
          <w:szCs w:val="16"/>
          <w:color w:val="auto"/>
        </w:rPr>
        <w:t>Participate in the Annual Meeting and vote your shares electronically during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1007"/>
        <w:spacing w:after="0"/>
        <w:rPr>
          <w:sz w:val="20"/>
          <w:szCs w:val="20"/>
          <w:color w:val="auto"/>
        </w:rPr>
      </w:pPr>
      <w:r>
        <w:rPr>
          <w:rFonts w:ascii="Arial" w:cs="Arial" w:eastAsia="Arial" w:hAnsi="Arial"/>
          <w:sz w:val="18"/>
          <w:szCs w:val="18"/>
          <w:b w:val="1"/>
          <w:bCs w:val="1"/>
          <w:color w:val="0956FF"/>
        </w:rPr>
        <w:t>Beneficial Shareholders</w:t>
      </w:r>
    </w:p>
    <w:p>
      <w:pPr>
        <w:spacing w:after="0" w:line="81" w:lineRule="exact"/>
        <w:rPr>
          <w:sz w:val="20"/>
          <w:szCs w:val="20"/>
          <w:color w:val="auto"/>
        </w:rPr>
      </w:pPr>
    </w:p>
    <w:p>
      <w:pPr>
        <w:ind w:left="187" w:right="980" w:hanging="187"/>
        <w:spacing w:after="0" w:line="301" w:lineRule="auto"/>
        <w:tabs>
          <w:tab w:leader="none" w:pos="187" w:val="left"/>
        </w:tabs>
        <w:numPr>
          <w:ilvl w:val="0"/>
          <w:numId w:val="122"/>
        </w:numPr>
        <w:rPr>
          <w:rFonts w:ascii="Arial" w:cs="Arial" w:eastAsia="Arial" w:hAnsi="Arial"/>
          <w:sz w:val="16"/>
          <w:szCs w:val="16"/>
          <w:color w:val="0956FF"/>
        </w:rPr>
      </w:pPr>
      <w:r>
        <w:rPr>
          <w:rFonts w:ascii="Arial" w:cs="Arial" w:eastAsia="Arial" w:hAnsi="Arial"/>
          <w:sz w:val="16"/>
          <w:szCs w:val="16"/>
          <w:color w:val="auto"/>
        </w:rPr>
        <w:t>Notify your broker, bank, or nominee in accordance with that entity’s procedures for revoking your voting instructions; or</w:t>
      </w:r>
    </w:p>
    <w:p>
      <w:pPr>
        <w:spacing w:after="0" w:line="9" w:lineRule="exact"/>
        <w:rPr>
          <w:rFonts w:ascii="Arial" w:cs="Arial" w:eastAsia="Arial" w:hAnsi="Arial"/>
          <w:sz w:val="16"/>
          <w:szCs w:val="16"/>
          <w:color w:val="0956FF"/>
        </w:rPr>
      </w:pPr>
    </w:p>
    <w:p>
      <w:pPr>
        <w:ind w:left="187" w:right="680" w:hanging="187"/>
        <w:spacing w:after="0" w:line="321" w:lineRule="auto"/>
        <w:tabs>
          <w:tab w:leader="none" w:pos="187" w:val="left"/>
        </w:tabs>
        <w:numPr>
          <w:ilvl w:val="0"/>
          <w:numId w:val="122"/>
        </w:numPr>
        <w:rPr>
          <w:rFonts w:ascii="Arial" w:cs="Arial" w:eastAsia="Arial" w:hAnsi="Arial"/>
          <w:sz w:val="16"/>
          <w:szCs w:val="16"/>
          <w:color w:val="0956FF"/>
        </w:rPr>
      </w:pPr>
      <w:r>
        <w:rPr>
          <w:rFonts w:ascii="Arial" w:cs="Arial" w:eastAsia="Arial" w:hAnsi="Arial"/>
          <w:sz w:val="16"/>
          <w:szCs w:val="16"/>
          <w:color w:val="auto"/>
        </w:rPr>
        <w:t>Participate in the Annual Meeting and vote your shares electronically during the meeting.</w:t>
      </w:r>
    </w:p>
    <w:p>
      <w:pPr>
        <w:spacing w:after="0" w:line="1374" w:lineRule="exact"/>
        <w:rPr>
          <w:sz w:val="20"/>
          <w:szCs w:val="20"/>
          <w:color w:val="auto"/>
        </w:rPr>
      </w:pPr>
    </w:p>
    <w:p>
      <w:pPr>
        <w:sectPr>
          <w:pgSz w:w="11900" w:h="16838" w:orient="portrait"/>
          <w:cols w:equalWidth="0" w:num="2">
            <w:col w:w="4093" w:space="720"/>
            <w:col w:w="4287"/>
          </w:cols>
          <w:pgMar w:left="1400" w:top="657" w:right="1399"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Do I View Annual Meeting Voting Results After the Meeting?</w:t>
      </w:r>
    </w:p>
    <w:p>
      <w:pPr>
        <w:spacing w:after="0" w:line="11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Our independent inspector of elections, Broadridge Financial Services, Inc., will tabulate the vote at the Annual Meeting. We will provide voting results on our website and in a Current Report on Form 8-K filed with the SEC.</w:t>
      </w:r>
    </w:p>
    <w:p>
      <w:pPr>
        <w:sectPr>
          <w:pgSz w:w="11900" w:h="16838" w:orient="portrait"/>
          <w:cols w:equalWidth="0" w:num="1">
            <w:col w:w="9100"/>
          </w:cols>
          <w:pgMar w:left="140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020"/>
        <w:spacing w:after="0"/>
        <w:tabs>
          <w:tab w:leader="none" w:pos="880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101</w:t>
      </w:r>
    </w:p>
    <w:p>
      <w:pPr>
        <w:sectPr>
          <w:pgSz w:w="11900" w:h="16838" w:orient="portrait"/>
          <w:cols w:equalWidth="0" w:num="1">
            <w:col w:w="9100"/>
          </w:cols>
          <w:pgMar w:left="1400" w:top="657" w:right="139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General Information About the Annual Meeting</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a “Shareholder of Record” and “Beneficial Shareholder”?</w:t>
      </w:r>
    </w:p>
    <w:p>
      <w:pPr>
        <w:spacing w:after="0" w:line="9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If your shares are owned directly in your name in an account with GM’s stock transfer agent, Computershare Trust Company, N.A., you are considered the “shareholder of record” of those shares in your account. If your shares are held in an account with a broker, bank, or other nominee as a custodian on your behalf, you are considered a “beneficial shareholder” of those shares, which are held in street name. The broker, bank, or other nominee is considered the shareholder of record for those shares. As the beneficial owner, you have the right to instruct the broker, bank, or other nominee on how to vote the shares in your account. In order for your shares to be voted in the way you would like, you must provide voting instructions to your broker, bank, or other nominee by the deadline provided in the proxy materials you receive from your broker, bank, or other nominee. If you do not provide voting instructions to your broker, bank, or other nominee, whether your shares can be voted on your behalf depends on the type of item being considered for vote. Under NYSE rules, brokers are permitted to exercise discretionary voting authority only on “routine” matters. Therefore, your broker may vote on Item No. 2 (“Proposal to Ratify the Selection of Ernst &amp; Young LLP as the Company’s Independent Registered Public Accounting Firm for 2026”) even if you do not provide voting instructions because it is considered a routine matter. </w:t>
      </w:r>
      <w:r>
        <w:rPr>
          <w:rFonts w:ascii="Arial" w:cs="Arial" w:eastAsia="Arial" w:hAnsi="Arial"/>
          <w:sz w:val="16"/>
          <w:szCs w:val="16"/>
          <w:b w:val="1"/>
          <w:bCs w:val="1"/>
          <w:color w:val="auto"/>
        </w:rPr>
        <w:t>Your broker is not permitted to vote on the</w:t>
      </w:r>
      <w:r>
        <w:rPr>
          <w:rFonts w:ascii="Arial" w:cs="Arial" w:eastAsia="Arial" w:hAnsi="Arial"/>
          <w:sz w:val="16"/>
          <w:szCs w:val="16"/>
          <w:color w:val="auto"/>
        </w:rPr>
        <w:t xml:space="preserve"> </w:t>
      </w:r>
      <w:r>
        <w:rPr>
          <w:rFonts w:ascii="Arial" w:cs="Arial" w:eastAsia="Arial" w:hAnsi="Arial"/>
          <w:sz w:val="16"/>
          <w:szCs w:val="16"/>
          <w:b w:val="1"/>
          <w:bCs w:val="1"/>
          <w:color w:val="auto"/>
        </w:rPr>
        <w:t>other agenda items if you do not provide voting instructions because those items involve matters that are considered non-routine.</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Is Householding?</w:t>
      </w:r>
    </w:p>
    <w:p>
      <w:pPr>
        <w:spacing w:after="0" w:line="11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SEC rules permit companies to send a single Proxy Statement and Annual Report or Notice to two or more shareholders that share the same address, subject to certain conditions. Each shareholder will continue to receive a separate proxy card or voting instruction form, and it will include the unique 16-digit control number that is needed to vote those shares and to access and vote during the Annual Meeting. This “householding” rule will benefit both the shareholders and GM by reducing the volume of duplicate information shareholders receive and reducing GM’s printing and mailing costs.</w:t>
      </w:r>
    </w:p>
    <w:p>
      <w:pPr>
        <w:spacing w:after="0" w:line="115"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If one set of these documents was sent to your household for the use of all GM shareholders in your household and one or more of you would prefer to receive additional sets, or if multiple copies of these documents were sent to your household and you want to receive one set in the future, please contact Broadridge Financial Solutions, Inc., by calling toll-free at (866) 540-7095 or by writing to Broadridge Financial Solutions, Inc., Householding Department, 51 Mercedes Way, Edgewood, New York 11717.</w:t>
      </w:r>
    </w:p>
    <w:p>
      <w:pPr>
        <w:spacing w:after="0" w:line="100" w:lineRule="exact"/>
        <w:rPr>
          <w:sz w:val="20"/>
          <w:szCs w:val="20"/>
          <w:color w:val="auto"/>
        </w:rPr>
      </w:pPr>
    </w:p>
    <w:p>
      <w:pPr>
        <w:jc w:val="both"/>
        <w:ind w:right="440"/>
        <w:spacing w:after="0" w:line="301" w:lineRule="auto"/>
        <w:rPr>
          <w:sz w:val="20"/>
          <w:szCs w:val="20"/>
          <w:color w:val="auto"/>
        </w:rPr>
      </w:pPr>
      <w:r>
        <w:rPr>
          <w:rFonts w:ascii="Arial" w:cs="Arial" w:eastAsia="Arial" w:hAnsi="Arial"/>
          <w:sz w:val="16"/>
          <w:szCs w:val="16"/>
          <w:color w:val="auto"/>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which would require you to state that you do not consent to householding.</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Can I Find the Annual Report and Other Investor Materials?</w:t>
      </w:r>
    </w:p>
    <w:p>
      <w:pPr>
        <w:spacing w:after="0" w:line="9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You may download a copy of our 2025 Annual Report and 2026 Proxy Statement at </w:t>
      </w:r>
      <w:r>
        <w:rPr>
          <w:rFonts w:ascii="Arial" w:cs="Arial" w:eastAsia="Arial" w:hAnsi="Arial"/>
          <w:sz w:val="16"/>
          <w:szCs w:val="16"/>
          <w:u w:val="single" w:color="auto"/>
          <w:color w:val="0956FF"/>
        </w:rPr>
        <w:t>investor.gm.com/shareholders</w:t>
      </w:r>
      <w:r>
        <w:rPr>
          <w:rFonts w:ascii="Arial" w:cs="Arial" w:eastAsia="Arial" w:hAnsi="Arial"/>
          <w:sz w:val="16"/>
          <w:szCs w:val="16"/>
          <w:color w:val="auto"/>
        </w:rPr>
        <w:t xml:space="preserve"> . Our other SEC filings are available at </w:t>
      </w:r>
      <w:r>
        <w:rPr>
          <w:rFonts w:ascii="Arial" w:cs="Arial" w:eastAsia="Arial" w:hAnsi="Arial"/>
          <w:sz w:val="16"/>
          <w:szCs w:val="16"/>
          <w:u w:val="single" w:color="auto"/>
          <w:color w:val="0956FF"/>
        </w:rPr>
        <w:t>investor.gm.com/shareholders/sec-filings</w:t>
      </w:r>
      <w:r>
        <w:rPr>
          <w:rFonts w:ascii="Arial" w:cs="Arial" w:eastAsia="Arial" w:hAnsi="Arial"/>
          <w:sz w:val="16"/>
          <w:szCs w:val="16"/>
          <w:color w:val="auto"/>
        </w:rPr>
        <w:t xml:space="preserve"> . Alternatively, you may request a printed copy of</w:t>
      </w:r>
    </w:p>
    <w:p>
      <w:pPr>
        <w:spacing w:after="0" w:line="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these publications by (1) visiting </w:t>
      </w:r>
      <w:r>
        <w:rPr>
          <w:rFonts w:ascii="Arial" w:cs="Arial" w:eastAsia="Arial" w:hAnsi="Arial"/>
          <w:sz w:val="16"/>
          <w:szCs w:val="16"/>
          <w:u w:val="single" w:color="auto"/>
          <w:color w:val="0956FF"/>
        </w:rPr>
        <w:t>proxyvote.com</w:t>
      </w:r>
      <w:r>
        <w:rPr>
          <w:rFonts w:ascii="Arial" w:cs="Arial" w:eastAsia="Arial" w:hAnsi="Arial"/>
          <w:sz w:val="16"/>
          <w:szCs w:val="16"/>
          <w:color w:val="auto"/>
        </w:rPr>
        <w:t xml:space="preserve"> , (2) calling (800) 579-1639 or (3) sending an email to </w:t>
      </w:r>
      <w:r>
        <w:rPr>
          <w:rFonts w:ascii="Arial" w:cs="Arial" w:eastAsia="Arial" w:hAnsi="Arial"/>
          <w:sz w:val="16"/>
          <w:szCs w:val="16"/>
          <w:u w:val="single" w:color="auto"/>
          <w:color w:val="0956FF"/>
        </w:rPr>
        <w:t>sendmaterial@proxyvote.com</w:t>
      </w:r>
      <w:r>
        <w:rPr>
          <w:rFonts w:ascii="Arial" w:cs="Arial" w:eastAsia="Arial" w:hAnsi="Arial"/>
          <w:sz w:val="16"/>
          <w:szCs w:val="16"/>
          <w:color w:val="0956FF"/>
        </w:rPr>
        <w:t xml:space="preserve"> </w:t>
      </w:r>
      <w:r>
        <w:rPr>
          <w:rFonts w:ascii="Arial" w:cs="Arial" w:eastAsia="Arial" w:hAnsi="Arial"/>
          <w:sz w:val="16"/>
          <w:szCs w:val="16"/>
          <w:color w:val="000000"/>
        </w:rPr>
        <w:t>. If sending an email, please include your control number from your Notice of Internet</w:t>
      </w:r>
      <w:r>
        <w:rPr>
          <w:rFonts w:ascii="Arial" w:cs="Arial" w:eastAsia="Arial" w:hAnsi="Arial"/>
          <w:sz w:val="16"/>
          <w:szCs w:val="16"/>
          <w:color w:val="0956FF"/>
        </w:rPr>
        <w:t xml:space="preserve"> </w:t>
      </w:r>
      <w:r>
        <w:rPr>
          <w:rFonts w:ascii="Arial" w:cs="Arial" w:eastAsia="Arial" w:hAnsi="Arial"/>
          <w:sz w:val="16"/>
          <w:szCs w:val="16"/>
          <w:color w:val="000000"/>
        </w:rPr>
        <w:t xml:space="preserve">Availability of Proxy Materials, in the subject line. Unless requested, you will not otherwise receive a paper or email copy. Our sustainability policies, compliance documents, and political contributions and lobbying disclosures can be found at </w:t>
      </w:r>
      <w:r>
        <w:rPr>
          <w:rFonts w:ascii="Arial" w:cs="Arial" w:eastAsia="Arial" w:hAnsi="Arial"/>
          <w:sz w:val="16"/>
          <w:szCs w:val="16"/>
          <w:u w:val="single" w:color="auto"/>
          <w:color w:val="0956FF"/>
        </w:rPr>
        <w:t>investor.gm.com/governanceandsustainability</w:t>
      </w:r>
      <w:r>
        <w:rPr>
          <w:rFonts w:ascii="Arial" w:cs="Arial" w:eastAsia="Arial" w:hAnsi="Arial"/>
          <w:sz w:val="16"/>
          <w:szCs w:val="16"/>
          <w:color w:val="0956FF"/>
        </w:rPr>
        <w:t xml:space="preserve"> </w:t>
      </w:r>
      <w:r>
        <w:rPr>
          <w:rFonts w:ascii="Arial" w:cs="Arial" w:eastAsia="Arial" w:hAnsi="Arial"/>
          <w:sz w:val="16"/>
          <w:szCs w:val="16"/>
          <w:color w:val="000000"/>
        </w:rPr>
        <w:t>. The reports and information contained in, or that can be accessed from, our</w:t>
      </w:r>
      <w:r>
        <w:rPr>
          <w:rFonts w:ascii="Arial" w:cs="Arial" w:eastAsia="Arial" w:hAnsi="Arial"/>
          <w:sz w:val="16"/>
          <w:szCs w:val="16"/>
          <w:color w:val="0956FF"/>
        </w:rPr>
        <w:t xml:space="preserve"> </w:t>
      </w:r>
      <w:r>
        <w:rPr>
          <w:rFonts w:ascii="Arial" w:cs="Arial" w:eastAsia="Arial" w:hAnsi="Arial"/>
          <w:sz w:val="16"/>
          <w:szCs w:val="16"/>
          <w:color w:val="000000"/>
        </w:rPr>
        <w:t>websites are not incorporated by reference into, and are not part of, this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Who Is Soliciting My Proxy and Who Bears the Cost of the Solicitation?</w:t>
      </w:r>
    </w:p>
    <w:p>
      <w:pPr>
        <w:spacing w:after="0" w:line="99"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We will pay our cost for soliciting proxies for the Annual Meeting. The Company will distribute proxy materials and follow-up reminders, if any, by mail and electronic means. We have engaged Innisfree M&amp;A Incorporated, a professional proxy solicitation firm located at 501 Madison Avenue, 20th Floor, New York, New York 10022, to assist with the solicitation of proxies and to provide related advice and informational support for a service fee, plus customary disbursements. We expect to pay Innisfree a base fee of $30,000, plus expenses for these services. GM directors, officers, and employees may also solicit proxies by mail, telephone, or personal visits. They will not receive any additional compensation for their services.</w:t>
      </w:r>
    </w:p>
    <w:p>
      <w:pPr>
        <w:sectPr>
          <w:pgSz w:w="11900" w:h="16838" w:orient="portrait"/>
          <w:cols w:equalWidth="0" w:num="1">
            <w:col w:w="9060"/>
          </w:cols>
          <w:pgMar w:left="1400" w:top="65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102</w:t>
      </w:r>
    </w:p>
    <w:p>
      <w:pPr>
        <w:sectPr>
          <w:pgSz w:w="11900" w:h="16838" w:orient="portrait"/>
          <w:cols w:equalWidth="0" w:num="1">
            <w:col w:w="9060"/>
          </w:cols>
          <w:pgMar w:left="1400" w:top="657" w:right="14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General Information About the Annual Meeting</w:t>
      </w:r>
    </w:p>
    <w:p>
      <w:pPr>
        <w:spacing w:after="0" w:line="200" w:lineRule="exact"/>
        <w:rPr>
          <w:sz w:val="20"/>
          <w:szCs w:val="20"/>
          <w:color w:val="auto"/>
        </w:rPr>
      </w:pPr>
    </w:p>
    <w:p>
      <w:pPr>
        <w:spacing w:after="0" w:line="377" w:lineRule="exact"/>
        <w:rPr>
          <w:sz w:val="20"/>
          <w:szCs w:val="20"/>
          <w:color w:val="auto"/>
        </w:rPr>
      </w:pPr>
    </w:p>
    <w:p>
      <w:pPr>
        <w:ind w:right="560"/>
        <w:spacing w:after="0" w:line="295" w:lineRule="auto"/>
        <w:rPr>
          <w:sz w:val="20"/>
          <w:szCs w:val="20"/>
          <w:color w:val="auto"/>
        </w:rPr>
      </w:pPr>
      <w:r>
        <w:rPr>
          <w:rFonts w:ascii="Arial" w:cs="Arial" w:eastAsia="Arial" w:hAnsi="Arial"/>
          <w:sz w:val="16"/>
          <w:szCs w:val="16"/>
          <w:color w:val="auto"/>
        </w:rPr>
        <w:t>GM will provide copies of these proxy materials to banks, brokerage houses, fiduciaries, and custodians holding in their names shares of our common stock beneficially owned by others so that they may forward these proxy materials to the beneficial owners. As usual, we will reimburse brokers, banks, and other nominees for their reasonable expenses in forwarding proxy materials to beneficial owners.</w:t>
      </w:r>
    </w:p>
    <w:p>
      <w:pPr>
        <w:spacing w:after="0" w:line="94" w:lineRule="exact"/>
        <w:rPr>
          <w:sz w:val="20"/>
          <w:szCs w:val="20"/>
          <w:color w:val="auto"/>
        </w:rPr>
      </w:pPr>
    </w:p>
    <w:p>
      <w:pPr>
        <w:ind w:right="860"/>
        <w:spacing w:after="0" w:line="285" w:lineRule="auto"/>
        <w:rPr>
          <w:sz w:val="20"/>
          <w:szCs w:val="20"/>
          <w:color w:val="auto"/>
        </w:rPr>
      </w:pPr>
      <w:r>
        <w:rPr>
          <w:rFonts w:ascii="Arial" w:cs="Arial" w:eastAsia="Arial" w:hAnsi="Arial"/>
          <w:sz w:val="22"/>
          <w:szCs w:val="22"/>
          <w:b w:val="1"/>
          <w:bCs w:val="1"/>
          <w:color w:val="auto"/>
        </w:rPr>
        <w:t>How Can I Submit Shareholder Proposals and Director Nominations for the 2027 Annual Meeting?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ind w:left="60"/>
              <w:spacing w:after="0"/>
              <w:rPr>
                <w:sz w:val="20"/>
                <w:szCs w:val="20"/>
                <w:color w:val="auto"/>
              </w:rPr>
            </w:pPr>
            <w:r>
              <w:rPr>
                <w:rFonts w:ascii="Arial" w:cs="Arial" w:eastAsia="Arial" w:hAnsi="Arial"/>
                <w:sz w:val="16"/>
                <w:szCs w:val="16"/>
                <w:b w:val="1"/>
                <w:bCs w:val="1"/>
                <w:color w:val="0956FF"/>
              </w:rPr>
              <w:t>Type of Proposal</w:t>
            </w:r>
          </w:p>
        </w:tc>
        <w:tc>
          <w:tcPr>
            <w:tcW w:w="2460" w:type="dxa"/>
            <w:vAlign w:val="bottom"/>
          </w:tcPr>
          <w:p>
            <w:pPr>
              <w:ind w:left="240"/>
              <w:spacing w:after="0"/>
              <w:rPr>
                <w:sz w:val="20"/>
                <w:szCs w:val="20"/>
                <w:color w:val="auto"/>
              </w:rPr>
            </w:pPr>
            <w:r>
              <w:rPr>
                <w:rFonts w:ascii="Arial" w:cs="Arial" w:eastAsia="Arial" w:hAnsi="Arial"/>
                <w:sz w:val="16"/>
                <w:szCs w:val="16"/>
                <w:color w:val="auto"/>
              </w:rPr>
              <w:t>Rule 14a-8 Proposals by</w:t>
            </w:r>
          </w:p>
        </w:tc>
        <w:tc>
          <w:tcPr>
            <w:tcW w:w="2480" w:type="dxa"/>
            <w:vAlign w:val="bottom"/>
          </w:tcPr>
          <w:p>
            <w:pPr>
              <w:ind w:left="160"/>
              <w:spacing w:after="0"/>
              <w:rPr>
                <w:sz w:val="20"/>
                <w:szCs w:val="20"/>
                <w:color w:val="auto"/>
              </w:rPr>
            </w:pPr>
            <w:r>
              <w:rPr>
                <w:rFonts w:ascii="Arial" w:cs="Arial" w:eastAsia="Arial" w:hAnsi="Arial"/>
                <w:sz w:val="16"/>
                <w:szCs w:val="16"/>
                <w:color w:val="auto"/>
              </w:rPr>
              <w:t>Director Nominees for</w:t>
            </w:r>
          </w:p>
        </w:tc>
        <w:tc>
          <w:tcPr>
            <w:tcW w:w="2500" w:type="dxa"/>
            <w:vAlign w:val="bottom"/>
          </w:tcPr>
          <w:p>
            <w:pPr>
              <w:ind w:left="160"/>
              <w:spacing w:after="0"/>
              <w:rPr>
                <w:sz w:val="20"/>
                <w:szCs w:val="20"/>
                <w:color w:val="auto"/>
              </w:rPr>
            </w:pPr>
            <w:r>
              <w:rPr>
                <w:rFonts w:ascii="Arial" w:cs="Arial" w:eastAsia="Arial" w:hAnsi="Arial"/>
                <w:sz w:val="16"/>
                <w:szCs w:val="16"/>
                <w:color w:val="auto"/>
              </w:rPr>
              <w:t>Other Proposals or Nominees</w:t>
            </w:r>
          </w:p>
        </w:tc>
      </w:tr>
      <w:tr>
        <w:trPr>
          <w:trHeight w:val="215"/>
        </w:trPr>
        <w:tc>
          <w:tcPr>
            <w:tcW w:w="16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auto"/>
              </w:rPr>
              <w:t>Shareholders for Inclusion in</w:t>
            </w:r>
          </w:p>
        </w:tc>
        <w:tc>
          <w:tcPr>
            <w:tcW w:w="2480" w:type="dxa"/>
            <w:vAlign w:val="bottom"/>
          </w:tcPr>
          <w:p>
            <w:pPr>
              <w:ind w:left="160"/>
              <w:spacing w:after="0"/>
              <w:rPr>
                <w:sz w:val="20"/>
                <w:szCs w:val="20"/>
                <w:color w:val="auto"/>
              </w:rPr>
            </w:pPr>
            <w:r>
              <w:rPr>
                <w:rFonts w:ascii="Arial" w:cs="Arial" w:eastAsia="Arial" w:hAnsi="Arial"/>
                <w:sz w:val="16"/>
                <w:szCs w:val="16"/>
                <w:color w:val="auto"/>
              </w:rPr>
              <w:t>Inclusion in Next Year’s Proxy</w:t>
            </w:r>
          </w:p>
        </w:tc>
        <w:tc>
          <w:tcPr>
            <w:tcW w:w="2500" w:type="dxa"/>
            <w:vAlign w:val="bottom"/>
          </w:tcPr>
          <w:p>
            <w:pPr>
              <w:ind w:left="160"/>
              <w:spacing w:after="0"/>
              <w:rPr>
                <w:sz w:val="20"/>
                <w:szCs w:val="20"/>
                <w:color w:val="auto"/>
              </w:rPr>
            </w:pPr>
            <w:r>
              <w:rPr>
                <w:rFonts w:ascii="Arial" w:cs="Arial" w:eastAsia="Arial" w:hAnsi="Arial"/>
                <w:sz w:val="16"/>
                <w:szCs w:val="16"/>
                <w:color w:val="auto"/>
              </w:rPr>
              <w:t>for Presentation at Next Year’s</w:t>
            </w:r>
          </w:p>
        </w:tc>
      </w:tr>
      <w:tr>
        <w:trPr>
          <w:trHeight w:val="216"/>
        </w:trPr>
        <w:tc>
          <w:tcPr>
            <w:tcW w:w="16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auto"/>
              </w:rPr>
              <w:t>Next Year’s Proxy Statement</w:t>
            </w:r>
          </w:p>
        </w:tc>
        <w:tc>
          <w:tcPr>
            <w:tcW w:w="2480" w:type="dxa"/>
            <w:vAlign w:val="bottom"/>
          </w:tcPr>
          <w:p>
            <w:pPr>
              <w:ind w:left="160"/>
              <w:spacing w:after="0"/>
              <w:rPr>
                <w:sz w:val="20"/>
                <w:szCs w:val="20"/>
                <w:color w:val="auto"/>
              </w:rPr>
            </w:pPr>
            <w:r>
              <w:rPr>
                <w:rFonts w:ascii="Arial" w:cs="Arial" w:eastAsia="Arial" w:hAnsi="Arial"/>
                <w:sz w:val="16"/>
                <w:szCs w:val="16"/>
                <w:color w:val="auto"/>
              </w:rPr>
              <w:t>Statement (Proxy Access)</w:t>
            </w:r>
          </w:p>
        </w:tc>
        <w:tc>
          <w:tcPr>
            <w:tcW w:w="2500" w:type="dxa"/>
            <w:vAlign w:val="bottom"/>
          </w:tcPr>
          <w:p>
            <w:pPr>
              <w:ind w:left="160"/>
              <w:spacing w:after="0"/>
              <w:rPr>
                <w:sz w:val="20"/>
                <w:szCs w:val="20"/>
                <w:color w:val="auto"/>
              </w:rPr>
            </w:pPr>
            <w:r>
              <w:rPr>
                <w:rFonts w:ascii="Arial" w:cs="Arial" w:eastAsia="Arial" w:hAnsi="Arial"/>
                <w:sz w:val="16"/>
                <w:szCs w:val="16"/>
                <w:color w:val="auto"/>
              </w:rPr>
              <w:t>Annual Meeting (including</w:t>
            </w: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under Rule 14a-19)</w:t>
            </w:r>
          </w:p>
        </w:tc>
      </w:tr>
      <w:tr>
        <w:trPr>
          <w:trHeight w:val="56"/>
        </w:trPr>
        <w:tc>
          <w:tcPr>
            <w:tcW w:w="1640" w:type="dxa"/>
            <w:vAlign w:val="bottom"/>
            <w:tcBorders>
              <w:bottom w:val="single" w:sz="8" w:color="D8D7D7"/>
            </w:tcBorders>
          </w:tcPr>
          <w:p>
            <w:pPr>
              <w:spacing w:after="0"/>
              <w:rPr>
                <w:sz w:val="4"/>
                <w:szCs w:val="4"/>
                <w:color w:val="auto"/>
              </w:rPr>
            </w:pPr>
          </w:p>
        </w:tc>
        <w:tc>
          <w:tcPr>
            <w:tcW w:w="2460" w:type="dxa"/>
            <w:vAlign w:val="bottom"/>
            <w:tcBorders>
              <w:bottom w:val="single" w:sz="8" w:color="D8D7D7"/>
            </w:tcBorders>
          </w:tcPr>
          <w:p>
            <w:pPr>
              <w:spacing w:after="0"/>
              <w:rPr>
                <w:sz w:val="4"/>
                <w:szCs w:val="4"/>
                <w:color w:val="auto"/>
              </w:rPr>
            </w:pPr>
          </w:p>
        </w:tc>
        <w:tc>
          <w:tcPr>
            <w:tcW w:w="2480" w:type="dxa"/>
            <w:vAlign w:val="bottom"/>
            <w:tcBorders>
              <w:bottom w:val="single" w:sz="8" w:color="D8D7D7"/>
            </w:tcBorders>
          </w:tcPr>
          <w:p>
            <w:pPr>
              <w:spacing w:after="0"/>
              <w:rPr>
                <w:sz w:val="4"/>
                <w:szCs w:val="4"/>
                <w:color w:val="auto"/>
              </w:rPr>
            </w:pPr>
          </w:p>
        </w:tc>
        <w:tc>
          <w:tcPr>
            <w:tcW w:w="2500" w:type="dxa"/>
            <w:vAlign w:val="bottom"/>
            <w:tcBorders>
              <w:bottom w:val="single" w:sz="8" w:color="D8D7D7"/>
            </w:tcBorders>
          </w:tcPr>
          <w:p>
            <w:pPr>
              <w:spacing w:after="0"/>
              <w:rPr>
                <w:sz w:val="4"/>
                <w:szCs w:val="4"/>
                <w:color w:val="auto"/>
              </w:rPr>
            </w:pPr>
          </w:p>
        </w:tc>
      </w:tr>
      <w:tr>
        <w:trPr>
          <w:trHeight w:val="290"/>
        </w:trPr>
        <w:tc>
          <w:tcPr>
            <w:tcW w:w="1640" w:type="dxa"/>
            <w:vAlign w:val="bottom"/>
          </w:tcPr>
          <w:p>
            <w:pPr>
              <w:ind w:left="60"/>
              <w:spacing w:after="0"/>
              <w:rPr>
                <w:sz w:val="20"/>
                <w:szCs w:val="20"/>
                <w:color w:val="auto"/>
              </w:rPr>
            </w:pPr>
            <w:r>
              <w:rPr>
                <w:rFonts w:ascii="Arial" w:cs="Arial" w:eastAsia="Arial" w:hAnsi="Arial"/>
                <w:sz w:val="16"/>
                <w:szCs w:val="16"/>
                <w:b w:val="1"/>
                <w:bCs w:val="1"/>
                <w:color w:val="0956FF"/>
              </w:rPr>
              <w:t>Rules/Provisions</w:t>
            </w:r>
          </w:p>
        </w:tc>
        <w:tc>
          <w:tcPr>
            <w:tcW w:w="2460" w:type="dxa"/>
            <w:vAlign w:val="bottom"/>
          </w:tcPr>
          <w:p>
            <w:pPr>
              <w:ind w:left="240"/>
              <w:spacing w:after="0"/>
              <w:rPr>
                <w:sz w:val="20"/>
                <w:szCs w:val="20"/>
                <w:color w:val="auto"/>
              </w:rPr>
            </w:pPr>
            <w:r>
              <w:rPr>
                <w:rFonts w:ascii="Arial" w:cs="Arial" w:eastAsia="Arial" w:hAnsi="Arial"/>
                <w:sz w:val="16"/>
                <w:szCs w:val="16"/>
                <w:color w:val="auto"/>
              </w:rPr>
              <w:t>SEC rules and our Bylaws</w:t>
            </w:r>
          </w:p>
        </w:tc>
        <w:tc>
          <w:tcPr>
            <w:tcW w:w="2480" w:type="dxa"/>
            <w:vAlign w:val="bottom"/>
          </w:tcPr>
          <w:p>
            <w:pPr>
              <w:ind w:left="160"/>
              <w:spacing w:after="0"/>
              <w:rPr>
                <w:sz w:val="20"/>
                <w:szCs w:val="20"/>
                <w:color w:val="auto"/>
              </w:rPr>
            </w:pPr>
            <w:r>
              <w:rPr>
                <w:rFonts w:ascii="Arial" w:cs="Arial" w:eastAsia="Arial" w:hAnsi="Arial"/>
                <w:sz w:val="16"/>
                <w:szCs w:val="16"/>
                <w:color w:val="auto"/>
              </w:rPr>
              <w:t>Our Bylaws permit a</w:t>
            </w:r>
          </w:p>
        </w:tc>
        <w:tc>
          <w:tcPr>
            <w:tcW w:w="2500" w:type="dxa"/>
            <w:vAlign w:val="bottom"/>
          </w:tcPr>
          <w:p>
            <w:pPr>
              <w:ind w:left="160"/>
              <w:spacing w:after="0"/>
              <w:rPr>
                <w:sz w:val="20"/>
                <w:szCs w:val="20"/>
                <w:color w:val="auto"/>
              </w:rPr>
            </w:pPr>
            <w:r>
              <w:rPr>
                <w:rFonts w:ascii="Arial" w:cs="Arial" w:eastAsia="Arial" w:hAnsi="Arial"/>
                <w:sz w:val="16"/>
                <w:szCs w:val="16"/>
                <w:color w:val="auto"/>
              </w:rPr>
              <w:t>Our Bylaws require that any</w:t>
            </w:r>
          </w:p>
        </w:tc>
      </w:tr>
      <w:tr>
        <w:trPr>
          <w:trHeight w:val="215"/>
        </w:trPr>
        <w:tc>
          <w:tcPr>
            <w:tcW w:w="16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auto"/>
              </w:rPr>
              <w:t>permit shareholders to</w:t>
            </w:r>
          </w:p>
        </w:tc>
        <w:tc>
          <w:tcPr>
            <w:tcW w:w="2480" w:type="dxa"/>
            <w:vAlign w:val="bottom"/>
          </w:tcPr>
          <w:p>
            <w:pPr>
              <w:ind w:left="160"/>
              <w:spacing w:after="0"/>
              <w:rPr>
                <w:sz w:val="20"/>
                <w:szCs w:val="20"/>
                <w:color w:val="auto"/>
              </w:rPr>
            </w:pPr>
            <w:r>
              <w:rPr>
                <w:rFonts w:ascii="Arial" w:cs="Arial" w:eastAsia="Arial" w:hAnsi="Arial"/>
                <w:sz w:val="16"/>
                <w:szCs w:val="16"/>
                <w:color w:val="auto"/>
              </w:rPr>
              <w:t>shareholder or group of</w:t>
            </w:r>
          </w:p>
        </w:tc>
        <w:tc>
          <w:tcPr>
            <w:tcW w:w="2500" w:type="dxa"/>
            <w:vAlign w:val="bottom"/>
          </w:tcPr>
          <w:p>
            <w:pPr>
              <w:ind w:left="160"/>
              <w:spacing w:after="0"/>
              <w:rPr>
                <w:sz w:val="20"/>
                <w:szCs w:val="20"/>
                <w:color w:val="auto"/>
              </w:rPr>
            </w:pPr>
            <w:r>
              <w:rPr>
                <w:rFonts w:ascii="Arial" w:cs="Arial" w:eastAsia="Arial" w:hAnsi="Arial"/>
                <w:sz w:val="16"/>
                <w:szCs w:val="16"/>
                <w:color w:val="auto"/>
              </w:rPr>
              <w:t>shareholder proposal, including</w:t>
            </w:r>
          </w:p>
        </w:tc>
      </w:tr>
      <w:tr>
        <w:trPr>
          <w:trHeight w:val="216"/>
        </w:trPr>
        <w:tc>
          <w:tcPr>
            <w:tcW w:w="16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auto"/>
              </w:rPr>
              <w:t>submit proposals for</w:t>
            </w:r>
          </w:p>
        </w:tc>
        <w:tc>
          <w:tcPr>
            <w:tcW w:w="2480" w:type="dxa"/>
            <w:vAlign w:val="bottom"/>
          </w:tcPr>
          <w:p>
            <w:pPr>
              <w:ind w:left="160"/>
              <w:spacing w:after="0"/>
              <w:rPr>
                <w:sz w:val="20"/>
                <w:szCs w:val="20"/>
                <w:color w:val="auto"/>
              </w:rPr>
            </w:pPr>
            <w:r>
              <w:rPr>
                <w:rFonts w:ascii="Arial" w:cs="Arial" w:eastAsia="Arial" w:hAnsi="Arial"/>
                <w:sz w:val="16"/>
                <w:szCs w:val="16"/>
                <w:color w:val="auto"/>
              </w:rPr>
              <w:t>shareholders (up to 20) who</w:t>
            </w:r>
          </w:p>
        </w:tc>
        <w:tc>
          <w:tcPr>
            <w:tcW w:w="2500" w:type="dxa"/>
            <w:vAlign w:val="bottom"/>
          </w:tcPr>
          <w:p>
            <w:pPr>
              <w:ind w:left="160"/>
              <w:spacing w:after="0"/>
              <w:rPr>
                <w:sz w:val="20"/>
                <w:szCs w:val="20"/>
                <w:color w:val="auto"/>
              </w:rPr>
            </w:pPr>
            <w:r>
              <w:rPr>
                <w:rFonts w:ascii="Arial" w:cs="Arial" w:eastAsia="Arial" w:hAnsi="Arial"/>
                <w:sz w:val="16"/>
                <w:szCs w:val="16"/>
                <w:color w:val="auto"/>
              </w:rPr>
              <w:t>a director nomination, that is</w:t>
            </w:r>
          </w:p>
        </w:tc>
      </w:tr>
      <w:tr>
        <w:trPr>
          <w:trHeight w:val="216"/>
        </w:trPr>
        <w:tc>
          <w:tcPr>
            <w:tcW w:w="16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auto"/>
              </w:rPr>
              <w:t>inclusion in our Proxy</w:t>
            </w:r>
          </w:p>
        </w:tc>
        <w:tc>
          <w:tcPr>
            <w:tcW w:w="2480" w:type="dxa"/>
            <w:vAlign w:val="bottom"/>
          </w:tcPr>
          <w:p>
            <w:pPr>
              <w:ind w:left="160"/>
              <w:spacing w:after="0"/>
              <w:rPr>
                <w:sz w:val="20"/>
                <w:szCs w:val="20"/>
                <w:color w:val="auto"/>
              </w:rPr>
            </w:pPr>
            <w:r>
              <w:rPr>
                <w:rFonts w:ascii="Arial" w:cs="Arial" w:eastAsia="Arial" w:hAnsi="Arial"/>
                <w:sz w:val="16"/>
                <w:szCs w:val="16"/>
                <w:color w:val="auto"/>
              </w:rPr>
              <w:t>have owned a significant</w:t>
            </w:r>
          </w:p>
        </w:tc>
        <w:tc>
          <w:tcPr>
            <w:tcW w:w="2500" w:type="dxa"/>
            <w:vAlign w:val="bottom"/>
          </w:tcPr>
          <w:p>
            <w:pPr>
              <w:ind w:left="160"/>
              <w:spacing w:after="0"/>
              <w:rPr>
                <w:sz w:val="20"/>
                <w:szCs w:val="20"/>
                <w:color w:val="auto"/>
              </w:rPr>
            </w:pPr>
            <w:r>
              <w:rPr>
                <w:rFonts w:ascii="Arial" w:cs="Arial" w:eastAsia="Arial" w:hAnsi="Arial"/>
                <w:sz w:val="16"/>
                <w:szCs w:val="16"/>
                <w:color w:val="auto"/>
              </w:rPr>
              <w:t>not submitted for inclusion in</w:t>
            </w:r>
          </w:p>
        </w:tc>
      </w:tr>
      <w:tr>
        <w:trPr>
          <w:trHeight w:val="216"/>
        </w:trPr>
        <w:tc>
          <w:tcPr>
            <w:tcW w:w="16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auto"/>
              </w:rPr>
              <w:t>Statement if the shareholder</w:t>
            </w:r>
          </w:p>
        </w:tc>
        <w:tc>
          <w:tcPr>
            <w:tcW w:w="2480" w:type="dxa"/>
            <w:vAlign w:val="bottom"/>
          </w:tcPr>
          <w:p>
            <w:pPr>
              <w:ind w:left="160"/>
              <w:spacing w:after="0"/>
              <w:rPr>
                <w:sz w:val="20"/>
                <w:szCs w:val="20"/>
                <w:color w:val="auto"/>
              </w:rPr>
            </w:pPr>
            <w:r>
              <w:rPr>
                <w:rFonts w:ascii="Arial" w:cs="Arial" w:eastAsia="Arial" w:hAnsi="Arial"/>
                <w:sz w:val="16"/>
                <w:szCs w:val="16"/>
                <w:color w:val="auto"/>
              </w:rPr>
              <w:t>amount of common stock</w:t>
            </w:r>
          </w:p>
        </w:tc>
        <w:tc>
          <w:tcPr>
            <w:tcW w:w="2500" w:type="dxa"/>
            <w:vAlign w:val="bottom"/>
          </w:tcPr>
          <w:p>
            <w:pPr>
              <w:ind w:left="160"/>
              <w:spacing w:after="0"/>
              <w:rPr>
                <w:sz w:val="20"/>
                <w:szCs w:val="20"/>
                <w:color w:val="auto"/>
              </w:rPr>
            </w:pPr>
            <w:r>
              <w:rPr>
                <w:rFonts w:ascii="Arial" w:cs="Arial" w:eastAsia="Arial" w:hAnsi="Arial"/>
                <w:sz w:val="16"/>
                <w:szCs w:val="16"/>
                <w:color w:val="auto"/>
              </w:rPr>
              <w:t>next year’s Proxy Statement</w:t>
            </w:r>
          </w:p>
        </w:tc>
      </w:tr>
      <w:tr>
        <w:trPr>
          <w:trHeight w:val="216"/>
        </w:trPr>
        <w:tc>
          <w:tcPr>
            <w:tcW w:w="16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auto"/>
              </w:rPr>
              <w:t>and the proposal meet the</w:t>
            </w:r>
          </w:p>
        </w:tc>
        <w:tc>
          <w:tcPr>
            <w:tcW w:w="2480" w:type="dxa"/>
            <w:vAlign w:val="bottom"/>
          </w:tcPr>
          <w:p>
            <w:pPr>
              <w:ind w:left="160"/>
              <w:spacing w:after="0"/>
              <w:rPr>
                <w:sz w:val="20"/>
                <w:szCs w:val="20"/>
                <w:color w:val="auto"/>
              </w:rPr>
            </w:pPr>
            <w:r>
              <w:rPr>
                <w:rFonts w:ascii="Arial" w:cs="Arial" w:eastAsia="Arial" w:hAnsi="Arial"/>
                <w:sz w:val="16"/>
                <w:szCs w:val="16"/>
                <w:color w:val="auto"/>
              </w:rPr>
              <w:t>(at least 3 percent) for a</w:t>
            </w:r>
          </w:p>
        </w:tc>
        <w:tc>
          <w:tcPr>
            <w:tcW w:w="2500" w:type="dxa"/>
            <w:vAlign w:val="bottom"/>
          </w:tcPr>
          <w:p>
            <w:pPr>
              <w:ind w:left="160"/>
              <w:spacing w:after="0"/>
              <w:rPr>
                <w:sz w:val="20"/>
                <w:szCs w:val="20"/>
                <w:color w:val="auto"/>
              </w:rPr>
            </w:pPr>
            <w:r>
              <w:rPr>
                <w:rFonts w:ascii="Arial" w:cs="Arial" w:eastAsia="Arial" w:hAnsi="Arial"/>
                <w:sz w:val="16"/>
                <w:szCs w:val="16"/>
                <w:color w:val="auto"/>
              </w:rPr>
              <w:t>(either under SEC Rule 14a-8</w:t>
            </w:r>
          </w:p>
        </w:tc>
      </w:tr>
      <w:tr>
        <w:trPr>
          <w:trHeight w:val="216"/>
        </w:trPr>
        <w:tc>
          <w:tcPr>
            <w:tcW w:w="16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auto"/>
              </w:rPr>
              <w:t>requirements specified in</w:t>
            </w:r>
          </w:p>
        </w:tc>
        <w:tc>
          <w:tcPr>
            <w:tcW w:w="2480" w:type="dxa"/>
            <w:vAlign w:val="bottom"/>
          </w:tcPr>
          <w:p>
            <w:pPr>
              <w:ind w:left="160"/>
              <w:spacing w:after="0"/>
              <w:rPr>
                <w:sz w:val="20"/>
                <w:szCs w:val="20"/>
                <w:color w:val="auto"/>
              </w:rPr>
            </w:pPr>
            <w:r>
              <w:rPr>
                <w:rFonts w:ascii="Arial" w:cs="Arial" w:eastAsia="Arial" w:hAnsi="Arial"/>
                <w:sz w:val="16"/>
                <w:szCs w:val="16"/>
                <w:color w:val="auto"/>
              </w:rPr>
              <w:t>significant amount of time</w:t>
            </w:r>
          </w:p>
        </w:tc>
        <w:tc>
          <w:tcPr>
            <w:tcW w:w="2500" w:type="dxa"/>
            <w:vAlign w:val="bottom"/>
          </w:tcPr>
          <w:p>
            <w:pPr>
              <w:ind w:left="160"/>
              <w:spacing w:after="0"/>
              <w:rPr>
                <w:sz w:val="20"/>
                <w:szCs w:val="20"/>
                <w:color w:val="auto"/>
              </w:rPr>
            </w:pPr>
            <w:r>
              <w:rPr>
                <w:rFonts w:ascii="Arial" w:cs="Arial" w:eastAsia="Arial" w:hAnsi="Arial"/>
                <w:sz w:val="16"/>
                <w:szCs w:val="16"/>
                <w:color w:val="auto"/>
              </w:rPr>
              <w:t>or our proxy access bylaw) but</w:t>
            </w:r>
          </w:p>
        </w:tc>
      </w:tr>
      <w:tr>
        <w:trPr>
          <w:trHeight w:val="216"/>
        </w:trPr>
        <w:tc>
          <w:tcPr>
            <w:tcW w:w="1640" w:type="dxa"/>
            <w:vAlign w:val="bottom"/>
          </w:tcPr>
          <w:p>
            <w:pPr>
              <w:spacing w:after="0"/>
              <w:rPr>
                <w:sz w:val="18"/>
                <w:szCs w:val="18"/>
                <w:color w:val="auto"/>
              </w:rPr>
            </w:pPr>
          </w:p>
        </w:tc>
        <w:tc>
          <w:tcPr>
            <w:tcW w:w="2460" w:type="dxa"/>
            <w:vAlign w:val="bottom"/>
          </w:tcPr>
          <w:p>
            <w:pPr>
              <w:ind w:left="240"/>
              <w:spacing w:after="0"/>
              <w:rPr>
                <w:sz w:val="20"/>
                <w:szCs w:val="20"/>
                <w:color w:val="auto"/>
              </w:rPr>
            </w:pPr>
            <w:r>
              <w:rPr>
                <w:rFonts w:ascii="Arial" w:cs="Arial" w:eastAsia="Arial" w:hAnsi="Arial"/>
                <w:sz w:val="16"/>
                <w:szCs w:val="16"/>
                <w:color w:val="auto"/>
              </w:rPr>
              <w:t>SEC Rule 14a-8.</w:t>
            </w:r>
          </w:p>
        </w:tc>
        <w:tc>
          <w:tcPr>
            <w:tcW w:w="2480" w:type="dxa"/>
            <w:vAlign w:val="bottom"/>
          </w:tcPr>
          <w:p>
            <w:pPr>
              <w:ind w:left="160"/>
              <w:spacing w:after="0"/>
              <w:rPr>
                <w:sz w:val="20"/>
                <w:szCs w:val="20"/>
                <w:color w:val="auto"/>
              </w:rPr>
            </w:pPr>
            <w:r>
              <w:rPr>
                <w:rFonts w:ascii="Arial" w:cs="Arial" w:eastAsia="Arial" w:hAnsi="Arial"/>
                <w:sz w:val="16"/>
                <w:szCs w:val="16"/>
                <w:color w:val="auto"/>
              </w:rPr>
              <w:t>(at least three years) to</w:t>
            </w:r>
          </w:p>
        </w:tc>
        <w:tc>
          <w:tcPr>
            <w:tcW w:w="2500" w:type="dxa"/>
            <w:vAlign w:val="bottom"/>
          </w:tcPr>
          <w:p>
            <w:pPr>
              <w:ind w:left="160"/>
              <w:spacing w:after="0"/>
              <w:rPr>
                <w:sz w:val="20"/>
                <w:szCs w:val="20"/>
                <w:color w:val="auto"/>
              </w:rPr>
            </w:pPr>
            <w:r>
              <w:rPr>
                <w:rFonts w:ascii="Arial" w:cs="Arial" w:eastAsia="Arial" w:hAnsi="Arial"/>
                <w:sz w:val="16"/>
                <w:szCs w:val="16"/>
                <w:color w:val="auto"/>
              </w:rPr>
              <w:t>is instead sought to be</w:t>
            </w: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submit director nominees</w:t>
            </w:r>
          </w:p>
        </w:tc>
        <w:tc>
          <w:tcPr>
            <w:tcW w:w="2500" w:type="dxa"/>
            <w:vAlign w:val="bottom"/>
          </w:tcPr>
          <w:p>
            <w:pPr>
              <w:ind w:left="160"/>
              <w:spacing w:after="0"/>
              <w:rPr>
                <w:sz w:val="20"/>
                <w:szCs w:val="20"/>
                <w:color w:val="auto"/>
              </w:rPr>
            </w:pPr>
            <w:r>
              <w:rPr>
                <w:rFonts w:ascii="Arial" w:cs="Arial" w:eastAsia="Arial" w:hAnsi="Arial"/>
                <w:sz w:val="16"/>
                <w:szCs w:val="16"/>
                <w:color w:val="auto"/>
              </w:rPr>
              <w:t>presented directly at next</w:t>
            </w: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(up to 20 percent of the Board</w:t>
            </w:r>
          </w:p>
        </w:tc>
        <w:tc>
          <w:tcPr>
            <w:tcW w:w="2500" w:type="dxa"/>
            <w:vAlign w:val="bottom"/>
          </w:tcPr>
          <w:p>
            <w:pPr>
              <w:ind w:left="160"/>
              <w:spacing w:after="0"/>
              <w:rPr>
                <w:sz w:val="20"/>
                <w:szCs w:val="20"/>
                <w:color w:val="auto"/>
              </w:rPr>
            </w:pPr>
            <w:r>
              <w:rPr>
                <w:rFonts w:ascii="Arial" w:cs="Arial" w:eastAsia="Arial" w:hAnsi="Arial"/>
                <w:sz w:val="16"/>
                <w:szCs w:val="16"/>
                <w:color w:val="auto"/>
              </w:rPr>
              <w:t>year’s annual meeting, must be</w:t>
            </w:r>
          </w:p>
        </w:tc>
      </w:tr>
      <w:tr>
        <w:trPr>
          <w:trHeight w:val="204"/>
        </w:trPr>
        <w:tc>
          <w:tcPr>
            <w:tcW w:w="16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or two directors, whichever is</w:t>
            </w:r>
          </w:p>
        </w:tc>
        <w:tc>
          <w:tcPr>
            <w:tcW w:w="2500" w:type="dxa"/>
            <w:vAlign w:val="bottom"/>
          </w:tcPr>
          <w:p>
            <w:pPr>
              <w:ind w:left="160"/>
              <w:spacing w:after="0"/>
              <w:rPr>
                <w:sz w:val="20"/>
                <w:szCs w:val="20"/>
                <w:color w:val="auto"/>
              </w:rPr>
            </w:pPr>
            <w:r>
              <w:rPr>
                <w:rFonts w:ascii="Arial" w:cs="Arial" w:eastAsia="Arial" w:hAnsi="Arial"/>
                <w:sz w:val="16"/>
                <w:szCs w:val="16"/>
                <w:color w:val="auto"/>
              </w:rPr>
              <w:t>received at our principal</w:t>
            </w:r>
          </w:p>
        </w:tc>
      </w:tr>
      <w:tr>
        <w:trPr>
          <w:trHeight w:val="215"/>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greater) for inclusion in our</w:t>
            </w:r>
          </w:p>
        </w:tc>
        <w:tc>
          <w:tcPr>
            <w:tcW w:w="2500" w:type="dxa"/>
            <w:vAlign w:val="bottom"/>
          </w:tcPr>
          <w:p>
            <w:pPr>
              <w:ind w:left="160"/>
              <w:spacing w:after="0"/>
              <w:rPr>
                <w:sz w:val="20"/>
                <w:szCs w:val="20"/>
                <w:color w:val="auto"/>
              </w:rPr>
            </w:pPr>
            <w:r>
              <w:rPr>
                <w:rFonts w:ascii="Arial" w:cs="Arial" w:eastAsia="Arial" w:hAnsi="Arial"/>
                <w:sz w:val="16"/>
                <w:szCs w:val="16"/>
                <w:color w:val="auto"/>
              </w:rPr>
              <w:t>executive offices no earlier</w:t>
            </w: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Proxy Statement if the</w:t>
            </w:r>
          </w:p>
        </w:tc>
        <w:tc>
          <w:tcPr>
            <w:tcW w:w="2500" w:type="dxa"/>
            <w:vAlign w:val="bottom"/>
          </w:tcPr>
          <w:p>
            <w:pPr>
              <w:ind w:left="160"/>
              <w:spacing w:after="0"/>
              <w:rPr>
                <w:sz w:val="20"/>
                <w:szCs w:val="20"/>
                <w:color w:val="auto"/>
              </w:rPr>
            </w:pPr>
            <w:r>
              <w:rPr>
                <w:rFonts w:ascii="Arial" w:cs="Arial" w:eastAsia="Arial" w:hAnsi="Arial"/>
                <w:sz w:val="16"/>
                <w:szCs w:val="16"/>
                <w:color w:val="auto"/>
              </w:rPr>
              <w:t>than 180 days and no later than</w:t>
            </w: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shareholder(s) and the</w:t>
            </w:r>
          </w:p>
        </w:tc>
        <w:tc>
          <w:tcPr>
            <w:tcW w:w="2500" w:type="dxa"/>
            <w:vAlign w:val="bottom"/>
          </w:tcPr>
          <w:p>
            <w:pPr>
              <w:ind w:left="160"/>
              <w:spacing w:after="0"/>
              <w:rPr>
                <w:sz w:val="20"/>
                <w:szCs w:val="20"/>
                <w:color w:val="auto"/>
              </w:rPr>
            </w:pPr>
            <w:r>
              <w:rPr>
                <w:rFonts w:ascii="Arial" w:cs="Arial" w:eastAsia="Arial" w:hAnsi="Arial"/>
                <w:sz w:val="16"/>
                <w:szCs w:val="16"/>
                <w:color w:val="auto"/>
              </w:rPr>
              <w:t>120 days before the first</w:t>
            </w: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nominee(s) satisfy the</w:t>
            </w:r>
          </w:p>
        </w:tc>
        <w:tc>
          <w:tcPr>
            <w:tcW w:w="2500" w:type="dxa"/>
            <w:vAlign w:val="bottom"/>
          </w:tcPr>
          <w:p>
            <w:pPr>
              <w:ind w:left="160"/>
              <w:spacing w:after="0"/>
              <w:rPr>
                <w:sz w:val="20"/>
                <w:szCs w:val="20"/>
                <w:color w:val="auto"/>
              </w:rPr>
            </w:pPr>
            <w:r>
              <w:rPr>
                <w:rFonts w:ascii="Arial" w:cs="Arial" w:eastAsia="Arial" w:hAnsi="Arial"/>
                <w:sz w:val="16"/>
                <w:szCs w:val="16"/>
                <w:color w:val="auto"/>
              </w:rPr>
              <w:t>anniversary of this year’s</w:t>
            </w: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requirements specified in</w:t>
            </w:r>
          </w:p>
        </w:tc>
        <w:tc>
          <w:tcPr>
            <w:tcW w:w="2500" w:type="dxa"/>
            <w:vAlign w:val="bottom"/>
          </w:tcPr>
          <w:p>
            <w:pPr>
              <w:ind w:left="160"/>
              <w:spacing w:after="0"/>
              <w:rPr>
                <w:sz w:val="20"/>
                <w:szCs w:val="20"/>
                <w:color w:val="auto"/>
              </w:rPr>
            </w:pPr>
            <w:r>
              <w:rPr>
                <w:rFonts w:ascii="Arial" w:cs="Arial" w:eastAsia="Arial" w:hAnsi="Arial"/>
                <w:sz w:val="16"/>
                <w:szCs w:val="16"/>
                <w:color w:val="auto"/>
              </w:rPr>
              <w:t>Annual Meeting.</w:t>
            </w:r>
          </w:p>
        </w:tc>
      </w:tr>
      <w:tr>
        <w:trPr>
          <w:trHeight w:val="216"/>
        </w:trPr>
        <w:tc>
          <w:tcPr>
            <w:tcW w:w="1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6"/>
                <w:szCs w:val="16"/>
                <w:color w:val="auto"/>
              </w:rPr>
              <w:t>our Bylaws.</w:t>
            </w:r>
          </w:p>
        </w:tc>
        <w:tc>
          <w:tcPr>
            <w:tcW w:w="2500" w:type="dxa"/>
            <w:vAlign w:val="bottom"/>
          </w:tcPr>
          <w:p>
            <w:pPr>
              <w:spacing w:after="0"/>
              <w:rPr>
                <w:sz w:val="18"/>
                <w:szCs w:val="18"/>
                <w:color w:val="auto"/>
              </w:rPr>
            </w:pPr>
          </w:p>
        </w:tc>
      </w:tr>
    </w:tbl>
    <w:p>
      <w:pPr>
        <w:spacing w:after="0" w:line="163" w:lineRule="exact"/>
        <w:rPr>
          <w:sz w:val="20"/>
          <w:szCs w:val="20"/>
          <w:color w:val="auto"/>
        </w:rPr>
      </w:pPr>
    </w:p>
    <w:p>
      <w:pPr>
        <w:sectPr>
          <w:pgSz w:w="11900" w:h="16838" w:orient="portrait"/>
          <w:cols w:equalWidth="0" w:num="1">
            <w:col w:w="9100"/>
          </w:cols>
          <w:pgMar w:left="1400" w:top="657" w:right="1399" w:bottom="1440" w:gutter="0" w:footer="0" w:header="0"/>
        </w:sectPr>
      </w:pPr>
    </w:p>
    <w:p>
      <w:pPr>
        <w:ind w:left="60"/>
        <w:spacing w:after="0"/>
        <w:tabs>
          <w:tab w:leader="none" w:pos="1860" w:val="left"/>
        </w:tabs>
        <w:rPr>
          <w:sz w:val="20"/>
          <w:szCs w:val="20"/>
          <w:color w:val="auto"/>
        </w:rPr>
      </w:pPr>
      <w:r>
        <w:rPr>
          <w:rFonts w:ascii="Arial" w:cs="Arial" w:eastAsia="Arial" w:hAnsi="Arial"/>
          <w:sz w:val="16"/>
          <w:szCs w:val="16"/>
          <w:b w:val="1"/>
          <w:bCs w:val="1"/>
          <w:color w:val="0956FF"/>
        </w:rPr>
        <w:t>Deadline for</w:t>
      </w:r>
      <w:r>
        <w:rPr>
          <w:sz w:val="20"/>
          <w:szCs w:val="20"/>
          <w:color w:val="auto"/>
        </w:rPr>
        <w:tab/>
      </w:r>
      <w:r>
        <w:rPr>
          <w:rFonts w:ascii="Arial" w:cs="Arial" w:eastAsia="Arial" w:hAnsi="Arial"/>
          <w:sz w:val="16"/>
          <w:szCs w:val="16"/>
          <w:color w:val="auto"/>
        </w:rPr>
        <w:t>Proposals must be received</w:t>
      </w:r>
    </w:p>
    <w:p>
      <w:pPr>
        <w:spacing w:after="0" w:line="39" w:lineRule="exact"/>
        <w:rPr>
          <w:sz w:val="20"/>
          <w:szCs w:val="20"/>
          <w:color w:val="auto"/>
        </w:rPr>
      </w:pPr>
    </w:p>
    <w:p>
      <w:pPr>
        <w:ind w:left="60"/>
        <w:spacing w:after="0"/>
        <w:tabs>
          <w:tab w:leader="none" w:pos="1860" w:val="left"/>
        </w:tabs>
        <w:rPr>
          <w:sz w:val="20"/>
          <w:szCs w:val="20"/>
          <w:color w:val="auto"/>
        </w:rPr>
      </w:pPr>
      <w:r>
        <w:rPr>
          <w:rFonts w:ascii="Arial" w:cs="Arial" w:eastAsia="Arial" w:hAnsi="Arial"/>
          <w:sz w:val="16"/>
          <w:szCs w:val="16"/>
          <w:b w:val="1"/>
          <w:bCs w:val="1"/>
          <w:color w:val="0956FF"/>
        </w:rPr>
        <w:t>Submitting These</w:t>
      </w:r>
      <w:r>
        <w:rPr>
          <w:sz w:val="20"/>
          <w:szCs w:val="20"/>
          <w:color w:val="auto"/>
        </w:rPr>
        <w:tab/>
      </w:r>
      <w:r>
        <w:rPr>
          <w:rFonts w:ascii="Arial" w:cs="Arial" w:eastAsia="Arial" w:hAnsi="Arial"/>
          <w:sz w:val="16"/>
          <w:szCs w:val="16"/>
          <w:color w:val="auto"/>
        </w:rPr>
        <w:t>at our principal executive</w:t>
      </w:r>
    </w:p>
    <w:p>
      <w:pPr>
        <w:spacing w:after="0" w:line="32" w:lineRule="exact"/>
        <w:rPr>
          <w:sz w:val="20"/>
          <w:szCs w:val="20"/>
          <w:color w:val="auto"/>
        </w:rPr>
      </w:pPr>
    </w:p>
    <w:p>
      <w:pPr>
        <w:ind w:left="60"/>
        <w:spacing w:after="0"/>
        <w:tabs>
          <w:tab w:leader="none" w:pos="1860" w:val="left"/>
        </w:tabs>
        <w:rPr>
          <w:sz w:val="20"/>
          <w:szCs w:val="20"/>
          <w:color w:val="auto"/>
        </w:rPr>
      </w:pPr>
      <w:r>
        <w:rPr>
          <w:rFonts w:ascii="Arial" w:cs="Arial" w:eastAsia="Arial" w:hAnsi="Arial"/>
          <w:sz w:val="16"/>
          <w:szCs w:val="16"/>
          <w:b w:val="1"/>
          <w:bCs w:val="1"/>
          <w:color w:val="0956FF"/>
        </w:rPr>
        <w:t>Proposals</w:t>
      </w:r>
      <w:r>
        <w:rPr>
          <w:sz w:val="20"/>
          <w:szCs w:val="20"/>
          <w:color w:val="auto"/>
        </w:rPr>
        <w:tab/>
      </w:r>
      <w:r>
        <w:rPr>
          <w:rFonts w:ascii="Arial" w:cs="Arial" w:eastAsia="Arial" w:hAnsi="Arial"/>
          <w:sz w:val="16"/>
          <w:szCs w:val="16"/>
          <w:color w:val="auto"/>
        </w:rPr>
        <w:t>offices no later than</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11:59 p.m. Eastern Time on</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December 21, 2026.</w:t>
      </w:r>
    </w:p>
    <w:p>
      <w:pPr>
        <w:spacing w:after="0" w:line="20" w:lineRule="exact"/>
        <w:rPr>
          <w:sz w:val="20"/>
          <w:szCs w:val="20"/>
          <w:color w:val="auto"/>
        </w:rPr>
      </w:pPr>
      <w:r>
        <w:rPr>
          <w:sz w:val="20"/>
          <w:szCs w:val="20"/>
          <w:color w:val="auto"/>
        </w:rPr>
        <w:br w:type="column"/>
      </w:r>
    </w:p>
    <w:p>
      <w:pPr>
        <w:ind w:right="260"/>
        <w:spacing w:after="0" w:line="306" w:lineRule="auto"/>
        <w:rPr>
          <w:sz w:val="20"/>
          <w:szCs w:val="20"/>
          <w:color w:val="auto"/>
        </w:rPr>
      </w:pPr>
      <w:r>
        <w:rPr>
          <w:rFonts w:ascii="Arial" w:cs="Arial" w:eastAsia="Arial" w:hAnsi="Arial"/>
          <w:sz w:val="16"/>
          <w:szCs w:val="16"/>
          <w:color w:val="auto"/>
        </w:rPr>
        <w:t xml:space="preserve">Proposals must be received at our principal executive offices no earlier than </w:t>
      </w:r>
      <w:r>
        <w:rPr>
          <w:rFonts w:ascii="Arial" w:cs="Arial" w:eastAsia="Arial" w:hAnsi="Arial"/>
          <w:sz w:val="16"/>
          <w:szCs w:val="16"/>
          <w:b w:val="1"/>
          <w:bCs w:val="1"/>
          <w:color w:val="auto"/>
        </w:rPr>
        <w:t>December 4, 2026</w:t>
      </w:r>
      <w:r>
        <w:rPr>
          <w:rFonts w:ascii="Arial" w:cs="Arial" w:eastAsia="Arial" w:hAnsi="Arial"/>
          <w:sz w:val="16"/>
          <w:szCs w:val="16"/>
          <w:color w:val="auto"/>
        </w:rPr>
        <w:t xml:space="preserve"> , and no later than 11:59 p.m. Eastern Time on </w:t>
      </w:r>
      <w:r>
        <w:rPr>
          <w:rFonts w:ascii="Arial" w:cs="Arial" w:eastAsia="Arial" w:hAnsi="Arial"/>
          <w:sz w:val="16"/>
          <w:szCs w:val="16"/>
          <w:b w:val="1"/>
          <w:bCs w:val="1"/>
          <w:color w:val="auto"/>
        </w:rPr>
        <w:t>February 2, 2027.</w:t>
      </w:r>
    </w:p>
    <w:p>
      <w:pPr>
        <w:spacing w:after="0" w:line="525" w:lineRule="exact"/>
        <w:rPr>
          <w:sz w:val="20"/>
          <w:szCs w:val="20"/>
          <w:color w:val="auto"/>
        </w:rPr>
      </w:pPr>
    </w:p>
    <w:p>
      <w:pPr>
        <w:sectPr>
          <w:pgSz w:w="11900" w:h="16838" w:orient="portrait"/>
          <w:cols w:equalWidth="0" w:num="2">
            <w:col w:w="3880" w:space="380"/>
            <w:col w:w="4840"/>
          </w:cols>
          <w:pgMar w:left="1400" w:top="657" w:right="13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800" w:type="dxa"/>
            <w:vAlign w:val="bottom"/>
          </w:tcPr>
          <w:p>
            <w:pPr>
              <w:ind w:left="60"/>
              <w:spacing w:after="0"/>
              <w:rPr>
                <w:sz w:val="20"/>
                <w:szCs w:val="20"/>
                <w:color w:val="auto"/>
              </w:rPr>
            </w:pPr>
            <w:r>
              <w:rPr>
                <w:rFonts w:ascii="Arial" w:cs="Arial" w:eastAsia="Arial" w:hAnsi="Arial"/>
                <w:sz w:val="16"/>
                <w:szCs w:val="16"/>
                <w:b w:val="1"/>
                <w:bCs w:val="1"/>
                <w:color w:val="0956FF"/>
              </w:rPr>
              <w:t>Where to Send These</w:t>
            </w:r>
          </w:p>
        </w:tc>
        <w:tc>
          <w:tcPr>
            <w:tcW w:w="7280" w:type="dxa"/>
            <w:vAlign w:val="bottom"/>
            <w:gridSpan w:val="7"/>
          </w:tcPr>
          <w:p>
            <w:pPr>
              <w:ind w:left="80"/>
              <w:spacing w:after="0"/>
              <w:rPr>
                <w:sz w:val="20"/>
                <w:szCs w:val="20"/>
                <w:color w:val="auto"/>
              </w:rPr>
            </w:pPr>
            <w:r>
              <w:rPr>
                <w:rFonts w:ascii="Arial" w:cs="Arial" w:eastAsia="Arial" w:hAnsi="Arial"/>
                <w:sz w:val="16"/>
                <w:szCs w:val="16"/>
                <w:color w:val="auto"/>
              </w:rPr>
              <w:t>Mail proposals to our Corporate Secretary at Mail Code 482-22381-1101, 1240 Woodward Avenue,</w:t>
            </w:r>
          </w:p>
        </w:tc>
      </w:tr>
      <w:tr>
        <w:trPr>
          <w:trHeight w:val="176"/>
        </w:trPr>
        <w:tc>
          <w:tcPr>
            <w:tcW w:w="1800" w:type="dxa"/>
            <w:vAlign w:val="bottom"/>
          </w:tcPr>
          <w:p>
            <w:pPr>
              <w:ind w:left="60"/>
              <w:spacing w:after="0" w:line="176" w:lineRule="exact"/>
              <w:rPr>
                <w:sz w:val="20"/>
                <w:szCs w:val="20"/>
                <w:color w:val="auto"/>
              </w:rPr>
            </w:pPr>
            <w:r>
              <w:rPr>
                <w:rFonts w:ascii="Arial" w:cs="Arial" w:eastAsia="Arial" w:hAnsi="Arial"/>
                <w:sz w:val="16"/>
                <w:szCs w:val="16"/>
                <w:b w:val="1"/>
                <w:bCs w:val="1"/>
                <w:color w:val="0956FF"/>
              </w:rPr>
              <w:t>Proposals</w:t>
            </w:r>
          </w:p>
        </w:tc>
        <w:tc>
          <w:tcPr>
            <w:tcW w:w="7280" w:type="dxa"/>
            <w:vAlign w:val="bottom"/>
            <w:gridSpan w:val="7"/>
          </w:tcPr>
          <w:p>
            <w:pPr>
              <w:ind w:left="80"/>
              <w:spacing w:after="0" w:line="176" w:lineRule="exact"/>
              <w:rPr>
                <w:sz w:val="20"/>
                <w:szCs w:val="20"/>
                <w:color w:val="auto"/>
              </w:rPr>
            </w:pPr>
            <w:r>
              <w:rPr>
                <w:rFonts w:ascii="Arial" w:cs="Arial" w:eastAsia="Arial" w:hAnsi="Arial"/>
                <w:sz w:val="16"/>
                <w:szCs w:val="16"/>
                <w:color w:val="auto"/>
              </w:rPr>
              <w:t xml:space="preserve">Detroit, Michigan 48265, or send proposals by email to  </w:t>
            </w:r>
            <w:r>
              <w:rPr>
                <w:rFonts w:ascii="Arial" w:cs="Arial" w:eastAsia="Arial" w:hAnsi="Arial"/>
                <w:sz w:val="16"/>
                <w:szCs w:val="16"/>
                <w:color w:val="0956FF"/>
              </w:rPr>
              <w:t>shareholder.relations@gm.com</w:t>
            </w:r>
            <w:r>
              <w:rPr>
                <w:rFonts w:ascii="Arial" w:cs="Arial" w:eastAsia="Arial" w:hAnsi="Arial"/>
                <w:sz w:val="16"/>
                <w:szCs w:val="16"/>
                <w:color w:val="auto"/>
              </w:rPr>
              <w:t xml:space="preserve"> .</w:t>
            </w:r>
          </w:p>
        </w:tc>
      </w:tr>
      <w:tr>
        <w:trPr>
          <w:trHeight w:val="75"/>
        </w:trPr>
        <w:tc>
          <w:tcPr>
            <w:tcW w:w="1800" w:type="dxa"/>
            <w:vAlign w:val="bottom"/>
            <w:tcBorders>
              <w:bottom w:val="single" w:sz="8" w:color="D8D7D7"/>
            </w:tcBorders>
          </w:tcPr>
          <w:p>
            <w:pPr>
              <w:spacing w:after="0"/>
              <w:rPr>
                <w:sz w:val="6"/>
                <w:szCs w:val="6"/>
                <w:color w:val="auto"/>
              </w:rPr>
            </w:pPr>
          </w:p>
        </w:tc>
        <w:tc>
          <w:tcPr>
            <w:tcW w:w="2460" w:type="dxa"/>
            <w:vAlign w:val="bottom"/>
            <w:tcBorders>
              <w:bottom w:val="single" w:sz="8" w:color="D8D7D7"/>
            </w:tcBorders>
          </w:tcPr>
          <w:p>
            <w:pPr>
              <w:spacing w:after="0"/>
              <w:rPr>
                <w:sz w:val="6"/>
                <w:szCs w:val="6"/>
                <w:color w:val="auto"/>
              </w:rPr>
            </w:pPr>
          </w:p>
        </w:tc>
        <w:tc>
          <w:tcPr>
            <w:tcW w:w="1640" w:type="dxa"/>
            <w:vAlign w:val="bottom"/>
            <w:tcBorders>
              <w:bottom w:val="single" w:sz="8" w:color="D8D7D7"/>
            </w:tcBorders>
          </w:tcPr>
          <w:p>
            <w:pPr>
              <w:spacing w:after="0"/>
              <w:rPr>
                <w:sz w:val="6"/>
                <w:szCs w:val="6"/>
                <w:color w:val="auto"/>
              </w:rPr>
            </w:pPr>
          </w:p>
        </w:tc>
        <w:tc>
          <w:tcPr>
            <w:tcW w:w="420" w:type="dxa"/>
            <w:vAlign w:val="bottom"/>
            <w:tcBorders>
              <w:top w:val="single" w:sz="8" w:color="0956FF"/>
              <w:bottom w:val="single" w:sz="8" w:color="D8D7D7"/>
            </w:tcBorders>
          </w:tcPr>
          <w:p>
            <w:pPr>
              <w:spacing w:after="0"/>
              <w:rPr>
                <w:sz w:val="6"/>
                <w:szCs w:val="6"/>
                <w:color w:val="auto"/>
              </w:rPr>
            </w:pPr>
          </w:p>
        </w:tc>
        <w:tc>
          <w:tcPr>
            <w:tcW w:w="1420" w:type="dxa"/>
            <w:vAlign w:val="bottom"/>
            <w:tcBorders>
              <w:top w:val="single" w:sz="8" w:color="0956FF"/>
              <w:bottom w:val="single" w:sz="8" w:color="D8D7D7"/>
            </w:tcBorders>
          </w:tcPr>
          <w:p>
            <w:pPr>
              <w:spacing w:after="0"/>
              <w:rPr>
                <w:sz w:val="6"/>
                <w:szCs w:val="6"/>
                <w:color w:val="auto"/>
              </w:rPr>
            </w:pPr>
          </w:p>
        </w:tc>
        <w:tc>
          <w:tcPr>
            <w:tcW w:w="420" w:type="dxa"/>
            <w:vAlign w:val="bottom"/>
            <w:tcBorders>
              <w:top w:val="single" w:sz="8" w:color="0956FF"/>
              <w:bottom w:val="single" w:sz="8" w:color="D8D7D7"/>
            </w:tcBorders>
          </w:tcPr>
          <w:p>
            <w:pPr>
              <w:spacing w:after="0"/>
              <w:rPr>
                <w:sz w:val="6"/>
                <w:szCs w:val="6"/>
                <w:color w:val="auto"/>
              </w:rPr>
            </w:pPr>
          </w:p>
        </w:tc>
        <w:tc>
          <w:tcPr>
            <w:tcW w:w="800" w:type="dxa"/>
            <w:vAlign w:val="bottom"/>
            <w:tcBorders>
              <w:bottom w:val="single" w:sz="8" w:color="D8D7D7"/>
            </w:tcBorders>
          </w:tcPr>
          <w:p>
            <w:pPr>
              <w:spacing w:after="0"/>
              <w:rPr>
                <w:sz w:val="6"/>
                <w:szCs w:val="6"/>
                <w:color w:val="auto"/>
              </w:rPr>
            </w:pPr>
          </w:p>
        </w:tc>
        <w:tc>
          <w:tcPr>
            <w:tcW w:w="120" w:type="dxa"/>
            <w:vAlign w:val="bottom"/>
            <w:tcBorders>
              <w:bottom w:val="single" w:sz="8" w:color="D8D7D7"/>
            </w:tcBorders>
          </w:tcPr>
          <w:p>
            <w:pPr>
              <w:spacing w:after="0"/>
              <w:rPr>
                <w:sz w:val="6"/>
                <w:szCs w:val="6"/>
                <w:color w:val="auto"/>
              </w:rPr>
            </w:pPr>
          </w:p>
        </w:tc>
      </w:tr>
      <w:tr>
        <w:trPr>
          <w:trHeight w:val="290"/>
        </w:trPr>
        <w:tc>
          <w:tcPr>
            <w:tcW w:w="1800" w:type="dxa"/>
            <w:vAlign w:val="bottom"/>
          </w:tcPr>
          <w:p>
            <w:pPr>
              <w:ind w:left="60"/>
              <w:spacing w:after="0"/>
              <w:rPr>
                <w:sz w:val="20"/>
                <w:szCs w:val="20"/>
                <w:color w:val="auto"/>
              </w:rPr>
            </w:pPr>
            <w:r>
              <w:rPr>
                <w:rFonts w:ascii="Arial" w:cs="Arial" w:eastAsia="Arial" w:hAnsi="Arial"/>
                <w:sz w:val="16"/>
                <w:szCs w:val="16"/>
                <w:b w:val="1"/>
                <w:bCs w:val="1"/>
                <w:color w:val="0956FF"/>
              </w:rPr>
              <w:t>What to Include</w:t>
            </w:r>
          </w:p>
        </w:tc>
        <w:tc>
          <w:tcPr>
            <w:tcW w:w="2460" w:type="dxa"/>
            <w:vAlign w:val="bottom"/>
          </w:tcPr>
          <w:p>
            <w:pPr>
              <w:ind w:left="80"/>
              <w:spacing w:after="0"/>
              <w:rPr>
                <w:sz w:val="20"/>
                <w:szCs w:val="20"/>
                <w:color w:val="auto"/>
              </w:rPr>
            </w:pPr>
            <w:r>
              <w:rPr>
                <w:rFonts w:ascii="Arial" w:cs="Arial" w:eastAsia="Arial" w:hAnsi="Arial"/>
                <w:sz w:val="16"/>
                <w:szCs w:val="16"/>
                <w:color w:val="auto"/>
              </w:rPr>
              <w:t>Proposals must conform to</w:t>
            </w:r>
          </w:p>
        </w:tc>
        <w:tc>
          <w:tcPr>
            <w:tcW w:w="4820" w:type="dxa"/>
            <w:vAlign w:val="bottom"/>
            <w:gridSpan w:val="6"/>
          </w:tcPr>
          <w:p>
            <w:pPr>
              <w:spacing w:after="0"/>
              <w:rPr>
                <w:sz w:val="20"/>
                <w:szCs w:val="20"/>
                <w:color w:val="auto"/>
              </w:rPr>
            </w:pPr>
            <w:r>
              <w:rPr>
                <w:rFonts w:ascii="Arial" w:cs="Arial" w:eastAsia="Arial" w:hAnsi="Arial"/>
                <w:sz w:val="16"/>
                <w:szCs w:val="16"/>
                <w:color w:val="auto"/>
              </w:rPr>
              <w:t>Proposals must include information required by our Bylaws,</w:t>
            </w:r>
          </w:p>
        </w:tc>
      </w:tr>
      <w:tr>
        <w:trPr>
          <w:trHeight w:val="176"/>
        </w:trPr>
        <w:tc>
          <w:tcPr>
            <w:tcW w:w="1800" w:type="dxa"/>
            <w:vAlign w:val="bottom"/>
          </w:tcPr>
          <w:p>
            <w:pPr>
              <w:spacing w:after="0"/>
              <w:rPr>
                <w:sz w:val="15"/>
                <w:szCs w:val="15"/>
                <w:color w:val="auto"/>
              </w:rPr>
            </w:pPr>
          </w:p>
        </w:tc>
        <w:tc>
          <w:tcPr>
            <w:tcW w:w="2460" w:type="dxa"/>
            <w:vAlign w:val="bottom"/>
          </w:tcPr>
          <w:p>
            <w:pPr>
              <w:ind w:left="80"/>
              <w:spacing w:after="0" w:line="176" w:lineRule="exact"/>
              <w:rPr>
                <w:sz w:val="20"/>
                <w:szCs w:val="20"/>
                <w:color w:val="auto"/>
              </w:rPr>
            </w:pPr>
            <w:r>
              <w:rPr>
                <w:rFonts w:ascii="Arial" w:cs="Arial" w:eastAsia="Arial" w:hAnsi="Arial"/>
                <w:sz w:val="16"/>
                <w:szCs w:val="16"/>
                <w:color w:val="auto"/>
              </w:rPr>
              <w:t>and include the information</w:t>
            </w:r>
          </w:p>
        </w:tc>
        <w:tc>
          <w:tcPr>
            <w:tcW w:w="3480" w:type="dxa"/>
            <w:vAlign w:val="bottom"/>
            <w:gridSpan w:val="3"/>
          </w:tcPr>
          <w:p>
            <w:pPr>
              <w:spacing w:after="0" w:line="176" w:lineRule="exact"/>
              <w:rPr>
                <w:sz w:val="20"/>
                <w:szCs w:val="20"/>
                <w:color w:val="auto"/>
              </w:rPr>
            </w:pPr>
            <w:r>
              <w:rPr>
                <w:rFonts w:ascii="Arial" w:cs="Arial" w:eastAsia="Arial" w:hAnsi="Arial"/>
                <w:sz w:val="16"/>
                <w:szCs w:val="16"/>
                <w:color w:val="auto"/>
              </w:rPr>
              <w:t>which are available on our website at</w:t>
            </w:r>
          </w:p>
        </w:tc>
        <w:tc>
          <w:tcPr>
            <w:tcW w:w="1340" w:type="dxa"/>
            <w:vAlign w:val="bottom"/>
            <w:gridSpan w:val="3"/>
          </w:tcPr>
          <w:p>
            <w:pPr>
              <w:spacing w:after="0" w:line="176" w:lineRule="exact"/>
              <w:rPr>
                <w:sz w:val="20"/>
                <w:szCs w:val="20"/>
                <w:color w:val="auto"/>
              </w:rPr>
            </w:pPr>
            <w:r>
              <w:rPr>
                <w:rFonts w:ascii="Arial" w:cs="Arial" w:eastAsia="Arial" w:hAnsi="Arial"/>
                <w:sz w:val="16"/>
                <w:szCs w:val="16"/>
                <w:color w:val="0956FF"/>
              </w:rPr>
              <w:t>investor.gm.com/</w:t>
            </w:r>
          </w:p>
        </w:tc>
      </w:tr>
      <w:tr>
        <w:trPr>
          <w:trHeight w:val="20"/>
        </w:trPr>
        <w:tc>
          <w:tcPr>
            <w:tcW w:w="1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gridSpan w:val="2"/>
            <w:shd w:val="clear" w:color="auto" w:fill="0956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800" w:type="dxa"/>
            <w:vAlign w:val="bottom"/>
          </w:tcPr>
          <w:p>
            <w:pPr>
              <w:spacing w:after="0"/>
              <w:rPr>
                <w:sz w:val="17"/>
                <w:szCs w:val="17"/>
                <w:color w:val="auto"/>
              </w:rPr>
            </w:pPr>
          </w:p>
        </w:tc>
        <w:tc>
          <w:tcPr>
            <w:tcW w:w="2460" w:type="dxa"/>
            <w:vAlign w:val="bottom"/>
          </w:tcPr>
          <w:p>
            <w:pPr>
              <w:ind w:left="80"/>
              <w:spacing w:after="0"/>
              <w:rPr>
                <w:sz w:val="20"/>
                <w:szCs w:val="20"/>
                <w:color w:val="auto"/>
              </w:rPr>
            </w:pPr>
            <w:r>
              <w:rPr>
                <w:rFonts w:ascii="Arial" w:cs="Arial" w:eastAsia="Arial" w:hAnsi="Arial"/>
                <w:sz w:val="16"/>
                <w:szCs w:val="16"/>
                <w:color w:val="auto"/>
              </w:rPr>
              <w:t>required by SEC Rule 14a-8.</w:t>
            </w:r>
          </w:p>
        </w:tc>
        <w:tc>
          <w:tcPr>
            <w:tcW w:w="4820" w:type="dxa"/>
            <w:vAlign w:val="bottom"/>
            <w:gridSpan w:val="6"/>
          </w:tcPr>
          <w:p>
            <w:pPr>
              <w:spacing w:after="0"/>
              <w:rPr>
                <w:sz w:val="20"/>
                <w:szCs w:val="20"/>
                <w:color w:val="auto"/>
              </w:rPr>
            </w:pPr>
            <w:r>
              <w:rPr>
                <w:rFonts w:ascii="Arial" w:cs="Arial" w:eastAsia="Arial" w:hAnsi="Arial"/>
                <w:sz w:val="16"/>
                <w:szCs w:val="16"/>
                <w:color w:val="0956FF"/>
              </w:rPr>
              <w:t xml:space="preserve">governanceandsustainability </w:t>
            </w:r>
            <w:r>
              <w:rPr>
                <w:rFonts w:ascii="Arial" w:cs="Arial" w:eastAsia="Arial" w:hAnsi="Arial"/>
                <w:sz w:val="16"/>
                <w:szCs w:val="16"/>
                <w:color w:val="000000"/>
              </w:rPr>
              <w:t>, and all requirements in Rule</w:t>
            </w:r>
          </w:p>
        </w:tc>
      </w:tr>
      <w:tr>
        <w:trPr>
          <w:trHeight w:val="235"/>
        </w:trPr>
        <w:tc>
          <w:tcPr>
            <w:tcW w:w="18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60" w:type="dxa"/>
            <w:vAlign w:val="bottom"/>
            <w:tcBorders>
              <w:top w:val="single" w:sz="8" w:color="0956FF"/>
            </w:tcBorders>
            <w:gridSpan w:val="2"/>
          </w:tcPr>
          <w:p>
            <w:pPr>
              <w:spacing w:after="0"/>
              <w:rPr>
                <w:sz w:val="20"/>
                <w:szCs w:val="20"/>
                <w:color w:val="auto"/>
              </w:rPr>
            </w:pPr>
            <w:r>
              <w:rPr>
                <w:rFonts w:ascii="Arial" w:cs="Arial" w:eastAsia="Arial" w:hAnsi="Arial"/>
                <w:sz w:val="16"/>
                <w:szCs w:val="16"/>
                <w:color w:val="auto"/>
              </w:rPr>
              <w:t>14a-19(b), if applicable.</w:t>
            </w: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6"/>
        </w:trPr>
        <w:tc>
          <w:tcPr>
            <w:tcW w:w="1800" w:type="dxa"/>
            <w:vAlign w:val="bottom"/>
            <w:tcBorders>
              <w:bottom w:val="single" w:sz="8" w:color="0956FF"/>
            </w:tcBorders>
          </w:tcPr>
          <w:p>
            <w:pPr>
              <w:spacing w:after="0"/>
              <w:rPr>
                <w:sz w:val="4"/>
                <w:szCs w:val="4"/>
                <w:color w:val="auto"/>
              </w:rPr>
            </w:pPr>
          </w:p>
        </w:tc>
        <w:tc>
          <w:tcPr>
            <w:tcW w:w="2460" w:type="dxa"/>
            <w:vAlign w:val="bottom"/>
            <w:tcBorders>
              <w:bottom w:val="single" w:sz="8" w:color="0956FF"/>
            </w:tcBorders>
          </w:tcPr>
          <w:p>
            <w:pPr>
              <w:spacing w:after="0"/>
              <w:rPr>
                <w:sz w:val="4"/>
                <w:szCs w:val="4"/>
                <w:color w:val="auto"/>
              </w:rPr>
            </w:pPr>
          </w:p>
        </w:tc>
        <w:tc>
          <w:tcPr>
            <w:tcW w:w="1640" w:type="dxa"/>
            <w:vAlign w:val="bottom"/>
            <w:tcBorders>
              <w:bottom w:val="single" w:sz="8" w:color="0956FF"/>
            </w:tcBorders>
          </w:tcPr>
          <w:p>
            <w:pPr>
              <w:spacing w:after="0"/>
              <w:rPr>
                <w:sz w:val="4"/>
                <w:szCs w:val="4"/>
                <w:color w:val="auto"/>
              </w:rPr>
            </w:pPr>
          </w:p>
        </w:tc>
        <w:tc>
          <w:tcPr>
            <w:tcW w:w="420" w:type="dxa"/>
            <w:vAlign w:val="bottom"/>
            <w:tcBorders>
              <w:bottom w:val="single" w:sz="8" w:color="0956FF"/>
            </w:tcBorders>
          </w:tcPr>
          <w:p>
            <w:pPr>
              <w:spacing w:after="0"/>
              <w:rPr>
                <w:sz w:val="4"/>
                <w:szCs w:val="4"/>
                <w:color w:val="auto"/>
              </w:rPr>
            </w:pPr>
          </w:p>
        </w:tc>
        <w:tc>
          <w:tcPr>
            <w:tcW w:w="1420" w:type="dxa"/>
            <w:vAlign w:val="bottom"/>
            <w:tcBorders>
              <w:bottom w:val="single" w:sz="8" w:color="0956FF"/>
            </w:tcBorders>
          </w:tcPr>
          <w:p>
            <w:pPr>
              <w:spacing w:after="0"/>
              <w:rPr>
                <w:sz w:val="4"/>
                <w:szCs w:val="4"/>
                <w:color w:val="auto"/>
              </w:rPr>
            </w:pPr>
          </w:p>
        </w:tc>
        <w:tc>
          <w:tcPr>
            <w:tcW w:w="420" w:type="dxa"/>
            <w:vAlign w:val="bottom"/>
            <w:tcBorders>
              <w:bottom w:val="single" w:sz="8" w:color="0956FF"/>
            </w:tcBorders>
          </w:tcPr>
          <w:p>
            <w:pPr>
              <w:spacing w:after="0"/>
              <w:rPr>
                <w:sz w:val="4"/>
                <w:szCs w:val="4"/>
                <w:color w:val="auto"/>
              </w:rPr>
            </w:pPr>
          </w:p>
        </w:tc>
        <w:tc>
          <w:tcPr>
            <w:tcW w:w="800" w:type="dxa"/>
            <w:vAlign w:val="bottom"/>
            <w:tcBorders>
              <w:bottom w:val="single" w:sz="8" w:color="0956FF"/>
            </w:tcBorders>
          </w:tcPr>
          <w:p>
            <w:pPr>
              <w:spacing w:after="0"/>
              <w:rPr>
                <w:sz w:val="4"/>
                <w:szCs w:val="4"/>
                <w:color w:val="auto"/>
              </w:rPr>
            </w:pPr>
          </w:p>
        </w:tc>
        <w:tc>
          <w:tcPr>
            <w:tcW w:w="120" w:type="dxa"/>
            <w:vAlign w:val="bottom"/>
            <w:tcBorders>
              <w:bottom w:val="single" w:sz="8" w:color="0956FF"/>
            </w:tcBorders>
          </w:tcPr>
          <w:p>
            <w:pPr>
              <w:spacing w:after="0"/>
              <w:rPr>
                <w:sz w:val="4"/>
                <w:szCs w:val="4"/>
                <w:color w:val="auto"/>
              </w:rPr>
            </w:pPr>
          </w:p>
        </w:tc>
      </w:tr>
    </w:tbl>
    <w:p>
      <w:pPr>
        <w:spacing w:after="0" w:line="188" w:lineRule="exact"/>
        <w:rPr>
          <w:sz w:val="20"/>
          <w:szCs w:val="20"/>
          <w:color w:val="auto"/>
        </w:rPr>
      </w:pPr>
    </w:p>
    <w:p>
      <w:pPr>
        <w:ind w:right="400"/>
        <w:spacing w:after="0" w:line="295" w:lineRule="auto"/>
        <w:rPr>
          <w:sz w:val="20"/>
          <w:szCs w:val="20"/>
          <w:color w:val="auto"/>
        </w:rPr>
      </w:pPr>
      <w:r>
        <w:rPr>
          <w:rFonts w:ascii="Arial" w:cs="Arial" w:eastAsia="Arial" w:hAnsi="Arial"/>
          <w:sz w:val="16"/>
          <w:szCs w:val="16"/>
          <w:color w:val="auto"/>
        </w:rPr>
        <w:t xml:space="preserve">In connection with our solicitation of proxies for our 2027 Annual Meeting of Shareholders, we intend to file a proxy statement and WHITE proxy card with the SEC. Stockholders may obtain our proxy statement (and any amendments and supplements thereto) and other documents as and when filed with the SEC without charge from the SEC’s website at: </w:t>
      </w:r>
      <w:r>
        <w:rPr>
          <w:rFonts w:ascii="Arial" w:cs="Arial" w:eastAsia="Arial" w:hAnsi="Arial"/>
          <w:sz w:val="16"/>
          <w:szCs w:val="16"/>
          <w:u w:val="single" w:color="auto"/>
          <w:color w:val="0956FF"/>
        </w:rPr>
        <w:t>www.sec.gov</w:t>
      </w:r>
      <w:r>
        <w:rPr>
          <w:rFonts w:ascii="Arial" w:cs="Arial" w:eastAsia="Arial" w:hAnsi="Arial"/>
          <w:sz w:val="16"/>
          <w:szCs w:val="16"/>
          <w:color w:val="000000"/>
        </w:rPr>
        <w:t>.</w:t>
      </w:r>
    </w:p>
    <w:p>
      <w:pPr>
        <w:sectPr>
          <w:pgSz w:w="11900" w:h="16838" w:orient="portrait"/>
          <w:cols w:equalWidth="0" w:num="1">
            <w:col w:w="9100"/>
          </w:cols>
          <w:pgMar w:left="1400" w:top="65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7020"/>
        <w:spacing w:after="0"/>
        <w:tabs>
          <w:tab w:leader="none" w:pos="87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103</w:t>
      </w:r>
    </w:p>
    <w:p>
      <w:pPr>
        <w:sectPr>
          <w:pgSz w:w="11900" w:h="16838" w:orient="portrait"/>
          <w:cols w:equalWidth="0" w:num="1">
            <w:col w:w="9100"/>
          </w:cols>
          <w:pgMar w:left="1400" w:top="657" w:right="1399" w:bottom="1440" w:gutter="0" w:footer="0" w:header="0"/>
          <w:type w:val="continuous"/>
        </w:sectPr>
      </w:pPr>
    </w:p>
    <w:bookmarkStart w:id="110" w:name="page111"/>
    <w:bookmarkEnd w:id="110"/>
    <w:p>
      <w:pPr>
        <w:ind w:right="3340"/>
        <w:spacing w:after="0" w:line="272" w:lineRule="auto"/>
        <w:rPr>
          <w:sz w:val="20"/>
          <w:szCs w:val="20"/>
          <w:color w:val="auto"/>
        </w:rPr>
      </w:pPr>
      <w:r>
        <w:rPr>
          <w:rFonts w:ascii="Arial" w:cs="Arial" w:eastAsia="Arial" w:hAnsi="Arial"/>
          <w:sz w:val="48"/>
          <w:szCs w:val="48"/>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Defined Terms, Commonly Used Acronyms, and Cautionary Statements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2025 Form 10-K</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GM’s Annual Report on Form 10-K for the year ended December 31, 2025</w:t>
            </w:r>
          </w:p>
        </w:tc>
      </w:tr>
      <w:tr>
        <w:trPr>
          <w:trHeight w:val="246"/>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AAFCF</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Adjusted Automotive Free Cash Flow</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Annual Meeting</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GM’s Annual Meeting of Shareholders to be held on June 2, 2026</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AAOCF</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Adjusted Automotive Operating Cash Flow</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AV</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Autonomous Vehicle</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Board</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GM’s Board of Directors</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Bylaws</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GM’s Amended and Restated Bylaws, dated as of October 3, 2024</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CAP</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Compensation Actually Paid</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CEO</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Chief Executive Officer</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CFO</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Chief Financial Officer</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CISO</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Chief Information Security Officer</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Code of Conduct</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GM’s Code of Conduct: “Winning with Integrity”</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Compensation Committee</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Executive Compensation Committee</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DB</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Defined Benefit</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DC</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Defined Contribution</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Director Compensation Plan</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General Motors Company Deferred Compensation Plan for Non-Employee Directors</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DSU</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Deferred Share Unit</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EBIT</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Earnings Before Interest and Taxes</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EBT</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Earnings Before Taxes</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EPS</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Earnings Per Share</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EV</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Electric Vehicle</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EY</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Ernst &amp; Young LLP</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GAAP</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U.S. Generally Accepted Accounting Principles</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GHG</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Greenhouse Gas</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GICS</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Global Industry Classification Standard</w:t>
            </w:r>
          </w:p>
        </w:tc>
      </w:tr>
      <w:tr>
        <w:trPr>
          <w:trHeight w:val="240"/>
        </w:trPr>
        <w:tc>
          <w:tcPr>
            <w:tcW w:w="2500" w:type="dxa"/>
            <w:vAlign w:val="bottom"/>
          </w:tcPr>
          <w:p>
            <w:pPr>
              <w:ind w:left="60"/>
              <w:spacing w:after="0"/>
              <w:rPr>
                <w:sz w:val="20"/>
                <w:szCs w:val="20"/>
                <w:color w:val="auto"/>
              </w:rPr>
            </w:pPr>
            <w:r>
              <w:rPr>
                <w:rFonts w:ascii="Arial" w:cs="Arial" w:eastAsia="Arial" w:hAnsi="Arial"/>
                <w:sz w:val="16"/>
                <w:szCs w:val="16"/>
                <w:b w:val="1"/>
                <w:bCs w:val="1"/>
                <w:color w:val="auto"/>
              </w:rPr>
              <w:t>GM, General Motors, or</w:t>
            </w:r>
          </w:p>
        </w:tc>
        <w:tc>
          <w:tcPr>
            <w:tcW w:w="6580" w:type="dxa"/>
            <w:vAlign w:val="bottom"/>
          </w:tcPr>
          <w:p>
            <w:pPr>
              <w:ind w:left="260"/>
              <w:spacing w:after="0"/>
              <w:rPr>
                <w:sz w:val="20"/>
                <w:szCs w:val="20"/>
                <w:color w:val="auto"/>
              </w:rPr>
            </w:pPr>
            <w:r>
              <w:rPr>
                <w:rFonts w:ascii="Arial" w:cs="Arial" w:eastAsia="Arial" w:hAnsi="Arial"/>
                <w:sz w:val="16"/>
                <w:szCs w:val="16"/>
                <w:color w:val="auto"/>
              </w:rPr>
              <w:t>General Motors Company</w:t>
            </w:r>
          </w:p>
        </w:tc>
      </w:tr>
      <w:tr>
        <w:trPr>
          <w:trHeight w:val="217"/>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the Company</w:t>
            </w:r>
          </w:p>
        </w:tc>
        <w:tc>
          <w:tcPr>
            <w:tcW w:w="6580" w:type="dxa"/>
            <w:vAlign w:val="bottom"/>
            <w:tcBorders>
              <w:bottom w:val="single" w:sz="8" w:color="D8D7D7"/>
            </w:tcBorders>
          </w:tcPr>
          <w:p>
            <w:pPr>
              <w:spacing w:after="0"/>
              <w:rPr>
                <w:sz w:val="18"/>
                <w:szCs w:val="18"/>
                <w:color w:val="auto"/>
              </w:rPr>
            </w:pPr>
          </w:p>
        </w:tc>
      </w:tr>
      <w:tr>
        <w:trPr>
          <w:trHeight w:val="246"/>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GM Financial</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General Motors Financial Company, Inc.</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GMI</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GM International</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GMNA</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GM North America</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Governance Committee</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Governance and Corporate Responsibility Committee</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ICE</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Internal Combustion Engine</w:t>
            </w:r>
          </w:p>
        </w:tc>
      </w:tr>
      <w:tr>
        <w:trPr>
          <w:trHeight w:val="250"/>
        </w:trPr>
        <w:tc>
          <w:tcPr>
            <w:tcW w:w="250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IRA</w:t>
            </w:r>
          </w:p>
        </w:tc>
        <w:tc>
          <w:tcPr>
            <w:tcW w:w="658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Inflation Reduction Act</w:t>
            </w:r>
          </w:p>
        </w:tc>
      </w:tr>
      <w:tr>
        <w:trPr>
          <w:trHeight w:val="250"/>
        </w:trPr>
        <w:tc>
          <w:tcPr>
            <w:tcW w:w="2500" w:type="dxa"/>
            <w:vAlign w:val="bottom"/>
            <w:tcBorders>
              <w:bottom w:val="single" w:sz="8" w:color="D9D9D6"/>
            </w:tcBorders>
          </w:tcPr>
          <w:p>
            <w:pPr>
              <w:ind w:left="60"/>
              <w:spacing w:after="0"/>
              <w:rPr>
                <w:sz w:val="20"/>
                <w:szCs w:val="20"/>
                <w:color w:val="auto"/>
              </w:rPr>
            </w:pPr>
            <w:r>
              <w:rPr>
                <w:rFonts w:ascii="Arial" w:cs="Arial" w:eastAsia="Arial" w:hAnsi="Arial"/>
                <w:sz w:val="16"/>
                <w:szCs w:val="16"/>
                <w:b w:val="1"/>
                <w:bCs w:val="1"/>
                <w:color w:val="auto"/>
              </w:rPr>
              <w:t>IRC</w:t>
            </w:r>
          </w:p>
        </w:tc>
        <w:tc>
          <w:tcPr>
            <w:tcW w:w="6580" w:type="dxa"/>
            <w:vAlign w:val="bottom"/>
            <w:tcBorders>
              <w:bottom w:val="single" w:sz="8" w:color="D9D9D6"/>
            </w:tcBorders>
          </w:tcPr>
          <w:p>
            <w:pPr>
              <w:ind w:left="260"/>
              <w:spacing w:after="0"/>
              <w:rPr>
                <w:sz w:val="20"/>
                <w:szCs w:val="20"/>
                <w:color w:val="auto"/>
              </w:rPr>
            </w:pPr>
            <w:r>
              <w:rPr>
                <w:rFonts w:ascii="Arial" w:cs="Arial" w:eastAsia="Arial" w:hAnsi="Arial"/>
                <w:sz w:val="16"/>
                <w:szCs w:val="16"/>
                <w:color w:val="auto"/>
              </w:rPr>
              <w:t>Internal Revenue Code</w:t>
            </w:r>
          </w:p>
        </w:tc>
      </w:tr>
      <w:tr>
        <w:trPr>
          <w:trHeight w:val="250"/>
        </w:trPr>
        <w:tc>
          <w:tcPr>
            <w:tcW w:w="250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auto"/>
              </w:rPr>
              <w:t>IRS</w:t>
            </w:r>
          </w:p>
        </w:tc>
        <w:tc>
          <w:tcPr>
            <w:tcW w:w="6580" w:type="dxa"/>
            <w:vAlign w:val="bottom"/>
            <w:tcBorders>
              <w:bottom w:val="single" w:sz="8" w:color="0956FF"/>
            </w:tcBorders>
          </w:tcPr>
          <w:p>
            <w:pPr>
              <w:ind w:left="260"/>
              <w:spacing w:after="0"/>
              <w:rPr>
                <w:sz w:val="20"/>
                <w:szCs w:val="20"/>
                <w:color w:val="auto"/>
              </w:rPr>
            </w:pPr>
            <w:r>
              <w:rPr>
                <w:rFonts w:ascii="Arial" w:cs="Arial" w:eastAsia="Arial" w:hAnsi="Arial"/>
                <w:sz w:val="16"/>
                <w:szCs w:val="16"/>
                <w:color w:val="auto"/>
              </w:rPr>
              <w:t>Internal Revenue Service</w:t>
            </w:r>
          </w:p>
        </w:tc>
      </w:tr>
    </w:tbl>
    <w:p>
      <w:pPr>
        <w:spacing w:after="0" w:line="200" w:lineRule="exact"/>
        <w:rPr>
          <w:sz w:val="20"/>
          <w:szCs w:val="20"/>
          <w:color w:val="auto"/>
        </w:rPr>
      </w:pPr>
    </w:p>
    <w:p>
      <w:pPr>
        <w:sectPr>
          <w:pgSz w:w="11900" w:h="16838" w:orient="portrait"/>
          <w:cols w:equalWidth="0" w:num="1">
            <w:col w:w="9080"/>
          </w:cols>
          <w:pgMar w:left="1400" w:top="1339" w:right="1419" w:bottom="1440" w:gutter="0" w:footer="0" w:header="0"/>
        </w:sectPr>
      </w:pPr>
    </w:p>
    <w:p>
      <w:pPr>
        <w:spacing w:after="0" w:line="38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104</w:t>
      </w:r>
    </w:p>
    <w:p>
      <w:pPr>
        <w:sectPr>
          <w:pgSz w:w="11900" w:h="16838" w:orient="portrait"/>
          <w:cols w:equalWidth="0" w:num="1">
            <w:col w:w="9080"/>
          </w:cols>
          <w:pgMar w:left="1400" w:top="1339" w:right="141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96"/>
        </w:trPr>
        <w:tc>
          <w:tcPr>
            <w:tcW w:w="2360" w:type="dxa"/>
            <w:vAlign w:val="bottom"/>
          </w:tcPr>
          <w:p>
            <w:pPr>
              <w:spacing w:after="0"/>
              <w:rPr>
                <w:sz w:val="17"/>
                <w:szCs w:val="17"/>
                <w:color w:val="auto"/>
              </w:rPr>
            </w:pPr>
          </w:p>
        </w:tc>
        <w:tc>
          <w:tcPr>
            <w:tcW w:w="6800" w:type="dxa"/>
            <w:vAlign w:val="bottom"/>
            <w:gridSpan w:val="2"/>
          </w:tcPr>
          <w:p>
            <w:pPr>
              <w:ind w:left="1920"/>
              <w:spacing w:after="0"/>
              <w:rPr>
                <w:sz w:val="20"/>
                <w:szCs w:val="20"/>
                <w:color w:val="auto"/>
              </w:rPr>
            </w:pPr>
            <w:r>
              <w:rPr>
                <w:rFonts w:ascii="Arial" w:cs="Arial" w:eastAsia="Arial" w:hAnsi="Arial"/>
                <w:sz w:val="14"/>
                <w:szCs w:val="14"/>
                <w:b w:val="1"/>
                <w:bCs w:val="1"/>
                <w:color w:val="0956FF"/>
              </w:rPr>
              <w:t>Defined Terms, Commonly Used Acronyms, and Cautionary Statements</w:t>
            </w:r>
          </w:p>
        </w:tc>
      </w:tr>
      <w:tr>
        <w:trPr>
          <w:trHeight w:val="569"/>
        </w:trPr>
        <w:tc>
          <w:tcPr>
            <w:tcW w:w="2360" w:type="dxa"/>
            <w:vAlign w:val="bottom"/>
            <w:tcBorders>
              <w:bottom w:val="single" w:sz="8" w:color="0956FF"/>
            </w:tcBorders>
          </w:tcPr>
          <w:p>
            <w:pPr>
              <w:spacing w:after="0"/>
              <w:rPr>
                <w:sz w:val="24"/>
                <w:szCs w:val="24"/>
                <w:color w:val="auto"/>
              </w:rPr>
            </w:pPr>
          </w:p>
        </w:tc>
        <w:tc>
          <w:tcPr>
            <w:tcW w:w="6720" w:type="dxa"/>
            <w:vAlign w:val="bottom"/>
            <w:tcBorders>
              <w:bottom w:val="single" w:sz="8" w:color="0956FF"/>
            </w:tcBorders>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LTIP</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Long-Term Incentive Plan</w:t>
            </w:r>
          </w:p>
        </w:tc>
        <w:tc>
          <w:tcPr>
            <w:tcW w:w="80" w:type="dxa"/>
            <w:vAlign w:val="bottom"/>
          </w:tcPr>
          <w:p>
            <w:pPr>
              <w:spacing w:after="0"/>
              <w:rPr>
                <w:sz w:val="21"/>
                <w:szCs w:val="21"/>
                <w:color w:val="auto"/>
              </w:rPr>
            </w:pPr>
          </w:p>
        </w:tc>
      </w:tr>
      <w:tr>
        <w:trPr>
          <w:trHeight w:val="246"/>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M&amp;A</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Mergers and Acquisitions</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NEO</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Named Executive Officer</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Notice</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Notice Regarding the Availability of Proxy Materials</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NQ</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Nonqualified</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NYSE</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New York Stock Exchange</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OEM</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Original Equipment Manufacturer</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PAC</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Political Action Committee</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Proxies</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Mary T. Barra, Grant Dixton, and John S. Kim</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PSU</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Performance Share Unit</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R&amp;D</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ROIC</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Return on Invested Capital</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RSU</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Restricted Stock Unit</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SAR</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Stock Appreciation Right</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SCT</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Summary Compensation Table</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SEC</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U.S. Securities and Exchange Commission</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Senior Leadership Team</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Certain members of management who report directly to the CEO or the President</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Shares</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Unless otherwise indicated, GM’s Common Stock, $0.01 par value per share</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STIP</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Short-Term Incentive Plan</w:t>
            </w:r>
          </w:p>
        </w:tc>
        <w:tc>
          <w:tcPr>
            <w:tcW w:w="80" w:type="dxa"/>
            <w:vAlign w:val="bottom"/>
          </w:tcPr>
          <w:p>
            <w:pPr>
              <w:spacing w:after="0"/>
              <w:rPr>
                <w:sz w:val="21"/>
                <w:szCs w:val="21"/>
                <w:color w:val="auto"/>
              </w:rPr>
            </w:pPr>
          </w:p>
        </w:tc>
      </w:tr>
      <w:tr>
        <w:trPr>
          <w:trHeight w:val="250"/>
        </w:trPr>
        <w:tc>
          <w:tcPr>
            <w:tcW w:w="236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S&amp;S</w:t>
            </w:r>
          </w:p>
        </w:tc>
        <w:tc>
          <w:tcPr>
            <w:tcW w:w="6720" w:type="dxa"/>
            <w:vAlign w:val="bottom"/>
            <w:tcBorders>
              <w:bottom w:val="single" w:sz="8" w:color="D8D7D7"/>
            </w:tcBorders>
          </w:tcPr>
          <w:p>
            <w:pPr>
              <w:ind w:left="400"/>
              <w:spacing w:after="0"/>
              <w:rPr>
                <w:sz w:val="20"/>
                <w:szCs w:val="20"/>
                <w:color w:val="auto"/>
              </w:rPr>
            </w:pPr>
            <w:r>
              <w:rPr>
                <w:rFonts w:ascii="Arial" w:cs="Arial" w:eastAsia="Arial" w:hAnsi="Arial"/>
                <w:sz w:val="16"/>
                <w:szCs w:val="16"/>
                <w:color w:val="auto"/>
              </w:rPr>
              <w:t>Software and Services</w:t>
            </w:r>
          </w:p>
        </w:tc>
        <w:tc>
          <w:tcPr>
            <w:tcW w:w="80" w:type="dxa"/>
            <w:vAlign w:val="bottom"/>
          </w:tcPr>
          <w:p>
            <w:pPr>
              <w:spacing w:after="0"/>
              <w:rPr>
                <w:sz w:val="21"/>
                <w:szCs w:val="21"/>
                <w:color w:val="auto"/>
              </w:rPr>
            </w:pPr>
          </w:p>
        </w:tc>
      </w:tr>
      <w:tr>
        <w:trPr>
          <w:trHeight w:val="250"/>
        </w:trPr>
        <w:tc>
          <w:tcPr>
            <w:tcW w:w="2360" w:type="dxa"/>
            <w:vAlign w:val="bottom"/>
          </w:tcPr>
          <w:p>
            <w:pPr>
              <w:ind w:left="60"/>
              <w:spacing w:after="0"/>
              <w:rPr>
                <w:sz w:val="20"/>
                <w:szCs w:val="20"/>
                <w:color w:val="auto"/>
              </w:rPr>
            </w:pPr>
            <w:r>
              <w:rPr>
                <w:rFonts w:ascii="Arial" w:cs="Arial" w:eastAsia="Arial" w:hAnsi="Arial"/>
                <w:sz w:val="16"/>
                <w:szCs w:val="16"/>
                <w:b w:val="1"/>
                <w:bCs w:val="1"/>
                <w:color w:val="auto"/>
              </w:rPr>
              <w:t>TSR</w:t>
            </w:r>
          </w:p>
        </w:tc>
        <w:tc>
          <w:tcPr>
            <w:tcW w:w="6800" w:type="dxa"/>
            <w:vAlign w:val="bottom"/>
            <w:gridSpan w:val="2"/>
          </w:tcPr>
          <w:p>
            <w:pPr>
              <w:ind w:left="400"/>
              <w:spacing w:after="0"/>
              <w:rPr>
                <w:sz w:val="20"/>
                <w:szCs w:val="20"/>
                <w:color w:val="auto"/>
              </w:rPr>
            </w:pPr>
            <w:r>
              <w:rPr>
                <w:rFonts w:ascii="Arial" w:cs="Arial" w:eastAsia="Arial" w:hAnsi="Arial"/>
                <w:sz w:val="16"/>
                <w:szCs w:val="16"/>
                <w:color w:val="auto"/>
              </w:rPr>
              <w:t>Total Shareholder Return</w:t>
            </w:r>
          </w:p>
        </w:tc>
      </w:tr>
      <w:tr>
        <w:trPr>
          <w:trHeight w:val="213"/>
        </w:trPr>
        <w:tc>
          <w:tcPr>
            <w:tcW w:w="2360" w:type="dxa"/>
            <w:vAlign w:val="bottom"/>
            <w:tcBorders>
              <w:top w:val="single" w:sz="8" w:color="0956FF"/>
            </w:tcBorders>
          </w:tcPr>
          <w:p>
            <w:pPr>
              <w:spacing w:after="0"/>
              <w:rPr>
                <w:sz w:val="18"/>
                <w:szCs w:val="18"/>
                <w:color w:val="auto"/>
              </w:rPr>
            </w:pPr>
          </w:p>
        </w:tc>
        <w:tc>
          <w:tcPr>
            <w:tcW w:w="6720" w:type="dxa"/>
            <w:vAlign w:val="bottom"/>
            <w:tcBorders>
              <w:top w:val="single" w:sz="8" w:color="0956FF"/>
            </w:tcBorders>
          </w:tcPr>
          <w:p>
            <w:pPr>
              <w:spacing w:after="0"/>
              <w:rPr>
                <w:sz w:val="18"/>
                <w:szCs w:val="18"/>
                <w:color w:val="auto"/>
              </w:rPr>
            </w:pPr>
          </w:p>
        </w:tc>
        <w:tc>
          <w:tcPr>
            <w:tcW w:w="80" w:type="dxa"/>
            <w:vAlign w:val="bottom"/>
          </w:tcPr>
          <w:p>
            <w:pPr>
              <w:spacing w:after="0"/>
              <w:rPr>
                <w:sz w:val="18"/>
                <w:szCs w:val="18"/>
                <w:color w:val="auto"/>
              </w:rPr>
            </w:pPr>
          </w:p>
        </w:tc>
      </w:tr>
      <w:tr>
        <w:trPr>
          <w:trHeight w:val="256"/>
        </w:trPr>
        <w:tc>
          <w:tcPr>
            <w:tcW w:w="2360" w:type="dxa"/>
            <w:vAlign w:val="bottom"/>
            <w:shd w:val="clear" w:color="auto" w:fill="ECEBEB"/>
          </w:tcPr>
          <w:p>
            <w:pPr>
              <w:spacing w:after="0"/>
              <w:rPr>
                <w:sz w:val="22"/>
                <w:szCs w:val="22"/>
                <w:color w:val="auto"/>
              </w:rPr>
            </w:pPr>
          </w:p>
        </w:tc>
        <w:tc>
          <w:tcPr>
            <w:tcW w:w="6720" w:type="dxa"/>
            <w:vAlign w:val="bottom"/>
            <w:shd w:val="clear" w:color="auto" w:fill="ECEBEB"/>
          </w:tcPr>
          <w:p>
            <w:pPr>
              <w:spacing w:after="0"/>
              <w:rPr>
                <w:sz w:val="22"/>
                <w:szCs w:val="22"/>
                <w:color w:val="auto"/>
              </w:rPr>
            </w:pPr>
          </w:p>
        </w:tc>
        <w:tc>
          <w:tcPr>
            <w:tcW w:w="80" w:type="dxa"/>
            <w:vAlign w:val="bottom"/>
          </w:tcPr>
          <w:p>
            <w:pPr>
              <w:spacing w:after="0"/>
              <w:rPr>
                <w:sz w:val="22"/>
                <w:szCs w:val="22"/>
                <w:color w:val="auto"/>
              </w:rPr>
            </w:pPr>
          </w:p>
        </w:tc>
      </w:tr>
    </w:tbl>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ind w:left="320" w:right="580"/>
        <w:spacing w:after="0" w:line="290" w:lineRule="auto"/>
        <w:rPr>
          <w:sz w:val="20"/>
          <w:szCs w:val="20"/>
          <w:color w:val="auto"/>
        </w:rPr>
      </w:pPr>
      <w:r>
        <w:rPr>
          <w:rFonts w:ascii="Arial" w:cs="Arial" w:eastAsia="Arial" w:hAnsi="Arial"/>
          <w:sz w:val="14"/>
          <w:szCs w:val="14"/>
          <w:b w:val="1"/>
          <w:bCs w:val="1"/>
          <w:color w:val="auto"/>
        </w:rPr>
        <w:t xml:space="preserve">Cautionary Note on Forward-Looking Statements </w:t>
      </w:r>
      <w:r>
        <w:rPr>
          <w:rFonts w:ascii="Arial" w:cs="Arial" w:eastAsia="Arial" w:hAnsi="Arial"/>
          <w:sz w:val="14"/>
          <w:szCs w:val="14"/>
          <w:color w:val="auto"/>
        </w:rPr>
        <w:t>: This Proxy Statement may include “forward-looking statements” within the</w:t>
      </w:r>
      <w:r>
        <w:rPr>
          <w:rFonts w:ascii="Arial" w:cs="Arial" w:eastAsia="Arial" w:hAnsi="Arial"/>
          <w:sz w:val="14"/>
          <w:szCs w:val="14"/>
          <w:b w:val="1"/>
          <w:bCs w:val="1"/>
          <w:color w:val="auto"/>
        </w:rPr>
        <w:t xml:space="preserve"> </w:t>
      </w:r>
      <w:r>
        <w:rPr>
          <w:rFonts w:ascii="Arial" w:cs="Arial" w:eastAsia="Arial" w:hAnsi="Arial"/>
          <w:sz w:val="14"/>
          <w:szCs w:val="14"/>
          <w:color w:val="auto"/>
        </w:rPr>
        <w:t>meaning of the U.S. federal securities laws. Forward-looking statements are any statements other than statements of historical fact. Forward-looking statements represent our current judgment about possible future events. In making these statements, we rely upon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factors, many of which are described in our 2025 Form 10-K and our other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15" w:lineRule="exact"/>
        <w:rPr>
          <w:sz w:val="20"/>
          <w:szCs w:val="20"/>
          <w:color w:val="auto"/>
        </w:rPr>
      </w:pPr>
    </w:p>
    <w:p>
      <w:pPr>
        <w:ind w:left="320" w:right="500"/>
        <w:spacing w:after="0" w:line="294" w:lineRule="auto"/>
        <w:rPr>
          <w:sz w:val="20"/>
          <w:szCs w:val="20"/>
          <w:color w:val="auto"/>
        </w:rPr>
      </w:pPr>
      <w:r>
        <w:rPr>
          <w:rFonts w:ascii="Arial" w:cs="Arial" w:eastAsia="Arial" w:hAnsi="Arial"/>
          <w:sz w:val="14"/>
          <w:szCs w:val="14"/>
          <w:b w:val="1"/>
          <w:bCs w:val="1"/>
          <w:color w:val="auto"/>
        </w:rPr>
        <w:t>Non-GAAP Financial Measures</w:t>
      </w:r>
      <w:r>
        <w:rPr>
          <w:rFonts w:ascii="Arial" w:cs="Arial" w:eastAsia="Arial" w:hAnsi="Arial"/>
          <w:sz w:val="14"/>
          <w:szCs w:val="14"/>
          <w:color w:val="auto"/>
        </w:rPr>
        <w:t>: See our 2025 Form 10-K and our other filings with the SEC for a description of certain non-GAAP</w:t>
      </w:r>
      <w:r>
        <w:rPr>
          <w:rFonts w:ascii="Arial" w:cs="Arial" w:eastAsia="Arial" w:hAnsi="Arial"/>
          <w:sz w:val="14"/>
          <w:szCs w:val="14"/>
          <w:b w:val="1"/>
          <w:bCs w:val="1"/>
          <w:color w:val="auto"/>
        </w:rPr>
        <w:t xml:space="preserve"> </w:t>
      </w:r>
      <w:r>
        <w:rPr>
          <w:rFonts w:ascii="Arial" w:cs="Arial" w:eastAsia="Arial" w:hAnsi="Arial"/>
          <w:sz w:val="14"/>
          <w:szCs w:val="14"/>
          <w:color w:val="auto"/>
        </w:rPr>
        <w:t>measures used in this Proxy Statement, along with a description of various uses for such measures. Our calculations are set forth within these reports and Appendix A to this Proxy Statement, and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When we present our Company EBIT-adjusted, GM Financial is presented on an EBT-adjusted basis.</w:t>
      </w:r>
    </w:p>
    <w:p>
      <w:pPr>
        <w:spacing w:after="0" w:line="113" w:lineRule="exact"/>
        <w:rPr>
          <w:sz w:val="20"/>
          <w:szCs w:val="20"/>
          <w:color w:val="auto"/>
        </w:rPr>
      </w:pPr>
    </w:p>
    <w:p>
      <w:pPr>
        <w:ind w:left="320" w:right="580"/>
        <w:spacing w:after="0" w:line="296" w:lineRule="auto"/>
        <w:rPr>
          <w:sz w:val="20"/>
          <w:szCs w:val="20"/>
          <w:color w:val="auto"/>
        </w:rPr>
      </w:pPr>
      <w:r>
        <w:rPr>
          <w:rFonts w:ascii="Arial" w:cs="Arial" w:eastAsia="Arial" w:hAnsi="Arial"/>
          <w:sz w:val="14"/>
          <w:szCs w:val="14"/>
          <w:b w:val="1"/>
          <w:bCs w:val="1"/>
          <w:color w:val="auto"/>
        </w:rPr>
        <w:t>Additional Information</w:t>
      </w:r>
      <w:r>
        <w:rPr>
          <w:rFonts w:ascii="Arial" w:cs="Arial" w:eastAsia="Arial" w:hAnsi="Arial"/>
          <w:sz w:val="14"/>
          <w:szCs w:val="14"/>
          <w:color w:val="auto"/>
        </w:rPr>
        <w:t>: References to “record” or “best” performance (or similar statements) in this Proxy Statement refer to</w:t>
      </w:r>
      <w:r>
        <w:rPr>
          <w:rFonts w:ascii="Arial" w:cs="Arial" w:eastAsia="Arial" w:hAnsi="Arial"/>
          <w:sz w:val="14"/>
          <w:szCs w:val="14"/>
          <w:b w:val="1"/>
          <w:bCs w:val="1"/>
          <w:color w:val="auto"/>
        </w:rPr>
        <w:t xml:space="preserve"> </w:t>
      </w:r>
      <w:r>
        <w:rPr>
          <w:rFonts w:ascii="Arial" w:cs="Arial" w:eastAsia="Arial" w:hAnsi="Arial"/>
          <w:sz w:val="14"/>
          <w:szCs w:val="14"/>
          <w:color w:val="auto"/>
        </w:rPr>
        <w:t>General Motors Company, as established in 2009. In addition, certain figures included in the charts and tables in this Proxy Statement may not sum due to rounding. Simulated models and pre-production models are shown throughout; production vehicles will vary. For information on models shown, including availability, see each GM brand website for details.</w:t>
      </w:r>
    </w:p>
    <w:p>
      <w:pPr>
        <w:sectPr>
          <w:pgSz w:w="11900" w:h="16838" w:orient="portrait"/>
          <w:cols w:equalWidth="0" w:num="1">
            <w:col w:w="9160"/>
          </w:cols>
          <w:pgMar w:left="1400" w:top="65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020"/>
        <w:spacing w:after="0"/>
        <w:tabs>
          <w:tab w:leader="none" w:pos="87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auto"/>
        </w:rPr>
        <w:t>105</w:t>
      </w:r>
    </w:p>
    <w:p>
      <w:pPr>
        <w:sectPr>
          <w:pgSz w:w="11900" w:h="16838" w:orient="portrait"/>
          <w:cols w:equalWidth="0" w:num="1">
            <w:col w:w="9160"/>
          </w:cols>
          <w:pgMar w:left="1400" w:top="657" w:right="1339" w:bottom="1440" w:gutter="0" w:footer="0" w:header="0"/>
          <w:type w:val="continuous"/>
        </w:sectPr>
      </w:pPr>
    </w:p>
    <w:bookmarkStart w:id="112" w:name="page113"/>
    <w:bookmarkEnd w:id="112"/>
    <w:p>
      <w:pPr>
        <w:ind w:right="3980"/>
        <w:spacing w:after="0" w:line="292" w:lineRule="auto"/>
        <w:rPr>
          <w:sz w:val="20"/>
          <w:szCs w:val="20"/>
          <w:color w:val="auto"/>
        </w:rPr>
      </w:pPr>
      <w:r>
        <w:rPr>
          <w:rFonts w:ascii="Arial" w:cs="Arial" w:eastAsia="Arial" w:hAnsi="Arial"/>
          <w:sz w:val="48"/>
          <w:szCs w:val="48"/>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Appendix A: Non-GAAP Financial Measures</w:t>
      </w:r>
    </w:p>
    <w:p>
      <w:pPr>
        <w:spacing w:after="0" w:line="380"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Non-GAAP Reconciliations</w:t>
      </w:r>
    </w:p>
    <w:p>
      <w:pPr>
        <w:spacing w:after="0" w:line="14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Company reports its financial results in accordance with GAAP. However, management believes that certain non-GAAP financial measures provide users with additional meaningful financial information.</w:t>
      </w:r>
    </w:p>
    <w:p>
      <w:pPr>
        <w:spacing w:after="0" w:line="88" w:lineRule="exact"/>
        <w:rPr>
          <w:sz w:val="20"/>
          <w:szCs w:val="20"/>
          <w:color w:val="auto"/>
        </w:rPr>
      </w:pPr>
    </w:p>
    <w:p>
      <w:pPr>
        <w:ind w:right="240"/>
        <w:spacing w:after="0" w:line="277" w:lineRule="auto"/>
        <w:rPr>
          <w:sz w:val="20"/>
          <w:szCs w:val="20"/>
          <w:color w:val="auto"/>
        </w:rPr>
      </w:pPr>
      <w:r>
        <w:rPr>
          <w:rFonts w:ascii="Arial" w:cs="Arial" w:eastAsia="Arial" w:hAnsi="Arial"/>
          <w:sz w:val="15"/>
          <w:szCs w:val="15"/>
          <w:color w:val="auto"/>
        </w:rPr>
        <w:t>Our non-GAAP measures presented in this Proxy Statement include: (i) EBIT-adjusted, presented net of noncontrolling interests, and EBIT-adjusted margin (ii) EPS-diluted-adjusted, (iii) ROIC-adjusted, and (iv) adjusted automotive free cash flow. Our calculation of these non-GAAP measures may not be comparable with similarly-titled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2025 Form 10-K and our subsequent filings with the SEC for additional information about the non-GAAP measures presented herein, including a description of the use of such measures. References to “record” or “best” performance (or similar statements) in this Proxy Statement refer to General Motors Company, as established in 2009. In addition, certain figures included in the charts and tables in this Proxy Statement may not sum due to rounding. The numbers in the tables below may not sum due to rounding.</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Attributable to Stockholders under GAAP to EBIT-adjusted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EBIT-adjusted margin: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2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($B)</w:t>
            </w:r>
          </w:p>
        </w:tc>
        <w:tc>
          <w:tcPr>
            <w:tcW w:w="660" w:type="dxa"/>
            <w:vAlign w:val="bottom"/>
            <w:tcBorders>
              <w:bottom w:val="single" w:sz="8" w:color="0956FF"/>
            </w:tcBorders>
            <w:shd w:val="clear" w:color="auto" w:fill="ECEBEB"/>
          </w:tcPr>
          <w:p>
            <w:pPr>
              <w:spacing w:after="0"/>
              <w:rPr>
                <w:sz w:val="23"/>
                <w:szCs w:val="23"/>
                <w:color w:val="auto"/>
              </w:rPr>
            </w:pPr>
          </w:p>
        </w:tc>
        <w:tc>
          <w:tcPr>
            <w:tcW w:w="600" w:type="dxa"/>
            <w:vAlign w:val="bottom"/>
            <w:tcBorders>
              <w:bottom w:val="single" w:sz="8" w:color="0956FF"/>
            </w:tcBorders>
            <w:shd w:val="clear" w:color="auto" w:fill="ECEBEB"/>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0956FF"/>
            </w:tcBorders>
            <w:shd w:val="clear" w:color="auto" w:fill="ECEBEB"/>
          </w:tcPr>
          <w:p>
            <w:pPr>
              <w:spacing w:after="0"/>
              <w:rPr>
                <w:sz w:val="23"/>
                <w:szCs w:val="23"/>
                <w:color w:val="auto"/>
              </w:rPr>
            </w:pPr>
          </w:p>
        </w:tc>
        <w:tc>
          <w:tcPr>
            <w:tcW w:w="600" w:type="dxa"/>
            <w:vAlign w:val="bottom"/>
            <w:tcBorders>
              <w:bottom w:val="single" w:sz="8" w:color="0956FF"/>
            </w:tcBorders>
            <w:shd w:val="clear" w:color="auto" w:fill="ECEBEB"/>
          </w:tcPr>
          <w:p>
            <w:pPr>
              <w:jc w:val="right"/>
              <w:ind w:right="60"/>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0956FF"/>
            </w:tcBorders>
            <w:shd w:val="clear" w:color="auto" w:fill="ECEBEB"/>
          </w:tcPr>
          <w:p>
            <w:pPr>
              <w:spacing w:after="0"/>
              <w:rPr>
                <w:sz w:val="23"/>
                <w:szCs w:val="23"/>
                <w:color w:val="auto"/>
              </w:rPr>
            </w:pPr>
          </w:p>
        </w:tc>
        <w:tc>
          <w:tcPr>
            <w:tcW w:w="620" w:type="dxa"/>
            <w:vAlign w:val="bottom"/>
            <w:tcBorders>
              <w:bottom w:val="single" w:sz="8" w:color="0956FF"/>
            </w:tcBorders>
            <w:shd w:val="clear" w:color="auto" w:fill="ECEBEB"/>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0956FF"/>
            </w:tcBorders>
            <w:shd w:val="clear" w:color="auto" w:fill="ECEBEB"/>
          </w:tcPr>
          <w:p>
            <w:pPr>
              <w:spacing w:after="0"/>
              <w:rPr>
                <w:sz w:val="23"/>
                <w:szCs w:val="23"/>
                <w:color w:val="auto"/>
              </w:rPr>
            </w:pPr>
          </w:p>
        </w:tc>
        <w:tc>
          <w:tcPr>
            <w:tcW w:w="58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Total</w:t>
            </w: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Net Sales and Revenue</w:t>
            </w:r>
          </w:p>
        </w:tc>
        <w:tc>
          <w:tcPr>
            <w:tcW w:w="660" w:type="dxa"/>
            <w:vAlign w:val="bottom"/>
            <w:tcBorders>
              <w:bottom w:val="single" w:sz="8" w:color="D8D7D7"/>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b w:val="1"/>
                <w:bCs w:val="1"/>
                <w:color w:val="auto"/>
              </w:rPr>
              <w:t>171.8</w:t>
            </w:r>
          </w:p>
        </w:tc>
        <w:tc>
          <w:tcPr>
            <w:tcW w:w="1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b w:val="1"/>
                <w:bCs w:val="1"/>
                <w:color w:val="auto"/>
              </w:rPr>
              <w:t>187.4</w:t>
            </w:r>
          </w:p>
        </w:tc>
        <w:tc>
          <w:tcPr>
            <w:tcW w:w="20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b w:val="1"/>
                <w:bCs w:val="1"/>
                <w:color w:val="auto"/>
              </w:rPr>
              <w:t>185.0</w:t>
            </w:r>
          </w:p>
        </w:tc>
        <w:tc>
          <w:tcPr>
            <w:tcW w:w="1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D8D7D7"/>
            </w:tcBorders>
          </w:tcPr>
          <w:p>
            <w:pPr>
              <w:jc w:val="right"/>
              <w:ind w:right="39"/>
              <w:spacing w:after="0"/>
              <w:rPr>
                <w:sz w:val="20"/>
                <w:szCs w:val="20"/>
                <w:color w:val="auto"/>
              </w:rPr>
            </w:pPr>
            <w:r>
              <w:rPr>
                <w:rFonts w:ascii="Arial" w:cs="Arial" w:eastAsia="Arial" w:hAnsi="Arial"/>
                <w:sz w:val="16"/>
                <w:szCs w:val="16"/>
                <w:b w:val="1"/>
                <w:bCs w:val="1"/>
                <w:color w:val="auto"/>
              </w:rPr>
              <w:t>544.3</w:t>
            </w: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Net Income Attributable to Stockholders</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b w:val="1"/>
                <w:bCs w:val="1"/>
                <w:color w:val="auto"/>
              </w:rPr>
              <w:t>10.1</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b w:val="1"/>
                <w:bCs w:val="1"/>
                <w:color w:val="auto"/>
              </w:rPr>
              <w:t>6.0</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b w:val="1"/>
                <w:bCs w:val="1"/>
                <w:color w:val="auto"/>
              </w:rPr>
              <w:t>2.7</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18.8</w:t>
            </w: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Income Tax Expense</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0.3</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ind w:right="19"/>
              <w:spacing w:after="0"/>
              <w:rPr>
                <w:sz w:val="20"/>
                <w:szCs w:val="20"/>
                <w:color w:val="auto"/>
              </w:rPr>
            </w:pPr>
            <w:r>
              <w:rPr>
                <w:rFonts w:ascii="Arial" w:cs="Arial" w:eastAsia="Arial" w:hAnsi="Arial"/>
                <w:sz w:val="16"/>
                <w:szCs w:val="16"/>
                <w:b w:val="1"/>
                <w:bCs w:val="1"/>
                <w:color w:val="auto"/>
              </w:rPr>
              <w:t>3.5</w:t>
            </w: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Automotive Interest Expense</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0.8</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ind w:right="19"/>
              <w:spacing w:after="0"/>
              <w:rPr>
                <w:sz w:val="20"/>
                <w:szCs w:val="20"/>
                <w:color w:val="auto"/>
              </w:rPr>
            </w:pPr>
            <w:r>
              <w:rPr>
                <w:rFonts w:ascii="Arial" w:cs="Arial" w:eastAsia="Arial" w:hAnsi="Arial"/>
                <w:sz w:val="16"/>
                <w:szCs w:val="16"/>
                <w:b w:val="1"/>
                <w:bCs w:val="1"/>
                <w:color w:val="auto"/>
              </w:rPr>
              <w:t>2.5</w:t>
            </w: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Automotive Interest Income</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(2.9)</w:t>
            </w:r>
          </w:p>
        </w:tc>
      </w:tr>
      <w:tr>
        <w:trPr>
          <w:trHeight w:val="249"/>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Adjustments:</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spacing w:after="0"/>
              <w:rPr>
                <w:sz w:val="21"/>
                <w:szCs w:val="21"/>
                <w:color w:val="auto"/>
              </w:rPr>
            </w:pP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spacing w:after="0"/>
              <w:rPr>
                <w:sz w:val="21"/>
                <w:szCs w:val="21"/>
                <w:color w:val="auto"/>
              </w:rPr>
            </w:pP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spacing w:after="0"/>
              <w:rPr>
                <w:sz w:val="21"/>
                <w:szCs w:val="21"/>
                <w:color w:val="auto"/>
              </w:rPr>
            </w:pP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spacing w:after="0"/>
              <w:rPr>
                <w:sz w:val="21"/>
                <w:szCs w:val="21"/>
                <w:color w:val="auto"/>
              </w:rPr>
            </w:pPr>
          </w:p>
        </w:tc>
      </w:tr>
      <w:tr>
        <w:trPr>
          <w:trHeight w:val="251"/>
        </w:trPr>
        <w:tc>
          <w:tcPr>
            <w:tcW w:w="552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EV strategic realignment </w:t>
            </w:r>
            <w:r>
              <w:rPr>
                <w:rFonts w:ascii="Arial" w:cs="Arial" w:eastAsia="Arial" w:hAnsi="Arial"/>
                <w:sz w:val="21"/>
                <w:szCs w:val="21"/>
                <w:color w:val="auto"/>
                <w:vertAlign w:val="superscript"/>
              </w:rPr>
              <w:t>(1)</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7.9</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7.9</w:t>
            </w:r>
          </w:p>
        </w:tc>
      </w:tr>
      <w:tr>
        <w:trPr>
          <w:trHeight w:val="250"/>
        </w:trPr>
        <w:tc>
          <w:tcPr>
            <w:tcW w:w="552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China restructuring actions </w:t>
            </w:r>
            <w:r>
              <w:rPr>
                <w:rFonts w:ascii="Arial" w:cs="Arial" w:eastAsia="Arial" w:hAnsi="Arial"/>
                <w:sz w:val="21"/>
                <w:szCs w:val="21"/>
                <w:color w:val="auto"/>
                <w:vertAlign w:val="superscript"/>
              </w:rPr>
              <w:t>(2)</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4.0</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0.8</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ind w:right="19"/>
              <w:spacing w:after="0"/>
              <w:rPr>
                <w:sz w:val="20"/>
                <w:szCs w:val="20"/>
                <w:color w:val="auto"/>
              </w:rPr>
            </w:pPr>
            <w:r>
              <w:rPr>
                <w:rFonts w:ascii="Arial" w:cs="Arial" w:eastAsia="Arial" w:hAnsi="Arial"/>
                <w:sz w:val="16"/>
                <w:szCs w:val="16"/>
                <w:b w:val="1"/>
                <w:bCs w:val="1"/>
                <w:color w:val="auto"/>
              </w:rPr>
              <w:t>4.9</w:t>
            </w:r>
          </w:p>
        </w:tc>
      </w:tr>
      <w:tr>
        <w:trPr>
          <w:trHeight w:val="250"/>
        </w:trPr>
        <w:tc>
          <w:tcPr>
            <w:tcW w:w="552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Legal matters </w:t>
            </w:r>
            <w:r>
              <w:rPr>
                <w:rFonts w:ascii="Arial" w:cs="Arial" w:eastAsia="Arial" w:hAnsi="Arial"/>
                <w:sz w:val="21"/>
                <w:szCs w:val="21"/>
                <w:color w:val="auto"/>
                <w:vertAlign w:val="superscript"/>
              </w:rPr>
              <w:t>(3)</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0.7</w:t>
            </w:r>
          </w:p>
        </w:tc>
      </w:tr>
      <w:tr>
        <w:trPr>
          <w:trHeight w:val="250"/>
        </w:trPr>
        <w:tc>
          <w:tcPr>
            <w:tcW w:w="552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Cruise restructuring </w:t>
            </w:r>
            <w:r>
              <w:rPr>
                <w:rFonts w:ascii="Arial" w:cs="Arial" w:eastAsia="Arial" w:hAnsi="Arial"/>
                <w:sz w:val="21"/>
                <w:szCs w:val="21"/>
                <w:color w:val="auto"/>
                <w:vertAlign w:val="superscript"/>
              </w:rPr>
              <w:t>(4)</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0.2</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1.8</w:t>
            </w:r>
          </w:p>
        </w:tc>
      </w:tr>
      <w:tr>
        <w:trPr>
          <w:trHeight w:val="250"/>
        </w:trPr>
        <w:tc>
          <w:tcPr>
            <w:tcW w:w="552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Separation costs </w:t>
            </w:r>
            <w:r>
              <w:rPr>
                <w:rFonts w:ascii="Arial" w:cs="Arial" w:eastAsia="Arial" w:hAnsi="Arial"/>
                <w:sz w:val="21"/>
                <w:szCs w:val="21"/>
                <w:color w:val="auto"/>
                <w:vertAlign w:val="superscript"/>
              </w:rPr>
              <w:t>(5)</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1.3</w:t>
            </w:r>
          </w:p>
        </w:tc>
      </w:tr>
      <w:tr>
        <w:trPr>
          <w:trHeight w:val="250"/>
        </w:trPr>
        <w:tc>
          <w:tcPr>
            <w:tcW w:w="552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GMI exit costs</w:t>
            </w:r>
            <w:r>
              <w:rPr>
                <w:rFonts w:ascii="Arial" w:cs="Arial" w:eastAsia="Arial" w:hAnsi="Arial"/>
                <w:sz w:val="21"/>
                <w:szCs w:val="21"/>
                <w:color w:val="auto"/>
                <w:vertAlign w:val="superscript"/>
              </w:rPr>
              <w:t>(6)</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0.1</w:t>
            </w:r>
          </w:p>
        </w:tc>
      </w:tr>
      <w:tr>
        <w:trPr>
          <w:trHeight w:val="250"/>
        </w:trPr>
        <w:tc>
          <w:tcPr>
            <w:tcW w:w="552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Headquarters relocation </w:t>
            </w:r>
            <w:r>
              <w:rPr>
                <w:rFonts w:ascii="Arial" w:cs="Arial" w:eastAsia="Arial" w:hAnsi="Arial"/>
                <w:sz w:val="21"/>
                <w:szCs w:val="21"/>
                <w:color w:val="auto"/>
                <w:vertAlign w:val="superscript"/>
              </w:rPr>
              <w:t>(7)</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0.1</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0.1</w:t>
            </w:r>
          </w:p>
        </w:tc>
      </w:tr>
      <w:tr>
        <w:trPr>
          <w:trHeight w:val="250"/>
        </w:trPr>
        <w:tc>
          <w:tcPr>
            <w:tcW w:w="552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Buick dealer strategy </w:t>
            </w:r>
            <w:r>
              <w:rPr>
                <w:rFonts w:ascii="Arial" w:cs="Arial" w:eastAsia="Arial" w:hAnsi="Arial"/>
                <w:sz w:val="21"/>
                <w:szCs w:val="21"/>
                <w:color w:val="auto"/>
                <w:vertAlign w:val="superscript"/>
              </w:rPr>
              <w:t>(8)</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80"/>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1.5</w:t>
            </w:r>
          </w:p>
        </w:tc>
      </w:tr>
      <w:tr>
        <w:trPr>
          <w:trHeight w:val="250"/>
        </w:trPr>
        <w:tc>
          <w:tcPr>
            <w:tcW w:w="552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GM Korea wage litigation </w:t>
            </w:r>
            <w:r>
              <w:rPr>
                <w:rFonts w:ascii="Arial" w:cs="Arial" w:eastAsia="Arial" w:hAnsi="Arial"/>
                <w:sz w:val="21"/>
                <w:szCs w:val="21"/>
                <w:color w:val="auto"/>
                <w:vertAlign w:val="superscript"/>
              </w:rPr>
              <w:t>(9)</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(0.1)</w:t>
            </w: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Total Adjustments</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color w:val="auto"/>
              </w:rPr>
              <w:t>6.5</w:t>
            </w: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9.8</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18.2</w:t>
            </w: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EBIT-adjusted</w:t>
            </w:r>
          </w:p>
        </w:tc>
        <w:tc>
          <w:tcPr>
            <w:tcW w:w="660" w:type="dxa"/>
            <w:vAlign w:val="bottom"/>
            <w:tcBorders>
              <w:bottom w:val="single" w:sz="8" w:color="D8D7D7"/>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b w:val="1"/>
                <w:bCs w:val="1"/>
                <w:color w:val="auto"/>
              </w:rPr>
              <w:t>12.4</w:t>
            </w:r>
          </w:p>
        </w:tc>
        <w:tc>
          <w:tcPr>
            <w:tcW w:w="1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b w:val="1"/>
                <w:bCs w:val="1"/>
                <w:color w:val="auto"/>
              </w:rPr>
              <w:t>14.9</w:t>
            </w:r>
          </w:p>
        </w:tc>
        <w:tc>
          <w:tcPr>
            <w:tcW w:w="20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b w:val="1"/>
                <w:bCs w:val="1"/>
                <w:color w:val="auto"/>
              </w:rPr>
              <w:t>12.7</w:t>
            </w:r>
          </w:p>
        </w:tc>
        <w:tc>
          <w:tcPr>
            <w:tcW w:w="1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D8D7D7"/>
            </w:tcBorders>
          </w:tcPr>
          <w:p>
            <w:pPr>
              <w:jc w:val="right"/>
              <w:ind w:right="39"/>
              <w:spacing w:after="0"/>
              <w:rPr>
                <w:sz w:val="20"/>
                <w:szCs w:val="20"/>
                <w:color w:val="auto"/>
              </w:rPr>
            </w:pPr>
            <w:r>
              <w:rPr>
                <w:rFonts w:ascii="Arial" w:cs="Arial" w:eastAsia="Arial" w:hAnsi="Arial"/>
                <w:sz w:val="16"/>
                <w:szCs w:val="16"/>
                <w:b w:val="1"/>
                <w:bCs w:val="1"/>
                <w:color w:val="auto"/>
              </w:rPr>
              <w:t>40.0</w:t>
            </w: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EBIT-adjusted margin</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spacing w:after="0"/>
              <w:rPr>
                <w:sz w:val="21"/>
                <w:szCs w:val="21"/>
                <w:color w:val="auto"/>
              </w:rPr>
            </w:pP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spacing w:after="0"/>
              <w:rPr>
                <w:sz w:val="21"/>
                <w:szCs w:val="21"/>
                <w:color w:val="auto"/>
              </w:rPr>
            </w:pP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jc w:val="right"/>
              <w:ind w:right="40"/>
              <w:spacing w:after="0"/>
              <w:rPr>
                <w:sz w:val="20"/>
                <w:szCs w:val="20"/>
                <w:color w:val="auto"/>
              </w:rPr>
            </w:pPr>
            <w:r>
              <w:rPr>
                <w:rFonts w:ascii="Arial" w:cs="Arial" w:eastAsia="Arial" w:hAnsi="Arial"/>
                <w:sz w:val="16"/>
                <w:szCs w:val="16"/>
                <w:b w:val="1"/>
                <w:bCs w:val="1"/>
                <w:color w:val="auto"/>
              </w:rPr>
              <w:t>6.9%</w:t>
            </w:r>
          </w:p>
        </w:tc>
        <w:tc>
          <w:tcPr>
            <w:tcW w:w="180" w:type="dxa"/>
            <w:vAlign w:val="bottom"/>
            <w:tcBorders>
              <w:bottom w:val="single" w:sz="8" w:color="D8D7D7"/>
            </w:tcBorders>
          </w:tcPr>
          <w:p>
            <w:pPr>
              <w:spacing w:after="0"/>
              <w:rPr>
                <w:sz w:val="21"/>
                <w:szCs w:val="21"/>
                <w:color w:val="auto"/>
              </w:rPr>
            </w:pPr>
          </w:p>
        </w:tc>
        <w:tc>
          <w:tcPr>
            <w:tcW w:w="580" w:type="dxa"/>
            <w:vAlign w:val="bottom"/>
            <w:tcBorders>
              <w:bottom w:val="single" w:sz="8" w:color="D8D7D7"/>
            </w:tcBorders>
          </w:tcPr>
          <w:p>
            <w:pPr>
              <w:spacing w:after="0"/>
              <w:rPr>
                <w:sz w:val="21"/>
                <w:szCs w:val="21"/>
                <w:color w:val="auto"/>
              </w:rPr>
            </w:pP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Incentive Compensation Adjustments for 2023-2025 LTIP Result  </w:t>
            </w:r>
            <w:r>
              <w:rPr>
                <w:rFonts w:ascii="Arial" w:cs="Arial" w:eastAsia="Arial" w:hAnsi="Arial"/>
                <w:sz w:val="21"/>
                <w:szCs w:val="21"/>
                <w:color w:val="auto"/>
                <w:vertAlign w:val="superscript"/>
              </w:rPr>
              <w:t>(10)</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spacing w:after="0"/>
              <w:rPr>
                <w:sz w:val="21"/>
                <w:szCs w:val="21"/>
                <w:color w:val="auto"/>
              </w:rPr>
            </w:pP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spacing w:after="0"/>
              <w:rPr>
                <w:sz w:val="21"/>
                <w:szCs w:val="21"/>
                <w:color w:val="auto"/>
              </w:rPr>
            </w:pP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spacing w:after="0"/>
              <w:rPr>
                <w:sz w:val="21"/>
                <w:szCs w:val="21"/>
                <w:color w:val="auto"/>
              </w:rPr>
            </w:pPr>
          </w:p>
        </w:tc>
        <w:tc>
          <w:tcPr>
            <w:tcW w:w="18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8D7D7"/>
            </w:tcBorders>
          </w:tcPr>
          <w:p>
            <w:pPr>
              <w:jc w:val="right"/>
              <w:ind w:right="19"/>
              <w:spacing w:after="0"/>
              <w:rPr>
                <w:sz w:val="20"/>
                <w:szCs w:val="20"/>
                <w:color w:val="auto"/>
              </w:rPr>
            </w:pPr>
            <w:r>
              <w:rPr>
                <w:rFonts w:ascii="Arial" w:cs="Arial" w:eastAsia="Arial" w:hAnsi="Arial"/>
                <w:sz w:val="16"/>
                <w:szCs w:val="16"/>
                <w:color w:val="auto"/>
              </w:rPr>
              <w:t>0.5</w:t>
            </w:r>
          </w:p>
        </w:tc>
      </w:tr>
      <w:tr>
        <w:trPr>
          <w:trHeight w:val="250"/>
        </w:trPr>
        <w:tc>
          <w:tcPr>
            <w:tcW w:w="552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EBIT-adjusted for 2023-2025 LTIP Result</w:t>
            </w:r>
          </w:p>
        </w:tc>
        <w:tc>
          <w:tcPr>
            <w:tcW w:w="66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spacing w:after="0"/>
              <w:rPr>
                <w:sz w:val="21"/>
                <w:szCs w:val="21"/>
                <w:color w:val="auto"/>
              </w:rPr>
            </w:pPr>
          </w:p>
        </w:tc>
        <w:tc>
          <w:tcPr>
            <w:tcW w:w="18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spacing w:after="0"/>
              <w:rPr>
                <w:sz w:val="21"/>
                <w:szCs w:val="21"/>
                <w:color w:val="auto"/>
              </w:rPr>
            </w:pPr>
          </w:p>
        </w:tc>
        <w:tc>
          <w:tcPr>
            <w:tcW w:w="200" w:type="dxa"/>
            <w:vAlign w:val="bottom"/>
            <w:tcBorders>
              <w:bottom w:val="single" w:sz="8" w:color="D8D7D7"/>
            </w:tcBorders>
          </w:tcPr>
          <w:p>
            <w:pPr>
              <w:spacing w:after="0"/>
              <w:rPr>
                <w:sz w:val="21"/>
                <w:szCs w:val="21"/>
                <w:color w:val="auto"/>
              </w:rPr>
            </w:pPr>
          </w:p>
        </w:tc>
        <w:tc>
          <w:tcPr>
            <w:tcW w:w="620" w:type="dxa"/>
            <w:vAlign w:val="bottom"/>
            <w:tcBorders>
              <w:bottom w:val="single" w:sz="8" w:color="D8D7D7"/>
            </w:tcBorders>
          </w:tcPr>
          <w:p>
            <w:pPr>
              <w:spacing w:after="0"/>
              <w:rPr>
                <w:sz w:val="21"/>
                <w:szCs w:val="21"/>
                <w:color w:val="auto"/>
              </w:rPr>
            </w:pPr>
          </w:p>
        </w:tc>
        <w:tc>
          <w:tcPr>
            <w:tcW w:w="18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D8D7D7"/>
            </w:tcBorders>
          </w:tcPr>
          <w:p>
            <w:pPr>
              <w:jc w:val="right"/>
              <w:ind w:right="39"/>
              <w:spacing w:after="0"/>
              <w:rPr>
                <w:sz w:val="20"/>
                <w:szCs w:val="20"/>
                <w:color w:val="auto"/>
              </w:rPr>
            </w:pPr>
            <w:r>
              <w:rPr>
                <w:rFonts w:ascii="Arial" w:cs="Arial" w:eastAsia="Arial" w:hAnsi="Arial"/>
                <w:sz w:val="16"/>
                <w:szCs w:val="16"/>
                <w:b w:val="1"/>
                <w:bCs w:val="1"/>
                <w:color w:val="auto"/>
              </w:rPr>
              <w:t>40.5</w:t>
            </w:r>
          </w:p>
        </w:tc>
      </w:tr>
      <w:tr>
        <w:trPr>
          <w:trHeight w:val="250"/>
        </w:trPr>
        <w:tc>
          <w:tcPr>
            <w:tcW w:w="552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auto"/>
              </w:rPr>
              <w:t>EBIT-adjusted Margin for 2023-2025 LTIP Result</w:t>
            </w:r>
          </w:p>
        </w:tc>
        <w:tc>
          <w:tcPr>
            <w:tcW w:w="660" w:type="dxa"/>
            <w:vAlign w:val="bottom"/>
            <w:tcBorders>
              <w:bottom w:val="single" w:sz="8" w:color="0956FF"/>
            </w:tcBorders>
          </w:tcPr>
          <w:p>
            <w:pPr>
              <w:spacing w:after="0"/>
              <w:rPr>
                <w:sz w:val="21"/>
                <w:szCs w:val="21"/>
                <w:color w:val="auto"/>
              </w:rPr>
            </w:pPr>
          </w:p>
        </w:tc>
        <w:tc>
          <w:tcPr>
            <w:tcW w:w="600" w:type="dxa"/>
            <w:vAlign w:val="bottom"/>
            <w:tcBorders>
              <w:bottom w:val="single" w:sz="8" w:color="0956FF"/>
            </w:tcBorders>
          </w:tcPr>
          <w:p>
            <w:pPr>
              <w:spacing w:after="0"/>
              <w:rPr>
                <w:sz w:val="21"/>
                <w:szCs w:val="21"/>
                <w:color w:val="auto"/>
              </w:rPr>
            </w:pPr>
          </w:p>
        </w:tc>
        <w:tc>
          <w:tcPr>
            <w:tcW w:w="180" w:type="dxa"/>
            <w:vAlign w:val="bottom"/>
            <w:tcBorders>
              <w:bottom w:val="single" w:sz="8" w:color="0956FF"/>
            </w:tcBorders>
          </w:tcPr>
          <w:p>
            <w:pPr>
              <w:spacing w:after="0"/>
              <w:rPr>
                <w:sz w:val="21"/>
                <w:szCs w:val="21"/>
                <w:color w:val="auto"/>
              </w:rPr>
            </w:pPr>
          </w:p>
        </w:tc>
        <w:tc>
          <w:tcPr>
            <w:tcW w:w="600" w:type="dxa"/>
            <w:vAlign w:val="bottom"/>
            <w:tcBorders>
              <w:bottom w:val="single" w:sz="8" w:color="0956FF"/>
            </w:tcBorders>
          </w:tcPr>
          <w:p>
            <w:pPr>
              <w:spacing w:after="0"/>
              <w:rPr>
                <w:sz w:val="21"/>
                <w:szCs w:val="21"/>
                <w:color w:val="auto"/>
              </w:rPr>
            </w:pPr>
          </w:p>
        </w:tc>
        <w:tc>
          <w:tcPr>
            <w:tcW w:w="200" w:type="dxa"/>
            <w:vAlign w:val="bottom"/>
            <w:tcBorders>
              <w:bottom w:val="single" w:sz="8" w:color="0956FF"/>
            </w:tcBorders>
          </w:tcPr>
          <w:p>
            <w:pPr>
              <w:spacing w:after="0"/>
              <w:rPr>
                <w:sz w:val="21"/>
                <w:szCs w:val="21"/>
                <w:color w:val="auto"/>
              </w:rPr>
            </w:pPr>
          </w:p>
        </w:tc>
        <w:tc>
          <w:tcPr>
            <w:tcW w:w="620" w:type="dxa"/>
            <w:vAlign w:val="bottom"/>
            <w:tcBorders>
              <w:bottom w:val="single" w:sz="8" w:color="0956FF"/>
            </w:tcBorders>
          </w:tcPr>
          <w:p>
            <w:pPr>
              <w:spacing w:after="0"/>
              <w:rPr>
                <w:sz w:val="21"/>
                <w:szCs w:val="21"/>
                <w:color w:val="auto"/>
              </w:rPr>
            </w:pPr>
          </w:p>
        </w:tc>
        <w:tc>
          <w:tcPr>
            <w:tcW w:w="180" w:type="dxa"/>
            <w:vAlign w:val="bottom"/>
            <w:tcBorders>
              <w:bottom w:val="single" w:sz="8" w:color="0956FF"/>
            </w:tcBorders>
          </w:tcPr>
          <w:p>
            <w:pPr>
              <w:spacing w:after="0"/>
              <w:rPr>
                <w:sz w:val="21"/>
                <w:szCs w:val="21"/>
                <w:color w:val="auto"/>
              </w:rPr>
            </w:pPr>
          </w:p>
        </w:tc>
        <w:tc>
          <w:tcPr>
            <w:tcW w:w="580" w:type="dxa"/>
            <w:vAlign w:val="bottom"/>
            <w:tcBorders>
              <w:bottom w:val="single" w:sz="8" w:color="0956FF"/>
            </w:tcBorders>
          </w:tcPr>
          <w:p>
            <w:pPr>
              <w:jc w:val="right"/>
              <w:spacing w:after="0"/>
              <w:rPr>
                <w:sz w:val="20"/>
                <w:szCs w:val="20"/>
                <w:color w:val="auto"/>
              </w:rPr>
            </w:pPr>
            <w:r>
              <w:rPr>
                <w:rFonts w:ascii="Arial" w:cs="Arial" w:eastAsia="Arial" w:hAnsi="Arial"/>
                <w:sz w:val="16"/>
                <w:szCs w:val="16"/>
                <w:b w:val="1"/>
                <w:bCs w:val="1"/>
                <w:color w:val="auto"/>
              </w:rPr>
              <w:t>7.4%</w:t>
            </w:r>
          </w:p>
        </w:tc>
      </w:tr>
    </w:tbl>
    <w:p>
      <w:pPr>
        <w:spacing w:after="0" w:line="200" w:lineRule="exact"/>
        <w:rPr>
          <w:sz w:val="20"/>
          <w:szCs w:val="20"/>
          <w:color w:val="auto"/>
        </w:rPr>
      </w:pPr>
    </w:p>
    <w:p>
      <w:pPr>
        <w:sectPr>
          <w:pgSz w:w="11900" w:h="16838" w:orient="portrait"/>
          <w:cols w:equalWidth="0" w:num="1">
            <w:col w:w="9140"/>
          </w:cols>
          <w:pgMar w:left="1400" w:top="133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020"/>
        <w:spacing w:after="0"/>
        <w:tabs>
          <w:tab w:leader="none" w:pos="878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3D3935"/>
        </w:rPr>
        <w:t>A-1</w:t>
      </w:r>
    </w:p>
    <w:p>
      <w:pPr>
        <w:sectPr>
          <w:pgSz w:w="11900" w:h="16838" w:orient="portrait"/>
          <w:cols w:equalWidth="0" w:num="1">
            <w:col w:w="9140"/>
          </w:cols>
          <w:pgMar w:left="1400" w:top="1339" w:right="135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Appendix A:  </w:t>
      </w:r>
      <w:r>
        <w:rPr>
          <w:rFonts w:ascii="Arial" w:cs="Arial" w:eastAsia="Arial" w:hAnsi="Arial"/>
          <w:sz w:val="14"/>
          <w:szCs w:val="14"/>
          <w:b w:val="1"/>
          <w:bCs w:val="1"/>
          <w:color w:val="000000"/>
        </w:rPr>
        <w:t>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2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($B)</w:t>
            </w:r>
          </w:p>
        </w:tc>
        <w:tc>
          <w:tcPr>
            <w:tcW w:w="1440" w:type="dxa"/>
            <w:vAlign w:val="bottom"/>
            <w:tcBorders>
              <w:bottom w:val="single" w:sz="8" w:color="0956FF"/>
            </w:tcBorders>
            <w:shd w:val="clear" w:color="auto" w:fill="ECEBEB"/>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0956FF"/>
            </w:tcBorders>
            <w:shd w:val="clear" w:color="auto" w:fill="ECEBEB"/>
          </w:tcPr>
          <w:p>
            <w:pPr>
              <w:jc w:val="right"/>
              <w:ind w:right="322"/>
              <w:spacing w:after="0"/>
              <w:rPr>
                <w:sz w:val="20"/>
                <w:szCs w:val="20"/>
                <w:color w:val="auto"/>
              </w:rPr>
            </w:pPr>
            <w:r>
              <w:rPr>
                <w:rFonts w:ascii="Arial" w:cs="Arial" w:eastAsia="Arial" w:hAnsi="Arial"/>
                <w:sz w:val="14"/>
                <w:szCs w:val="14"/>
                <w:b w:val="1"/>
                <w:bCs w:val="1"/>
                <w:color w:val="auto"/>
              </w:rPr>
              <w:t>2024</w:t>
            </w:r>
          </w:p>
        </w:tc>
        <w:tc>
          <w:tcPr>
            <w:tcW w:w="680" w:type="dxa"/>
            <w:vAlign w:val="bottom"/>
            <w:tcBorders>
              <w:bottom w:val="single" w:sz="8" w:color="0956FF"/>
            </w:tcBorders>
            <w:shd w:val="clear" w:color="auto" w:fill="ECEBEB"/>
          </w:tcPr>
          <w:p>
            <w:pPr>
              <w:jc w:val="right"/>
              <w:ind w:right="182"/>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0956FF"/>
            </w:tcBorders>
            <w:shd w:val="clear" w:color="auto" w:fill="ECEBEB"/>
          </w:tcPr>
          <w:p>
            <w:pPr>
              <w:ind w:left="240"/>
              <w:spacing w:after="0"/>
              <w:rPr>
                <w:sz w:val="20"/>
                <w:szCs w:val="20"/>
                <w:color w:val="auto"/>
              </w:rPr>
            </w:pPr>
            <w:r>
              <w:rPr>
                <w:rFonts w:ascii="Arial" w:cs="Arial" w:eastAsia="Arial" w:hAnsi="Arial"/>
                <w:sz w:val="14"/>
                <w:szCs w:val="14"/>
                <w:b w:val="1"/>
                <w:bCs w:val="1"/>
                <w:color w:val="auto"/>
              </w:rPr>
              <w:t>Total</w:t>
            </w:r>
          </w:p>
        </w:tc>
      </w:tr>
      <w:tr>
        <w:trPr>
          <w:trHeight w:val="250"/>
        </w:trPr>
        <w:tc>
          <w:tcPr>
            <w:tcW w:w="542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Incentive Compensation Adjustments for 2025 STIP Result </w:t>
            </w:r>
            <w:r>
              <w:rPr>
                <w:rFonts w:ascii="Arial" w:cs="Arial" w:eastAsia="Arial" w:hAnsi="Arial"/>
                <w:sz w:val="21"/>
                <w:szCs w:val="21"/>
                <w:color w:val="auto"/>
                <w:vertAlign w:val="superscript"/>
              </w:rPr>
              <w:t>(11)</w:t>
            </w:r>
          </w:p>
        </w:tc>
        <w:tc>
          <w:tcPr>
            <w:tcW w:w="1440" w:type="dxa"/>
            <w:vAlign w:val="bottom"/>
            <w:tcBorders>
              <w:bottom w:val="single" w:sz="8" w:color="D8D7D7"/>
            </w:tcBorders>
          </w:tcPr>
          <w:p>
            <w:pPr>
              <w:spacing w:after="0"/>
              <w:rPr>
                <w:sz w:val="21"/>
                <w:szCs w:val="21"/>
                <w:color w:val="auto"/>
              </w:rPr>
            </w:pPr>
          </w:p>
        </w:tc>
        <w:tc>
          <w:tcPr>
            <w:tcW w:w="960" w:type="dxa"/>
            <w:vAlign w:val="bottom"/>
            <w:tcBorders>
              <w:bottom w:val="single" w:sz="8" w:color="D8D7D7"/>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D8D7D7"/>
            </w:tcBorders>
          </w:tcPr>
          <w:p>
            <w:pPr>
              <w:jc w:val="right"/>
              <w:ind w:right="182"/>
              <w:spacing w:after="0"/>
              <w:rPr>
                <w:sz w:val="20"/>
                <w:szCs w:val="20"/>
                <w:color w:val="auto"/>
              </w:rPr>
            </w:pPr>
            <w:r>
              <w:rPr>
                <w:rFonts w:ascii="Arial" w:cs="Arial" w:eastAsia="Arial" w:hAnsi="Arial"/>
                <w:sz w:val="16"/>
                <w:szCs w:val="16"/>
                <w:b w:val="1"/>
                <w:bCs w:val="1"/>
                <w:color w:val="auto"/>
              </w:rPr>
              <w:t>2.3</w:t>
            </w:r>
          </w:p>
        </w:tc>
        <w:tc>
          <w:tcPr>
            <w:tcW w:w="640" w:type="dxa"/>
            <w:vAlign w:val="bottom"/>
            <w:tcBorders>
              <w:bottom w:val="single" w:sz="8" w:color="D8D7D7"/>
            </w:tcBorders>
          </w:tcPr>
          <w:p>
            <w:pPr>
              <w:spacing w:after="0"/>
              <w:rPr>
                <w:sz w:val="21"/>
                <w:szCs w:val="21"/>
                <w:color w:val="auto"/>
              </w:rPr>
            </w:pPr>
          </w:p>
        </w:tc>
      </w:tr>
      <w:tr>
        <w:trPr>
          <w:trHeight w:val="250"/>
        </w:trPr>
        <w:tc>
          <w:tcPr>
            <w:tcW w:w="542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auto"/>
              </w:rPr>
              <w:t>2025 EBIT-adjusted for 2025 STIP Result</w:t>
            </w:r>
          </w:p>
        </w:tc>
        <w:tc>
          <w:tcPr>
            <w:tcW w:w="1440" w:type="dxa"/>
            <w:vAlign w:val="bottom"/>
            <w:tcBorders>
              <w:bottom w:val="single" w:sz="8" w:color="0956FF"/>
            </w:tcBorders>
          </w:tcPr>
          <w:p>
            <w:pPr>
              <w:spacing w:after="0"/>
              <w:rPr>
                <w:sz w:val="21"/>
                <w:szCs w:val="21"/>
                <w:color w:val="auto"/>
              </w:rPr>
            </w:pPr>
          </w:p>
        </w:tc>
        <w:tc>
          <w:tcPr>
            <w:tcW w:w="960" w:type="dxa"/>
            <w:vAlign w:val="bottom"/>
            <w:tcBorders>
              <w:bottom w:val="single" w:sz="8" w:color="0956FF"/>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0956FF"/>
            </w:tcBorders>
          </w:tcPr>
          <w:p>
            <w:pPr>
              <w:jc w:val="right"/>
              <w:ind w:right="162"/>
              <w:spacing w:after="0"/>
              <w:rPr>
                <w:sz w:val="20"/>
                <w:szCs w:val="20"/>
                <w:color w:val="auto"/>
              </w:rPr>
            </w:pPr>
            <w:r>
              <w:rPr>
                <w:rFonts w:ascii="Arial" w:cs="Arial" w:eastAsia="Arial" w:hAnsi="Arial"/>
                <w:sz w:val="16"/>
                <w:szCs w:val="16"/>
                <w:b w:val="1"/>
                <w:bCs w:val="1"/>
                <w:color w:val="auto"/>
              </w:rPr>
              <w:t>15.0</w:t>
            </w:r>
          </w:p>
        </w:tc>
        <w:tc>
          <w:tcPr>
            <w:tcW w:w="640" w:type="dxa"/>
            <w:vAlign w:val="bottom"/>
            <w:tcBorders>
              <w:bottom w:val="single" w:sz="8" w:color="0956FF"/>
            </w:tcBorders>
          </w:tcPr>
          <w:p>
            <w:pPr>
              <w:spacing w:after="0"/>
              <w:rPr>
                <w:sz w:val="21"/>
                <w:szCs w:val="21"/>
                <w:color w:val="auto"/>
              </w:rPr>
            </w:pPr>
          </w:p>
        </w:tc>
      </w:tr>
    </w:tbl>
    <w:p>
      <w:pPr>
        <w:spacing w:after="0" w:line="57" w:lineRule="exact"/>
        <w:rPr>
          <w:sz w:val="20"/>
          <w:szCs w:val="20"/>
          <w:color w:val="auto"/>
        </w:rPr>
      </w:pPr>
    </w:p>
    <w:p>
      <w:pPr>
        <w:ind w:left="200" w:hanging="192"/>
        <w:spacing w:after="0"/>
        <w:tabs>
          <w:tab w:leader="none" w:pos="200" w:val="left"/>
        </w:tabs>
        <w:numPr>
          <w:ilvl w:val="0"/>
          <w:numId w:val="123"/>
        </w:numPr>
        <w:rPr>
          <w:rFonts w:ascii="Arial" w:cs="Arial" w:eastAsia="Arial" w:hAnsi="Arial"/>
          <w:sz w:val="19"/>
          <w:szCs w:val="19"/>
          <w:color w:val="auto"/>
          <w:vertAlign w:val="superscript"/>
        </w:rPr>
      </w:pPr>
      <w:r>
        <w:rPr>
          <w:rFonts w:ascii="Arial" w:cs="Arial" w:eastAsia="Arial" w:hAnsi="Arial"/>
          <w:sz w:val="14"/>
          <w:szCs w:val="14"/>
          <w:color w:val="auto"/>
        </w:rPr>
        <w:t>These adjustments were excluded because they relate to our strategic realignment of our EV capacity and manufacturing footprint.</w:t>
      </w:r>
    </w:p>
    <w:p>
      <w:pPr>
        <w:spacing w:after="0" w:line="26" w:lineRule="exact"/>
        <w:rPr>
          <w:sz w:val="20"/>
          <w:szCs w:val="20"/>
          <w:color w:val="auto"/>
        </w:rPr>
      </w:pPr>
    </w:p>
    <w:p>
      <w:pPr>
        <w:ind w:left="200"/>
        <w:spacing w:after="0"/>
        <w:tabs>
          <w:tab w:leader="none" w:pos="8960" w:val="left"/>
        </w:tabs>
        <w:rPr>
          <w:sz w:val="20"/>
          <w:szCs w:val="20"/>
          <w:color w:val="auto"/>
        </w:rPr>
      </w:pPr>
      <w:r>
        <w:rPr>
          <w:rFonts w:ascii="Arial" w:cs="Arial" w:eastAsia="Arial" w:hAnsi="Arial"/>
          <w:sz w:val="14"/>
          <w:szCs w:val="14"/>
          <w:color w:val="auto"/>
        </w:rPr>
        <w:t>These adjustments include $0.3 billion that was recorded in the three months ended June 30, 2025, associated with Ultium</w:t>
      </w:r>
      <w:r>
        <w:rPr>
          <w:sz w:val="20"/>
          <w:szCs w:val="20"/>
          <w:color w:val="auto"/>
        </w:rPr>
        <w:tab/>
      </w:r>
      <w:r>
        <w:rPr>
          <w:rFonts w:ascii="Arial" w:cs="Arial" w:eastAsia="Arial" w:hAnsi="Arial"/>
          <w:sz w:val="13"/>
          <w:szCs w:val="13"/>
          <w:color w:val="auto"/>
        </w:rPr>
        <w:t>’s</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strategic realignment.</w:t>
      </w:r>
    </w:p>
    <w:p>
      <w:pPr>
        <w:spacing w:after="0" w:line="67" w:lineRule="exact"/>
        <w:rPr>
          <w:sz w:val="20"/>
          <w:szCs w:val="20"/>
          <w:color w:val="auto"/>
        </w:rPr>
      </w:pPr>
    </w:p>
    <w:p>
      <w:pPr>
        <w:ind w:left="200" w:right="460" w:hanging="192"/>
        <w:spacing w:after="0" w:line="257" w:lineRule="auto"/>
        <w:tabs>
          <w:tab w:leader="none" w:pos="20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 (as defined in our Annual Report on Form 10-K for the year ended December 31, 2025).</w:t>
      </w:r>
    </w:p>
    <w:p>
      <w:pPr>
        <w:spacing w:after="0" w:line="42" w:lineRule="exact"/>
        <w:rPr>
          <w:rFonts w:ascii="Arial" w:cs="Arial" w:eastAsia="Arial" w:hAnsi="Arial"/>
          <w:sz w:val="19"/>
          <w:szCs w:val="19"/>
          <w:color w:val="auto"/>
          <w:vertAlign w:val="superscript"/>
        </w:rPr>
      </w:pPr>
    </w:p>
    <w:p>
      <w:pPr>
        <w:ind w:left="200" w:right="460" w:hanging="192"/>
        <w:spacing w:after="0" w:line="239" w:lineRule="auto"/>
        <w:tabs>
          <w:tab w:leader="none" w:pos="20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These adjustments were excluded because they relate to investigations and litigation associated with our former OnStar Smart Driver product and an indemnification charge for a European-wide Takata Corporation ( Takata ) related recall.</w:t>
      </w:r>
    </w:p>
    <w:p>
      <w:pPr>
        <w:spacing w:after="0" w:line="54" w:lineRule="exact"/>
        <w:rPr>
          <w:rFonts w:ascii="Arial" w:cs="Arial" w:eastAsia="Arial" w:hAnsi="Arial"/>
          <w:sz w:val="19"/>
          <w:szCs w:val="19"/>
          <w:color w:val="auto"/>
          <w:vertAlign w:val="superscript"/>
        </w:rPr>
      </w:pPr>
    </w:p>
    <w:p>
      <w:pPr>
        <w:ind w:left="200" w:right="240" w:hanging="192"/>
        <w:spacing w:after="0" w:line="270" w:lineRule="auto"/>
        <w:tabs>
          <w:tab w:leader="none" w:pos="20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These adjustments were excluded because they relate to restructuring charges resulting from the plan to combine the Cruise and GM technical efforts to advance autonomous and assisted driving, the indefinite delay of the Cruise Origin, and the voluntary pausing in 2023 of Cruise ’s driverless, supervised, and manual AV operations in the U.S. The adjustments primarily consist of non-cash restructuring charges, supplier-related charges, and employee separation costs.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vertAlign w:val="superscript"/>
        </w:rPr>
        <w:t>(5)</w:t>
      </w:r>
      <w:r>
        <w:rPr>
          <w:rFonts w:ascii="Arial" w:cs="Arial" w:eastAsia="Arial" w:hAnsi="Arial"/>
          <w:sz w:val="14"/>
          <w:szCs w:val="14"/>
          <w:color w:val="auto"/>
          <w:highlight w:val="white"/>
        </w:rPr>
        <w:t xml:space="preserve">  These adjustments were excluded because they relate to employee separation charges including the acceleration of attrition as part of</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4"/>
          <w:szCs w:val="14"/>
          <w:color w:val="auto"/>
          <w:highlight w:val="white"/>
        </w:rPr>
        <w:t xml:space="preserve">the cost reduction program announced in January 2023, primarily in the U.S  </w:t>
      </w:r>
      <w:r>
        <w:rPr>
          <w:rFonts w:ascii="Arial" w:cs="Arial" w:eastAsia="Arial" w:hAnsi="Arial"/>
          <w:sz w:val="16"/>
          <w:szCs w:val="16"/>
          <w:color w:val="auto"/>
          <w:highlight w:val="white"/>
        </w:rPr>
        <w:t>.</w:t>
      </w:r>
    </w:p>
    <w:p>
      <w:pPr>
        <w:spacing w:after="0" w:line="72" w:lineRule="exact"/>
        <w:rPr>
          <w:sz w:val="20"/>
          <w:szCs w:val="20"/>
          <w:color w:val="auto"/>
        </w:rPr>
      </w:pPr>
    </w:p>
    <w:p>
      <w:pPr>
        <w:ind w:left="200" w:right="600" w:hanging="199"/>
        <w:spacing w:after="0" w:line="259" w:lineRule="auto"/>
        <w:tabs>
          <w:tab w:leader="none" w:pos="180" w:val="left"/>
        </w:tabs>
        <w:rPr>
          <w:sz w:val="20"/>
          <w:szCs w:val="20"/>
          <w:color w:val="auto"/>
        </w:rPr>
      </w:pPr>
      <w:r>
        <w:rPr>
          <w:rFonts w:ascii="Arial" w:cs="Arial" w:eastAsia="Arial" w:hAnsi="Arial"/>
          <w:sz w:val="19"/>
          <w:szCs w:val="19"/>
          <w:color w:val="auto"/>
          <w:highlight w:val="white"/>
          <w:vertAlign w:val="superscript"/>
        </w:rPr>
        <w:t>(6)</w:t>
      </w:r>
      <w:r>
        <w:rPr>
          <w:sz w:val="20"/>
          <w:szCs w:val="20"/>
          <w:color w:val="auto"/>
        </w:rPr>
        <w:tab/>
      </w:r>
      <w:r>
        <w:rPr>
          <w:rFonts w:ascii="Arial" w:cs="Arial" w:eastAsia="Arial" w:hAnsi="Arial"/>
          <w:sz w:val="14"/>
          <w:szCs w:val="14"/>
          <w:color w:val="auto"/>
        </w:rPr>
        <w:t xml:space="preserve">These </w:t>
      </w:r>
      <w:r>
        <w:rPr>
          <w:rFonts w:ascii="Arial" w:cs="Arial" w:eastAsia="Arial" w:hAnsi="Arial"/>
          <w:sz w:val="14"/>
          <w:szCs w:val="14"/>
          <w:color w:val="auto"/>
          <w:highlight w:val="white"/>
        </w:rPr>
        <w:t>adjustments were excluded because they primarily relate to the wind down of our manufacturing operations in Colombia and</w:t>
      </w:r>
      <w:r>
        <w:rPr>
          <w:rFonts w:ascii="Arial" w:cs="Arial" w:eastAsia="Arial" w:hAnsi="Arial"/>
          <w:sz w:val="14"/>
          <w:szCs w:val="14"/>
          <w:color w:val="auto"/>
        </w:rPr>
        <w:t xml:space="preserve"> </w:t>
      </w:r>
      <w:r>
        <w:rPr>
          <w:rFonts w:ascii="Arial" w:cs="Arial" w:eastAsia="Arial" w:hAnsi="Arial"/>
          <w:sz w:val="14"/>
          <w:szCs w:val="14"/>
          <w:color w:val="auto"/>
          <w:highlight w:val="white"/>
        </w:rPr>
        <w:t xml:space="preserve">Ecuador and an asset sale resulting from our strategic decision in 2020 to exit India </w:t>
      </w:r>
      <w:r>
        <w:rPr>
          <w:rFonts w:ascii="Arial" w:cs="Arial" w:eastAsia="Arial" w:hAnsi="Arial"/>
          <w:sz w:val="14"/>
          <w:szCs w:val="14"/>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vertAlign w:val="superscript"/>
        </w:rPr>
        <w:t>(7)</w:t>
      </w:r>
      <w:r>
        <w:rPr>
          <w:rFonts w:ascii="Arial" w:cs="Arial" w:eastAsia="Arial" w:hAnsi="Arial"/>
          <w:sz w:val="14"/>
          <w:szCs w:val="14"/>
          <w:color w:val="auto"/>
        </w:rPr>
        <w:t xml:space="preserve">  These </w:t>
      </w:r>
      <w:r>
        <w:rPr>
          <w:rFonts w:ascii="Arial" w:cs="Arial" w:eastAsia="Arial" w:hAnsi="Arial"/>
          <w:sz w:val="14"/>
          <w:szCs w:val="14"/>
          <w:color w:val="auto"/>
          <w:highlight w:val="white"/>
        </w:rPr>
        <w:t>adjustments were excluded because they relate to the GM headquarters relocation, primarily consisting of accelerated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depreciation and other relocation expenditures  </w:t>
      </w:r>
      <w:r>
        <w:rPr>
          <w:rFonts w:ascii="Arial" w:cs="Arial" w:eastAsia="Arial" w:hAnsi="Arial"/>
          <w:sz w:val="16"/>
          <w:szCs w:val="16"/>
          <w:color w:val="auto"/>
        </w:rPr>
        <w:t>.</w:t>
      </w:r>
    </w:p>
    <w:p>
      <w:pPr>
        <w:spacing w:after="0" w:line="61" w:lineRule="exact"/>
        <w:rPr>
          <w:sz w:val="20"/>
          <w:szCs w:val="20"/>
          <w:color w:val="auto"/>
        </w:rPr>
      </w:pPr>
    </w:p>
    <w:p>
      <w:pPr>
        <w:ind w:left="200" w:right="340" w:hanging="192"/>
        <w:spacing w:after="0" w:line="239" w:lineRule="auto"/>
        <w:tabs>
          <w:tab w:leader="none" w:pos="200" w:val="left"/>
        </w:tabs>
        <w:numPr>
          <w:ilvl w:val="0"/>
          <w:numId w:val="125"/>
        </w:numPr>
        <w:rPr>
          <w:rFonts w:ascii="Arial" w:cs="Arial" w:eastAsia="Arial" w:hAnsi="Arial"/>
          <w:sz w:val="19"/>
          <w:szCs w:val="19"/>
          <w:color w:val="auto"/>
          <w:highlight w:val="white"/>
          <w:vertAlign w:val="superscript"/>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25" w:lineRule="exact"/>
        <w:rPr>
          <w:rFonts w:ascii="Arial" w:cs="Arial" w:eastAsia="Arial" w:hAnsi="Arial"/>
          <w:sz w:val="19"/>
          <w:szCs w:val="19"/>
          <w:color w:val="auto"/>
          <w:highlight w:val="white"/>
          <w:vertAlign w:val="superscript"/>
        </w:rPr>
      </w:pPr>
    </w:p>
    <w:p>
      <w:pPr>
        <w:ind w:left="200" w:hanging="192"/>
        <w:spacing w:after="0"/>
        <w:tabs>
          <w:tab w:leader="none" w:pos="200" w:val="left"/>
        </w:tabs>
        <w:numPr>
          <w:ilvl w:val="0"/>
          <w:numId w:val="125"/>
        </w:numPr>
        <w:rPr>
          <w:rFonts w:ascii="Arial" w:cs="Arial" w:eastAsia="Arial" w:hAnsi="Arial"/>
          <w:sz w:val="19"/>
          <w:szCs w:val="19"/>
          <w:color w:val="auto"/>
          <w:highlight w:val="white"/>
          <w:vertAlign w:val="superscript"/>
        </w:rPr>
      </w:pPr>
      <w:r>
        <w:rPr>
          <w:rFonts w:ascii="Arial" w:cs="Arial" w:eastAsia="Arial" w:hAnsi="Arial"/>
          <w:sz w:val="14"/>
          <w:szCs w:val="14"/>
          <w:color w:val="auto"/>
        </w:rPr>
        <w:t>These adjustments were excluded because they relate to the partial resolution of subcontractor matters in Korea.</w:t>
      </w:r>
    </w:p>
    <w:p>
      <w:pPr>
        <w:spacing w:after="0" w:line="52" w:lineRule="exact"/>
        <w:rPr>
          <w:rFonts w:ascii="Arial" w:cs="Arial" w:eastAsia="Arial" w:hAnsi="Arial"/>
          <w:sz w:val="19"/>
          <w:szCs w:val="19"/>
          <w:color w:val="auto"/>
          <w:highlight w:val="white"/>
          <w:vertAlign w:val="superscript"/>
        </w:rPr>
      </w:pPr>
    </w:p>
    <w:p>
      <w:pPr>
        <w:ind w:left="200" w:right="900" w:hanging="192"/>
        <w:spacing w:after="0" w:line="247" w:lineRule="auto"/>
        <w:tabs>
          <w:tab w:leader="none" w:pos="200" w:val="left"/>
        </w:tabs>
        <w:numPr>
          <w:ilvl w:val="0"/>
          <w:numId w:val="125"/>
        </w:numPr>
        <w:rPr>
          <w:rFonts w:ascii="Arial" w:cs="Arial" w:eastAsia="Arial" w:hAnsi="Arial"/>
          <w:sz w:val="16"/>
          <w:szCs w:val="16"/>
          <w:color w:val="auto"/>
          <w:vertAlign w:val="superscript"/>
        </w:rPr>
      </w:pPr>
      <w:r>
        <w:rPr>
          <w:rFonts w:ascii="Arial" w:cs="Arial" w:eastAsia="Arial" w:hAnsi="Arial"/>
          <w:sz w:val="12"/>
          <w:szCs w:val="12"/>
          <w:color w:val="auto"/>
        </w:rPr>
        <w:t>This adjustment excludes total compensation expense related to Cruise share-based awards incurred over the three-year PSU performance period.</w:t>
      </w:r>
    </w:p>
    <w:p>
      <w:pPr>
        <w:spacing w:after="0" w:line="256" w:lineRule="exact"/>
        <w:rPr>
          <w:rFonts w:ascii="Arial" w:cs="Arial" w:eastAsia="Arial" w:hAnsi="Arial"/>
          <w:sz w:val="16"/>
          <w:szCs w:val="16"/>
          <w:color w:val="auto"/>
          <w:vertAlign w:val="superscript"/>
        </w:rPr>
      </w:pPr>
    </w:p>
    <w:p>
      <w:pPr>
        <w:ind w:left="200" w:right="200" w:hanging="192"/>
        <w:spacing w:after="0" w:line="320" w:lineRule="auto"/>
        <w:tabs>
          <w:tab w:leader="none" w:pos="200" w:val="left"/>
        </w:tabs>
        <w:numPr>
          <w:ilvl w:val="0"/>
          <w:numId w:val="125"/>
        </w:numPr>
        <w:rPr>
          <w:rFonts w:ascii="Arial" w:cs="Arial" w:eastAsia="Arial" w:hAnsi="Arial"/>
          <w:sz w:val="16"/>
          <w:szCs w:val="16"/>
          <w:color w:val="auto"/>
          <w:vertAlign w:val="superscript"/>
        </w:rPr>
      </w:pPr>
      <w:r>
        <w:rPr>
          <w:rFonts w:ascii="Arial" w:cs="Arial" w:eastAsia="Arial" w:hAnsi="Arial"/>
          <w:sz w:val="12"/>
          <w:szCs w:val="12"/>
          <w:color w:val="auto"/>
        </w:rPr>
        <w:t>As discussed in the CD&amp;A, the Compensation Committee determined for the EBIT-adjusted result that it was appropriate to apply a $3.1B adjustment due to the direct impact of new 2025 tariffs measured across materials, components, raw materials and vehicles, and to exclude $0.8B as this amount related to changes in our EV capacity and footprint, which drove performance improvements in 2025.</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Common Share under GAAP to EPS-diluted-adjusted: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6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 per Share)</w:t>
            </w:r>
          </w:p>
        </w:tc>
        <w:tc>
          <w:tcPr>
            <w:tcW w:w="2920" w:type="dxa"/>
            <w:vAlign w:val="bottom"/>
            <w:tcBorders>
              <w:bottom w:val="single" w:sz="8" w:color="0956FF"/>
            </w:tcBorders>
            <w:shd w:val="clear" w:color="auto" w:fill="ECEBEB"/>
          </w:tcPr>
          <w:p>
            <w:pPr>
              <w:spacing w:after="0"/>
              <w:rPr>
                <w:sz w:val="22"/>
                <w:szCs w:val="22"/>
                <w:color w:val="auto"/>
              </w:rPr>
            </w:pPr>
          </w:p>
        </w:tc>
        <w:tc>
          <w:tcPr>
            <w:tcW w:w="500" w:type="dxa"/>
            <w:vAlign w:val="bottom"/>
            <w:tcBorders>
              <w:bottom w:val="single" w:sz="8" w:color="0956FF"/>
            </w:tcBorders>
            <w:shd w:val="clear" w:color="auto" w:fill="ECEBEB"/>
          </w:tcPr>
          <w:p>
            <w:pPr>
              <w:jc w:val="right"/>
              <w:ind w:right="1"/>
              <w:spacing w:after="0"/>
              <w:rPr>
                <w:sz w:val="20"/>
                <w:szCs w:val="20"/>
                <w:color w:val="auto"/>
              </w:rPr>
            </w:pPr>
            <w:r>
              <w:rPr>
                <w:rFonts w:ascii="Arial" w:cs="Arial" w:eastAsia="Arial" w:hAnsi="Arial"/>
                <w:sz w:val="14"/>
                <w:szCs w:val="14"/>
                <w:b w:val="1"/>
                <w:bCs w:val="1"/>
                <w:color w:val="auto"/>
              </w:rPr>
              <w:t>2025</w:t>
            </w:r>
          </w:p>
        </w:tc>
      </w:tr>
      <w:tr>
        <w:trPr>
          <w:trHeight w:val="249"/>
        </w:trPr>
        <w:tc>
          <w:tcPr>
            <w:tcW w:w="56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Diluted Earnings per Common Share</w:t>
            </w:r>
          </w:p>
        </w:tc>
        <w:tc>
          <w:tcPr>
            <w:tcW w:w="292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D8D7D7"/>
            </w:tcBorders>
          </w:tcPr>
          <w:p>
            <w:pPr>
              <w:jc w:val="right"/>
              <w:ind w:right="1"/>
              <w:spacing w:after="0"/>
              <w:rPr>
                <w:sz w:val="20"/>
                <w:szCs w:val="20"/>
                <w:color w:val="auto"/>
              </w:rPr>
            </w:pPr>
            <w:r>
              <w:rPr>
                <w:rFonts w:ascii="Arial" w:cs="Arial" w:eastAsia="Arial" w:hAnsi="Arial"/>
                <w:sz w:val="16"/>
                <w:szCs w:val="16"/>
                <w:color w:val="auto"/>
              </w:rPr>
              <w:t>3.27</w:t>
            </w:r>
          </w:p>
        </w:tc>
      </w:tr>
      <w:tr>
        <w:trPr>
          <w:trHeight w:val="251"/>
        </w:trPr>
        <w:tc>
          <w:tcPr>
            <w:tcW w:w="56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Adjustments </w:t>
            </w:r>
            <w:r>
              <w:rPr>
                <w:rFonts w:ascii="Arial" w:cs="Arial" w:eastAsia="Arial" w:hAnsi="Arial"/>
                <w:sz w:val="21"/>
                <w:szCs w:val="21"/>
                <w:color w:val="auto"/>
                <w:vertAlign w:val="superscript"/>
              </w:rPr>
              <w:t>(1)</w:t>
            </w:r>
          </w:p>
        </w:tc>
        <w:tc>
          <w:tcPr>
            <w:tcW w:w="2920" w:type="dxa"/>
            <w:vAlign w:val="bottom"/>
            <w:tcBorders>
              <w:bottom w:val="single" w:sz="8" w:color="D8D7D7"/>
            </w:tcBorders>
          </w:tcPr>
          <w:p>
            <w:pPr>
              <w:spacing w:after="0"/>
              <w:rPr>
                <w:sz w:val="21"/>
                <w:szCs w:val="21"/>
                <w:color w:val="auto"/>
              </w:rPr>
            </w:pPr>
          </w:p>
        </w:tc>
        <w:tc>
          <w:tcPr>
            <w:tcW w:w="5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10.12</w:t>
            </w:r>
          </w:p>
        </w:tc>
      </w:tr>
      <w:tr>
        <w:trPr>
          <w:trHeight w:val="250"/>
        </w:trPr>
        <w:tc>
          <w:tcPr>
            <w:tcW w:w="56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Tax effect of adjustments </w:t>
            </w:r>
            <w:r>
              <w:rPr>
                <w:rFonts w:ascii="Arial" w:cs="Arial" w:eastAsia="Arial" w:hAnsi="Arial"/>
                <w:sz w:val="21"/>
                <w:szCs w:val="21"/>
                <w:color w:val="auto"/>
                <w:vertAlign w:val="superscript"/>
              </w:rPr>
              <w:t>(2)</w:t>
            </w:r>
          </w:p>
        </w:tc>
        <w:tc>
          <w:tcPr>
            <w:tcW w:w="2920" w:type="dxa"/>
            <w:vAlign w:val="bottom"/>
            <w:tcBorders>
              <w:bottom w:val="single" w:sz="8" w:color="D8D7D7"/>
            </w:tcBorders>
          </w:tcPr>
          <w:p>
            <w:pPr>
              <w:spacing w:after="0"/>
              <w:rPr>
                <w:sz w:val="21"/>
                <w:szCs w:val="21"/>
                <w:color w:val="auto"/>
              </w:rPr>
            </w:pPr>
          </w:p>
        </w:tc>
        <w:tc>
          <w:tcPr>
            <w:tcW w:w="5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(2.17)</w:t>
            </w:r>
          </w:p>
        </w:tc>
      </w:tr>
      <w:tr>
        <w:trPr>
          <w:trHeight w:val="250"/>
        </w:trPr>
        <w:tc>
          <w:tcPr>
            <w:tcW w:w="566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 xml:space="preserve">Return from preferred shareholders </w:t>
            </w:r>
            <w:r>
              <w:rPr>
                <w:rFonts w:ascii="Arial" w:cs="Arial" w:eastAsia="Arial" w:hAnsi="Arial"/>
                <w:sz w:val="21"/>
                <w:szCs w:val="21"/>
                <w:color w:val="auto"/>
                <w:vertAlign w:val="superscript"/>
              </w:rPr>
              <w:t>(3)</w:t>
            </w:r>
          </w:p>
        </w:tc>
        <w:tc>
          <w:tcPr>
            <w:tcW w:w="2920" w:type="dxa"/>
            <w:vAlign w:val="bottom"/>
            <w:tcBorders>
              <w:bottom w:val="single" w:sz="8" w:color="D8D7D7"/>
            </w:tcBorders>
          </w:tcPr>
          <w:p>
            <w:pPr>
              <w:spacing w:after="0"/>
              <w:rPr>
                <w:sz w:val="21"/>
                <w:szCs w:val="21"/>
                <w:color w:val="auto"/>
              </w:rPr>
            </w:pPr>
          </w:p>
        </w:tc>
        <w:tc>
          <w:tcPr>
            <w:tcW w:w="5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(0.61)</w:t>
            </w:r>
          </w:p>
        </w:tc>
      </w:tr>
      <w:tr>
        <w:trPr>
          <w:trHeight w:val="250"/>
        </w:trPr>
        <w:tc>
          <w:tcPr>
            <w:tcW w:w="566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auto"/>
              </w:rPr>
              <w:t>EPS-diluted-adjusted</w:t>
            </w:r>
          </w:p>
        </w:tc>
        <w:tc>
          <w:tcPr>
            <w:tcW w:w="2920" w:type="dxa"/>
            <w:vAlign w:val="bottom"/>
            <w:tcBorders>
              <w:bottom w:val="single" w:sz="8" w:color="0956FF"/>
            </w:tcBorders>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0956FF"/>
            </w:tcBorders>
          </w:tcPr>
          <w:p>
            <w:pPr>
              <w:jc w:val="right"/>
              <w:ind w:right="1"/>
              <w:spacing w:after="0"/>
              <w:rPr>
                <w:sz w:val="20"/>
                <w:szCs w:val="20"/>
                <w:color w:val="auto"/>
              </w:rPr>
            </w:pPr>
            <w:r>
              <w:rPr>
                <w:rFonts w:ascii="Arial" w:cs="Arial" w:eastAsia="Arial" w:hAnsi="Arial"/>
                <w:sz w:val="16"/>
                <w:szCs w:val="16"/>
                <w:b w:val="1"/>
                <w:bCs w:val="1"/>
                <w:color w:val="auto"/>
                <w:w w:val="99"/>
              </w:rPr>
              <w:t>10.60</w:t>
            </w:r>
          </w:p>
        </w:tc>
      </w:tr>
    </w:tbl>
    <w:p>
      <w:pPr>
        <w:spacing w:after="0" w:line="57" w:lineRule="exact"/>
        <w:rPr>
          <w:sz w:val="20"/>
          <w:szCs w:val="20"/>
          <w:color w:val="auto"/>
        </w:rPr>
      </w:pPr>
    </w:p>
    <w:p>
      <w:pPr>
        <w:ind w:left="200" w:hanging="192"/>
        <w:spacing w:after="0"/>
        <w:tabs>
          <w:tab w:leader="none" w:pos="200" w:val="left"/>
        </w:tabs>
        <w:numPr>
          <w:ilvl w:val="0"/>
          <w:numId w:val="126"/>
        </w:numPr>
        <w:rPr>
          <w:rFonts w:ascii="Arial" w:cs="Arial" w:eastAsia="Arial" w:hAnsi="Arial"/>
          <w:sz w:val="19"/>
          <w:szCs w:val="19"/>
          <w:color w:val="auto"/>
          <w:vertAlign w:val="superscript"/>
        </w:rPr>
      </w:pPr>
      <w:r>
        <w:rPr>
          <w:rFonts w:ascii="Arial" w:cs="Arial" w:eastAsia="Arial" w:hAnsi="Arial"/>
          <w:sz w:val="14"/>
          <w:szCs w:val="14"/>
          <w:color w:val="auto"/>
        </w:rPr>
        <w:t>Refer to the reconciliation of Net Income Attributable to Stockholders under GAAP to EBIT-adjusted above for adjustment details.</w:t>
      </w:r>
    </w:p>
    <w:p>
      <w:pPr>
        <w:spacing w:after="0" w:line="53" w:lineRule="exact"/>
        <w:rPr>
          <w:rFonts w:ascii="Arial" w:cs="Arial" w:eastAsia="Arial" w:hAnsi="Arial"/>
          <w:sz w:val="19"/>
          <w:szCs w:val="19"/>
          <w:color w:val="auto"/>
          <w:vertAlign w:val="superscript"/>
        </w:rPr>
      </w:pPr>
    </w:p>
    <w:p>
      <w:pPr>
        <w:ind w:left="200" w:right="560" w:hanging="192"/>
        <w:spacing w:after="0" w:line="230" w:lineRule="auto"/>
        <w:tabs>
          <w:tab w:leader="none" w:pos="200" w:val="left"/>
        </w:tabs>
        <w:numPr>
          <w:ilvl w:val="0"/>
          <w:numId w:val="126"/>
        </w:numPr>
        <w:rPr>
          <w:rFonts w:ascii="Arial" w:cs="Arial" w:eastAsia="Arial" w:hAnsi="Arial"/>
          <w:sz w:val="19"/>
          <w:szCs w:val="19"/>
          <w:color w:val="auto"/>
          <w:vertAlign w:val="superscript"/>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40" w:lineRule="exact"/>
        <w:rPr>
          <w:rFonts w:ascii="Arial" w:cs="Arial" w:eastAsia="Arial" w:hAnsi="Arial"/>
          <w:sz w:val="19"/>
          <w:szCs w:val="19"/>
          <w:color w:val="auto"/>
          <w:vertAlign w:val="superscript"/>
        </w:rPr>
      </w:pPr>
    </w:p>
    <w:p>
      <w:pPr>
        <w:ind w:left="200" w:right="920" w:hanging="192"/>
        <w:spacing w:after="0" w:line="239" w:lineRule="auto"/>
        <w:tabs>
          <w:tab w:leader="none" w:pos="200" w:val="left"/>
        </w:tabs>
        <w:numPr>
          <w:ilvl w:val="0"/>
          <w:numId w:val="126"/>
        </w:numPr>
        <w:rPr>
          <w:rFonts w:ascii="Arial" w:cs="Arial" w:eastAsia="Arial" w:hAnsi="Arial"/>
          <w:sz w:val="19"/>
          <w:szCs w:val="19"/>
          <w:color w:val="auto"/>
          <w:vertAlign w:val="superscript"/>
        </w:rPr>
      </w:pPr>
      <w:r>
        <w:rPr>
          <w:rFonts w:ascii="Arial" w:cs="Arial" w:eastAsia="Arial" w:hAnsi="Arial"/>
          <w:sz w:val="14"/>
          <w:szCs w:val="14"/>
          <w:color w:val="auto"/>
        </w:rPr>
        <w:t>This adjustment consists of a return from the preferred shareholders related to the redemption of Cruise preferred shares from noncontrolling interest holders.</w:t>
      </w:r>
    </w:p>
    <w:p>
      <w:pPr>
        <w:sectPr>
          <w:pgSz w:w="11900" w:h="16838" w:orient="portrait"/>
          <w:cols w:equalWidth="0" w:num="1">
            <w:col w:w="9140"/>
          </w:cols>
          <w:pgMar w:left="1400" w:top="65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9140"/>
          </w:cols>
          <w:pgMar w:left="1400" w:top="657" w:right="135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Appendix A:  </w:t>
      </w:r>
      <w:r>
        <w:rPr>
          <w:rFonts w:ascii="Arial" w:cs="Arial" w:eastAsia="Arial" w:hAnsi="Arial"/>
          <w:sz w:val="14"/>
          <w:szCs w:val="14"/>
          <w:b w:val="1"/>
          <w:bCs w:val="1"/>
          <w:color w:val="000000"/>
        </w:rPr>
        <w:t>Non-GAAP Financial Measures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 of ROIC-adjusted: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4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($B)</w:t>
            </w:r>
          </w:p>
        </w:tc>
        <w:tc>
          <w:tcPr>
            <w:tcW w:w="174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2025</w:t>
            </w:r>
          </w:p>
        </w:tc>
      </w:tr>
      <w:tr>
        <w:trPr>
          <w:trHeight w:val="250"/>
        </w:trPr>
        <w:tc>
          <w:tcPr>
            <w:tcW w:w="73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EBIT-adjusted</w:t>
            </w:r>
            <w:r>
              <w:rPr>
                <w:rFonts w:ascii="Arial" w:cs="Arial" w:eastAsia="Arial" w:hAnsi="Arial"/>
                <w:sz w:val="21"/>
                <w:szCs w:val="21"/>
                <w:b w:val="1"/>
                <w:bCs w:val="1"/>
                <w:color w:val="auto"/>
                <w:vertAlign w:val="superscript"/>
              </w:rPr>
              <w:t>(1)</w:t>
            </w:r>
          </w:p>
        </w:tc>
        <w:tc>
          <w:tcPr>
            <w:tcW w:w="174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$12.7</w:t>
            </w:r>
          </w:p>
        </w:tc>
      </w:tr>
      <w:tr>
        <w:trPr>
          <w:trHeight w:val="250"/>
        </w:trPr>
        <w:tc>
          <w:tcPr>
            <w:tcW w:w="73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Average equity </w:t>
            </w:r>
            <w:r>
              <w:rPr>
                <w:rFonts w:ascii="Arial" w:cs="Arial" w:eastAsia="Arial" w:hAnsi="Arial"/>
                <w:sz w:val="21"/>
                <w:szCs w:val="21"/>
                <w:color w:val="auto"/>
                <w:vertAlign w:val="superscript"/>
              </w:rPr>
              <w:t>(2)</w:t>
            </w:r>
          </w:p>
        </w:tc>
        <w:tc>
          <w:tcPr>
            <w:tcW w:w="174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64.6</w:t>
            </w:r>
          </w:p>
        </w:tc>
      </w:tr>
      <w:tr>
        <w:trPr>
          <w:trHeight w:val="249"/>
        </w:trPr>
        <w:tc>
          <w:tcPr>
            <w:tcW w:w="73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Add: Average automotive debt and interest liabilities (excluding finance leases)</w:t>
            </w:r>
          </w:p>
        </w:tc>
        <w:tc>
          <w:tcPr>
            <w:tcW w:w="17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16.2</w:t>
            </w:r>
          </w:p>
        </w:tc>
      </w:tr>
      <w:tr>
        <w:trPr>
          <w:trHeight w:val="250"/>
        </w:trPr>
        <w:tc>
          <w:tcPr>
            <w:tcW w:w="73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Add: Average automotive net pension and other post-retirement benefits liabilities</w:t>
            </w:r>
          </w:p>
        </w:tc>
        <w:tc>
          <w:tcPr>
            <w:tcW w:w="17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8.5</w:t>
            </w:r>
          </w:p>
        </w:tc>
      </w:tr>
      <w:tr>
        <w:trPr>
          <w:trHeight w:val="250"/>
        </w:trPr>
        <w:tc>
          <w:tcPr>
            <w:tcW w:w="73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Less: Average automotive net income tax asset</w:t>
            </w:r>
          </w:p>
        </w:tc>
        <w:tc>
          <w:tcPr>
            <w:tcW w:w="174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(23.2)</w:t>
            </w:r>
          </w:p>
        </w:tc>
      </w:tr>
      <w:tr>
        <w:trPr>
          <w:trHeight w:val="251"/>
        </w:trPr>
        <w:tc>
          <w:tcPr>
            <w:tcW w:w="73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ROIC-adjusted average net assets</w:t>
            </w:r>
          </w:p>
        </w:tc>
        <w:tc>
          <w:tcPr>
            <w:tcW w:w="174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b w:val="1"/>
                <w:bCs w:val="1"/>
                <w:color w:val="auto"/>
              </w:rPr>
              <w:t>66.0</w:t>
            </w:r>
          </w:p>
        </w:tc>
      </w:tr>
      <w:tr>
        <w:trPr>
          <w:trHeight w:val="250"/>
        </w:trPr>
        <w:tc>
          <w:tcPr>
            <w:tcW w:w="734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0956FF"/>
              </w:rPr>
              <w:t>ROIC-adjusted</w:t>
            </w:r>
          </w:p>
        </w:tc>
        <w:tc>
          <w:tcPr>
            <w:tcW w:w="1740" w:type="dxa"/>
            <w:vAlign w:val="bottom"/>
            <w:tcBorders>
              <w:bottom w:val="single" w:sz="8" w:color="0956FF"/>
            </w:tcBorders>
          </w:tcPr>
          <w:p>
            <w:pPr>
              <w:jc w:val="right"/>
              <w:spacing w:after="0"/>
              <w:rPr>
                <w:sz w:val="20"/>
                <w:szCs w:val="20"/>
                <w:color w:val="auto"/>
              </w:rPr>
            </w:pPr>
            <w:r>
              <w:rPr>
                <w:rFonts w:ascii="Arial" w:cs="Arial" w:eastAsia="Arial" w:hAnsi="Arial"/>
                <w:sz w:val="16"/>
                <w:szCs w:val="16"/>
                <w:b w:val="1"/>
                <w:bCs w:val="1"/>
                <w:color w:val="0956FF"/>
              </w:rPr>
              <w:t>19.3%</w:t>
            </w:r>
          </w:p>
        </w:tc>
      </w:tr>
    </w:tbl>
    <w:p>
      <w:pPr>
        <w:spacing w:after="0" w:line="57" w:lineRule="exact"/>
        <w:rPr>
          <w:sz w:val="20"/>
          <w:szCs w:val="20"/>
          <w:color w:val="auto"/>
        </w:rPr>
      </w:pPr>
    </w:p>
    <w:p>
      <w:pPr>
        <w:ind w:left="200" w:hanging="192"/>
        <w:spacing w:after="0"/>
        <w:tabs>
          <w:tab w:leader="none" w:pos="200" w:val="left"/>
        </w:tabs>
        <w:numPr>
          <w:ilvl w:val="0"/>
          <w:numId w:val="127"/>
        </w:numPr>
        <w:rPr>
          <w:rFonts w:ascii="Arial" w:cs="Arial" w:eastAsia="Arial" w:hAnsi="Arial"/>
          <w:sz w:val="19"/>
          <w:szCs w:val="19"/>
          <w:color w:val="auto"/>
          <w:vertAlign w:val="superscript"/>
        </w:rPr>
      </w:pPr>
      <w:r>
        <w:rPr>
          <w:rFonts w:ascii="Arial" w:cs="Arial" w:eastAsia="Arial" w:hAnsi="Arial"/>
          <w:sz w:val="14"/>
          <w:szCs w:val="14"/>
          <w:color w:val="auto"/>
        </w:rPr>
        <w:t>Refer to the reconciliation of Net Income Attributable to Stockholders under GAAP to EBIT-adjusted above for adjustment details.</w:t>
      </w:r>
    </w:p>
    <w:p>
      <w:pPr>
        <w:spacing w:after="0" w:line="43"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127"/>
        </w:numPr>
        <w:rPr>
          <w:rFonts w:ascii="Arial" w:cs="Arial" w:eastAsia="Arial" w:hAnsi="Arial"/>
          <w:sz w:val="19"/>
          <w:szCs w:val="19"/>
          <w:color w:val="auto"/>
          <w:vertAlign w:val="superscript"/>
        </w:rPr>
      </w:pPr>
      <w:r>
        <w:rPr>
          <w:rFonts w:ascii="Arial" w:cs="Arial" w:eastAsia="Arial" w:hAnsi="Arial"/>
          <w:sz w:val="14"/>
          <w:szCs w:val="14"/>
          <w:color w:val="auto"/>
        </w:rPr>
        <w:t>Includes equity of noncontrolling interests where the corresponding earnings (loss) are included in EBIT-adjusted.</w:t>
      </w:r>
    </w:p>
    <w:p>
      <w:pPr>
        <w:sectPr>
          <w:pgSz w:w="11900" w:h="16838" w:orient="portrait"/>
          <w:cols w:equalWidth="0" w:num="1">
            <w:col w:w="9100"/>
          </w:cols>
          <w:pgMar w:left="1400" w:top="65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020"/>
        <w:spacing w:after="0"/>
        <w:tabs>
          <w:tab w:leader="none" w:pos="876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4"/>
          <w:szCs w:val="14"/>
          <w:b w:val="1"/>
          <w:bCs w:val="1"/>
          <w:color w:val="3D3935"/>
        </w:rPr>
        <w:t>A-3</w:t>
      </w:r>
    </w:p>
    <w:p>
      <w:pPr>
        <w:sectPr>
          <w:pgSz w:w="11900" w:h="16838" w:orient="portrait"/>
          <w:cols w:equalWidth="0" w:num="1">
            <w:col w:w="9100"/>
          </w:cols>
          <w:pgMar w:left="1400" w:top="657" w:right="139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4"/>
          <w:szCs w:val="14"/>
          <w:b w:val="1"/>
          <w:bCs w:val="1"/>
          <w:color w:val="0956FF"/>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 xml:space="preserve">Appendix A:  </w:t>
      </w:r>
      <w:r>
        <w:rPr>
          <w:rFonts w:ascii="Arial" w:cs="Arial" w:eastAsia="Arial" w:hAnsi="Arial"/>
          <w:sz w:val="14"/>
          <w:szCs w:val="14"/>
          <w:b w:val="1"/>
          <w:bCs w:val="1"/>
          <w:color w:val="000000"/>
        </w:rPr>
        <w:t>Non-GAAP Financial Measures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40"/>
          <w:szCs w:val="40"/>
          <w:b w:val="1"/>
          <w:bCs w:val="1"/>
          <w:color w:val="0956FF"/>
        </w:rPr>
        <w:t>Adjusted Automotive Free Cash Flow</w:t>
      </w:r>
    </w:p>
    <w:p>
      <w:pPr>
        <w:spacing w:after="0" w:line="127"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In the section titled “Compensation Discussion and Analysis,” we present one of our incentive compensation measures, adjusted automotive free cash flow, which is not prepared in accordance with GAAP. Below is a reconciliation of adjusted automotive free cash flow (as calculated for incentive compensation purposes) to Net Automotive Cash Provided by Operating Activities, its nearest GAAP measure. The numbers in the table below may not sum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40" w:type="dxa"/>
            <w:vAlign w:val="bottom"/>
            <w:tcBorders>
              <w:bottom w:val="single" w:sz="8" w:color="0956FF"/>
            </w:tcBorders>
            <w:shd w:val="clear" w:color="auto" w:fill="ECEBEB"/>
          </w:tcPr>
          <w:p>
            <w:pPr>
              <w:ind w:left="60"/>
              <w:spacing w:after="0"/>
              <w:rPr>
                <w:sz w:val="20"/>
                <w:szCs w:val="20"/>
                <w:color w:val="auto"/>
              </w:rPr>
            </w:pPr>
            <w:r>
              <w:rPr>
                <w:rFonts w:ascii="Arial" w:cs="Arial" w:eastAsia="Arial" w:hAnsi="Arial"/>
                <w:sz w:val="14"/>
                <w:szCs w:val="14"/>
                <w:b w:val="1"/>
                <w:bCs w:val="1"/>
                <w:color w:val="auto"/>
              </w:rPr>
              <w:t>($B)</w:t>
            </w:r>
          </w:p>
        </w:tc>
        <w:tc>
          <w:tcPr>
            <w:tcW w:w="2020" w:type="dxa"/>
            <w:vAlign w:val="bottom"/>
            <w:tcBorders>
              <w:bottom w:val="single" w:sz="8" w:color="0956FF"/>
            </w:tcBorders>
            <w:shd w:val="clear" w:color="auto" w:fill="ECEBEB"/>
          </w:tcPr>
          <w:p>
            <w:pPr>
              <w:jc w:val="right"/>
              <w:ind w:right="120"/>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0956FF"/>
            </w:tcBorders>
            <w:shd w:val="clear" w:color="auto" w:fill="ECEBEB"/>
          </w:tcPr>
          <w:p>
            <w:pPr>
              <w:jc w:val="right"/>
              <w:spacing w:after="0"/>
              <w:rPr>
                <w:sz w:val="20"/>
                <w:szCs w:val="20"/>
                <w:color w:val="auto"/>
              </w:rPr>
            </w:pPr>
            <w:r>
              <w:rPr>
                <w:rFonts w:ascii="Arial" w:cs="Arial" w:eastAsia="Arial" w:hAnsi="Arial"/>
                <w:sz w:val="14"/>
                <w:szCs w:val="14"/>
                <w:b w:val="1"/>
                <w:bCs w:val="1"/>
                <w:color w:val="auto"/>
              </w:rPr>
              <w:t>2025</w:t>
            </w:r>
          </w:p>
        </w:tc>
      </w:tr>
      <w:tr>
        <w:trPr>
          <w:trHeight w:val="250"/>
        </w:trPr>
        <w:tc>
          <w:tcPr>
            <w:tcW w:w="6440" w:type="dxa"/>
            <w:vAlign w:val="bottom"/>
            <w:tcBorders>
              <w:bottom w:val="single" w:sz="8" w:color="D8D7D7"/>
            </w:tcBorders>
          </w:tcPr>
          <w:p>
            <w:pPr>
              <w:ind w:left="60"/>
              <w:spacing w:after="0"/>
              <w:rPr>
                <w:sz w:val="20"/>
                <w:szCs w:val="20"/>
                <w:color w:val="auto"/>
              </w:rPr>
            </w:pPr>
            <w:r>
              <w:rPr>
                <w:rFonts w:ascii="Arial" w:cs="Arial" w:eastAsia="Arial" w:hAnsi="Arial"/>
                <w:sz w:val="16"/>
                <w:szCs w:val="16"/>
                <w:b w:val="1"/>
                <w:bCs w:val="1"/>
                <w:color w:val="auto"/>
              </w:rPr>
              <w:t>Net Automotive Cash Provided by Operating Activities</w:t>
            </w:r>
          </w:p>
        </w:tc>
        <w:tc>
          <w:tcPr>
            <w:tcW w:w="2020" w:type="dxa"/>
            <w:vAlign w:val="bottom"/>
            <w:tcBorders>
              <w:bottom w:val="single" w:sz="8" w:color="D8D7D7"/>
            </w:tcBorders>
          </w:tcPr>
          <w:p>
            <w:pPr>
              <w:jc w:val="right"/>
              <w:ind w:right="140"/>
              <w:spacing w:after="0"/>
              <w:rPr>
                <w:sz w:val="20"/>
                <w:szCs w:val="20"/>
                <w:color w:val="auto"/>
              </w:rPr>
            </w:pPr>
            <w:r>
              <w:rPr>
                <w:rFonts w:ascii="Arial" w:cs="Arial" w:eastAsia="Arial" w:hAnsi="Arial"/>
                <w:sz w:val="16"/>
                <w:szCs w:val="16"/>
                <w:b w:val="1"/>
                <w:bCs w:val="1"/>
                <w:color w:val="auto"/>
              </w:rPr>
              <w:t>$23.9</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b w:val="1"/>
                <w:bCs w:val="1"/>
                <w:color w:val="auto"/>
              </w:rPr>
              <w:t>$18.7</w:t>
            </w:r>
          </w:p>
        </w:tc>
      </w:tr>
      <w:tr>
        <w:trPr>
          <w:trHeight w:val="249"/>
        </w:trPr>
        <w:tc>
          <w:tcPr>
            <w:tcW w:w="64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Less: Capital expenditures</w:t>
            </w:r>
          </w:p>
        </w:tc>
        <w:tc>
          <w:tcPr>
            <w:tcW w:w="2020" w:type="dxa"/>
            <w:vAlign w:val="bottom"/>
            <w:tcBorders>
              <w:bottom w:val="single" w:sz="8" w:color="D8D7D7"/>
            </w:tcBorders>
          </w:tcPr>
          <w:p>
            <w:pPr>
              <w:jc w:val="right"/>
              <w:ind w:right="20"/>
              <w:spacing w:after="0"/>
              <w:rPr>
                <w:sz w:val="20"/>
                <w:szCs w:val="20"/>
                <w:color w:val="auto"/>
              </w:rPr>
            </w:pPr>
            <w:r>
              <w:rPr>
                <w:rFonts w:ascii="Arial" w:cs="Arial" w:eastAsia="Arial" w:hAnsi="Arial"/>
                <w:sz w:val="16"/>
                <w:szCs w:val="16"/>
                <w:color w:val="auto"/>
              </w:rPr>
              <w:t>(10.7)</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(9.2)</w:t>
            </w:r>
          </w:p>
        </w:tc>
      </w:tr>
      <w:tr>
        <w:trPr>
          <w:trHeight w:val="250"/>
        </w:trPr>
        <w:tc>
          <w:tcPr>
            <w:tcW w:w="64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Adjustments:</w:t>
            </w:r>
          </w:p>
        </w:tc>
        <w:tc>
          <w:tcPr>
            <w:tcW w:w="2020" w:type="dxa"/>
            <w:vAlign w:val="bottom"/>
            <w:tcBorders>
              <w:bottom w:val="single" w:sz="8" w:color="D8D7D7"/>
            </w:tcBorders>
          </w:tcPr>
          <w:p>
            <w:pPr>
              <w:spacing w:after="0"/>
              <w:rPr>
                <w:sz w:val="21"/>
                <w:szCs w:val="21"/>
                <w:color w:val="auto"/>
              </w:rPr>
            </w:pPr>
          </w:p>
        </w:tc>
        <w:tc>
          <w:tcPr>
            <w:tcW w:w="600" w:type="dxa"/>
            <w:vAlign w:val="bottom"/>
            <w:tcBorders>
              <w:bottom w:val="single" w:sz="8" w:color="D8D7D7"/>
            </w:tcBorders>
          </w:tcPr>
          <w:p>
            <w:pPr>
              <w:spacing w:after="0"/>
              <w:rPr>
                <w:sz w:val="21"/>
                <w:szCs w:val="21"/>
                <w:color w:val="auto"/>
              </w:rPr>
            </w:pPr>
          </w:p>
        </w:tc>
      </w:tr>
      <w:tr>
        <w:trPr>
          <w:trHeight w:val="250"/>
        </w:trPr>
        <w:tc>
          <w:tcPr>
            <w:tcW w:w="64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Add: Buick dealer strategy</w:t>
            </w:r>
          </w:p>
        </w:tc>
        <w:tc>
          <w:tcPr>
            <w:tcW w:w="2020" w:type="dxa"/>
            <w:vAlign w:val="bottom"/>
            <w:tcBorders>
              <w:bottom w:val="single" w:sz="8" w:color="D8D7D7"/>
            </w:tcBorders>
          </w:tcPr>
          <w:p>
            <w:pPr>
              <w:jc w:val="right"/>
              <w:ind w:right="120"/>
              <w:spacing w:after="0"/>
              <w:rPr>
                <w:sz w:val="20"/>
                <w:szCs w:val="20"/>
                <w:color w:val="auto"/>
              </w:rPr>
            </w:pPr>
            <w:r>
              <w:rPr>
                <w:rFonts w:ascii="Arial" w:cs="Arial" w:eastAsia="Arial" w:hAnsi="Arial"/>
                <w:sz w:val="16"/>
                <w:szCs w:val="16"/>
                <w:color w:val="auto"/>
              </w:rPr>
              <w:t>0.5</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0.7</w:t>
            </w:r>
          </w:p>
        </w:tc>
      </w:tr>
      <w:tr>
        <w:trPr>
          <w:trHeight w:val="250"/>
        </w:trPr>
        <w:tc>
          <w:tcPr>
            <w:tcW w:w="64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Add: EV strategic realignment</w:t>
            </w:r>
          </w:p>
        </w:tc>
        <w:tc>
          <w:tcPr>
            <w:tcW w:w="202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color w:val="auto"/>
              </w:rPr>
              <w:t>0.0</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0.4</w:t>
            </w:r>
          </w:p>
        </w:tc>
      </w:tr>
      <w:tr>
        <w:trPr>
          <w:trHeight w:val="250"/>
        </w:trPr>
        <w:tc>
          <w:tcPr>
            <w:tcW w:w="64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Add: China restructuring actions</w:t>
            </w:r>
          </w:p>
        </w:tc>
        <w:tc>
          <w:tcPr>
            <w:tcW w:w="202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color w:val="auto"/>
              </w:rPr>
              <w:t>0.0</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0.2</w:t>
            </w:r>
          </w:p>
        </w:tc>
      </w:tr>
      <w:tr>
        <w:trPr>
          <w:trHeight w:val="250"/>
        </w:trPr>
        <w:tc>
          <w:tcPr>
            <w:tcW w:w="64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Add: Separation costs</w:t>
            </w:r>
          </w:p>
        </w:tc>
        <w:tc>
          <w:tcPr>
            <w:tcW w:w="2020" w:type="dxa"/>
            <w:vAlign w:val="bottom"/>
            <w:tcBorders>
              <w:bottom w:val="single" w:sz="8" w:color="D8D7D7"/>
            </w:tcBorders>
          </w:tcPr>
          <w:p>
            <w:pPr>
              <w:jc w:val="right"/>
              <w:ind w:right="120"/>
              <w:spacing w:after="0"/>
              <w:rPr>
                <w:sz w:val="20"/>
                <w:szCs w:val="20"/>
                <w:color w:val="auto"/>
              </w:rPr>
            </w:pPr>
            <w:r>
              <w:rPr>
                <w:rFonts w:ascii="Arial" w:cs="Arial" w:eastAsia="Arial" w:hAnsi="Arial"/>
                <w:sz w:val="16"/>
                <w:szCs w:val="16"/>
                <w:color w:val="auto"/>
              </w:rPr>
              <w:t>0.2</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0.1</w:t>
            </w:r>
          </w:p>
        </w:tc>
      </w:tr>
      <w:tr>
        <w:trPr>
          <w:trHeight w:val="250"/>
        </w:trPr>
        <w:tc>
          <w:tcPr>
            <w:tcW w:w="64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Add: GMI exit costs</w:t>
            </w:r>
          </w:p>
        </w:tc>
        <w:tc>
          <w:tcPr>
            <w:tcW w:w="2020" w:type="dxa"/>
            <w:vAlign w:val="bottom"/>
            <w:tcBorders>
              <w:bottom w:val="single" w:sz="8" w:color="D8D7D7"/>
            </w:tcBorders>
          </w:tcPr>
          <w:p>
            <w:pPr>
              <w:jc w:val="right"/>
              <w:ind w:right="60"/>
              <w:spacing w:after="0"/>
              <w:rPr>
                <w:sz w:val="20"/>
                <w:szCs w:val="20"/>
                <w:color w:val="auto"/>
              </w:rPr>
            </w:pPr>
            <w:r>
              <w:rPr>
                <w:rFonts w:ascii="Arial" w:cs="Arial" w:eastAsia="Arial" w:hAnsi="Arial"/>
                <w:sz w:val="16"/>
                <w:szCs w:val="16"/>
                <w:color w:val="auto"/>
              </w:rPr>
              <w:t>0.1</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0.0</w:t>
            </w:r>
          </w:p>
        </w:tc>
      </w:tr>
      <w:tr>
        <w:trPr>
          <w:trHeight w:val="251"/>
        </w:trPr>
        <w:tc>
          <w:tcPr>
            <w:tcW w:w="64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 xml:space="preserve">Add: Incentive compensation adjustments for 2025 STIP Result </w:t>
            </w:r>
            <w:r>
              <w:rPr>
                <w:rFonts w:ascii="Arial" w:cs="Arial" w:eastAsia="Arial" w:hAnsi="Arial"/>
                <w:sz w:val="21"/>
                <w:szCs w:val="21"/>
                <w:color w:val="auto"/>
                <w:vertAlign w:val="superscript"/>
              </w:rPr>
              <w:t>(1)</w:t>
            </w:r>
          </w:p>
        </w:tc>
        <w:tc>
          <w:tcPr>
            <w:tcW w:w="202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color w:val="auto"/>
              </w:rPr>
              <w:t>0.0</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3.8</w:t>
            </w:r>
          </w:p>
        </w:tc>
      </w:tr>
      <w:tr>
        <w:trPr>
          <w:trHeight w:val="249"/>
        </w:trPr>
        <w:tc>
          <w:tcPr>
            <w:tcW w:w="6440" w:type="dxa"/>
            <w:vAlign w:val="bottom"/>
            <w:tcBorders>
              <w:bottom w:val="single" w:sz="8" w:color="D8D7D7"/>
            </w:tcBorders>
          </w:tcPr>
          <w:p>
            <w:pPr>
              <w:ind w:left="260"/>
              <w:spacing w:after="0"/>
              <w:rPr>
                <w:sz w:val="20"/>
                <w:szCs w:val="20"/>
                <w:color w:val="auto"/>
              </w:rPr>
            </w:pPr>
            <w:r>
              <w:rPr>
                <w:rFonts w:ascii="Arial" w:cs="Arial" w:eastAsia="Arial" w:hAnsi="Arial"/>
                <w:sz w:val="16"/>
                <w:szCs w:val="16"/>
                <w:color w:val="auto"/>
              </w:rPr>
              <w:t>Less: Ultium strategic realignment</w:t>
            </w:r>
          </w:p>
        </w:tc>
        <w:tc>
          <w:tcPr>
            <w:tcW w:w="2020" w:type="dxa"/>
            <w:vAlign w:val="bottom"/>
            <w:tcBorders>
              <w:bottom w:val="single" w:sz="8" w:color="D8D7D7"/>
            </w:tcBorders>
          </w:tcPr>
          <w:p>
            <w:pPr>
              <w:jc w:val="right"/>
              <w:ind w:right="100"/>
              <w:spacing w:after="0"/>
              <w:rPr>
                <w:sz w:val="20"/>
                <w:szCs w:val="20"/>
                <w:color w:val="auto"/>
              </w:rPr>
            </w:pPr>
            <w:r>
              <w:rPr>
                <w:rFonts w:ascii="Arial" w:cs="Arial" w:eastAsia="Arial" w:hAnsi="Arial"/>
                <w:sz w:val="16"/>
                <w:szCs w:val="16"/>
                <w:color w:val="auto"/>
              </w:rPr>
              <w:t>0.0</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(0.4)</w:t>
            </w:r>
          </w:p>
        </w:tc>
      </w:tr>
      <w:tr>
        <w:trPr>
          <w:trHeight w:val="250"/>
        </w:trPr>
        <w:tc>
          <w:tcPr>
            <w:tcW w:w="6440" w:type="dxa"/>
            <w:vAlign w:val="bottom"/>
            <w:tcBorders>
              <w:bottom w:val="single" w:sz="8" w:color="D8D7D7"/>
            </w:tcBorders>
          </w:tcPr>
          <w:p>
            <w:pPr>
              <w:ind w:left="60"/>
              <w:spacing w:after="0"/>
              <w:rPr>
                <w:sz w:val="20"/>
                <w:szCs w:val="20"/>
                <w:color w:val="auto"/>
              </w:rPr>
            </w:pPr>
            <w:r>
              <w:rPr>
                <w:rFonts w:ascii="Arial" w:cs="Arial" w:eastAsia="Arial" w:hAnsi="Arial"/>
                <w:sz w:val="16"/>
                <w:szCs w:val="16"/>
                <w:color w:val="auto"/>
              </w:rPr>
              <w:t>Total adjustments</w:t>
            </w:r>
          </w:p>
        </w:tc>
        <w:tc>
          <w:tcPr>
            <w:tcW w:w="2020" w:type="dxa"/>
            <w:vAlign w:val="bottom"/>
            <w:tcBorders>
              <w:bottom w:val="single" w:sz="8" w:color="D8D7D7"/>
            </w:tcBorders>
          </w:tcPr>
          <w:p>
            <w:pPr>
              <w:jc w:val="right"/>
              <w:ind w:right="120"/>
              <w:spacing w:after="0"/>
              <w:rPr>
                <w:sz w:val="20"/>
                <w:szCs w:val="20"/>
                <w:color w:val="auto"/>
              </w:rPr>
            </w:pPr>
            <w:r>
              <w:rPr>
                <w:rFonts w:ascii="Arial" w:cs="Arial" w:eastAsia="Arial" w:hAnsi="Arial"/>
                <w:sz w:val="16"/>
                <w:szCs w:val="16"/>
                <w:color w:val="auto"/>
              </w:rPr>
              <w:t>0.8</w:t>
            </w:r>
          </w:p>
        </w:tc>
        <w:tc>
          <w:tcPr>
            <w:tcW w:w="600" w:type="dxa"/>
            <w:vAlign w:val="bottom"/>
            <w:tcBorders>
              <w:bottom w:val="single" w:sz="8" w:color="D8D7D7"/>
            </w:tcBorders>
          </w:tcPr>
          <w:p>
            <w:pPr>
              <w:jc w:val="right"/>
              <w:spacing w:after="0"/>
              <w:rPr>
                <w:sz w:val="20"/>
                <w:szCs w:val="20"/>
                <w:color w:val="auto"/>
              </w:rPr>
            </w:pPr>
            <w:r>
              <w:rPr>
                <w:rFonts w:ascii="Arial" w:cs="Arial" w:eastAsia="Arial" w:hAnsi="Arial"/>
                <w:sz w:val="16"/>
                <w:szCs w:val="16"/>
                <w:color w:val="auto"/>
              </w:rPr>
              <w:t>4.9</w:t>
            </w:r>
          </w:p>
        </w:tc>
      </w:tr>
      <w:tr>
        <w:trPr>
          <w:trHeight w:val="251"/>
        </w:trPr>
        <w:tc>
          <w:tcPr>
            <w:tcW w:w="6440" w:type="dxa"/>
            <w:vAlign w:val="bottom"/>
            <w:tcBorders>
              <w:bottom w:val="single" w:sz="8" w:color="0956FF"/>
            </w:tcBorders>
          </w:tcPr>
          <w:p>
            <w:pPr>
              <w:ind w:left="60"/>
              <w:spacing w:after="0"/>
              <w:rPr>
                <w:sz w:val="20"/>
                <w:szCs w:val="20"/>
                <w:color w:val="auto"/>
              </w:rPr>
            </w:pPr>
            <w:r>
              <w:rPr>
                <w:rFonts w:ascii="Arial" w:cs="Arial" w:eastAsia="Arial" w:hAnsi="Arial"/>
                <w:sz w:val="16"/>
                <w:szCs w:val="16"/>
                <w:b w:val="1"/>
                <w:bCs w:val="1"/>
                <w:color w:val="auto"/>
              </w:rPr>
              <w:t>2025 Adjusted Automotive Free Cash Flow for 2025 STIP Result</w:t>
            </w:r>
          </w:p>
        </w:tc>
        <w:tc>
          <w:tcPr>
            <w:tcW w:w="2020" w:type="dxa"/>
            <w:vAlign w:val="bottom"/>
            <w:tcBorders>
              <w:bottom w:val="single" w:sz="8" w:color="0956FF"/>
            </w:tcBorders>
          </w:tcPr>
          <w:p>
            <w:pPr>
              <w:jc w:val="right"/>
              <w:ind w:right="120"/>
              <w:spacing w:after="0"/>
              <w:rPr>
                <w:sz w:val="20"/>
                <w:szCs w:val="20"/>
                <w:color w:val="auto"/>
              </w:rPr>
            </w:pPr>
            <w:r>
              <w:rPr>
                <w:rFonts w:ascii="Arial" w:cs="Arial" w:eastAsia="Arial" w:hAnsi="Arial"/>
                <w:sz w:val="16"/>
                <w:szCs w:val="16"/>
                <w:b w:val="1"/>
                <w:bCs w:val="1"/>
                <w:color w:val="auto"/>
              </w:rPr>
              <w:t>$14.0</w:t>
            </w:r>
          </w:p>
        </w:tc>
        <w:tc>
          <w:tcPr>
            <w:tcW w:w="600" w:type="dxa"/>
            <w:vAlign w:val="bottom"/>
            <w:tcBorders>
              <w:bottom w:val="single" w:sz="8" w:color="0956FF"/>
            </w:tcBorders>
          </w:tcPr>
          <w:p>
            <w:pPr>
              <w:jc w:val="right"/>
              <w:spacing w:after="0"/>
              <w:rPr>
                <w:sz w:val="20"/>
                <w:szCs w:val="20"/>
                <w:color w:val="auto"/>
              </w:rPr>
            </w:pPr>
            <w:r>
              <w:rPr>
                <w:rFonts w:ascii="Arial" w:cs="Arial" w:eastAsia="Arial" w:hAnsi="Arial"/>
                <w:sz w:val="16"/>
                <w:szCs w:val="16"/>
                <w:b w:val="1"/>
                <w:bCs w:val="1"/>
                <w:color w:val="auto"/>
              </w:rPr>
              <w:t>$14.4</w:t>
            </w:r>
          </w:p>
        </w:tc>
      </w:tr>
    </w:tbl>
    <w:p>
      <w:pPr>
        <w:spacing w:after="0" w:line="85" w:lineRule="exact"/>
        <w:rPr>
          <w:sz w:val="20"/>
          <w:szCs w:val="20"/>
          <w:color w:val="auto"/>
        </w:rPr>
      </w:pPr>
    </w:p>
    <w:p>
      <w:pPr>
        <w:ind w:left="200" w:right="280" w:hanging="192"/>
        <w:spacing w:after="0" w:line="257" w:lineRule="auto"/>
        <w:tabs>
          <w:tab w:leader="none" w:pos="200" w:val="left"/>
        </w:tabs>
        <w:numPr>
          <w:ilvl w:val="0"/>
          <w:numId w:val="128"/>
        </w:numPr>
        <w:rPr>
          <w:rFonts w:ascii="Arial" w:cs="Arial" w:eastAsia="Arial" w:hAnsi="Arial"/>
          <w:sz w:val="19"/>
          <w:szCs w:val="19"/>
          <w:color w:val="auto"/>
          <w:vertAlign w:val="superscript"/>
        </w:rPr>
      </w:pPr>
      <w:r>
        <w:rPr>
          <w:rFonts w:ascii="Arial" w:cs="Arial" w:eastAsia="Arial" w:hAnsi="Arial"/>
          <w:sz w:val="14"/>
          <w:szCs w:val="14"/>
          <w:color w:val="auto"/>
        </w:rPr>
        <w:t>As discussed in CD&amp;A, the Compensation Committee determined for the Adjusted Automotive Free Cash Flow result that it was appropriate to apply a $3.8B adjustment due to the direct cash impact of new 2025 tariffs measured across materials, components, raw materials and vehicles. Also reflects certain recall-related expenses attributable to events occurring in 2014.</w:t>
      </w:r>
    </w:p>
    <w:p>
      <w:pPr>
        <w:sectPr>
          <w:pgSz w:w="11900" w:h="16838" w:orient="portrait"/>
          <w:cols w:equalWidth="0" w:num="1">
            <w:col w:w="9060"/>
          </w:cols>
          <w:pgMar w:left="1400" w:top="65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9060"/>
          </w:cols>
          <w:pgMar w:left="1400" w:top="657" w:right="1439" w:bottom="1440" w:gutter="0" w:footer="0" w:header="0"/>
          <w:type w:val="continuous"/>
        </w:sectPr>
      </w:pPr>
    </w:p>
    <w:bookmarkStart w:id="116" w:name="page117"/>
    <w:bookmarkEnd w:id="116"/>
    <w:p>
      <w:pPr>
        <w:ind w:right="1019"/>
        <w:spacing w:after="0" w:line="264" w:lineRule="auto"/>
        <w:rPr>
          <w:sz w:val="20"/>
          <w:szCs w:val="20"/>
          <w:color w:val="auto"/>
        </w:rPr>
      </w:pPr>
      <w:r>
        <w:rPr>
          <w:rFonts w:ascii="Arial" w:cs="Arial" w:eastAsia="Arial" w:hAnsi="Arial"/>
          <w:sz w:val="49"/>
          <w:szCs w:val="49"/>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t>Appendix B: Amendment No. 2 to the General Motors Company 2020 Long-Term Incentive Plan</w:t>
      </w:r>
    </w:p>
    <w:p>
      <w:pPr>
        <w:spacing w:after="0" w:line="200" w:lineRule="exact"/>
        <w:rPr>
          <w:sz w:val="20"/>
          <w:szCs w:val="20"/>
          <w:color w:val="auto"/>
        </w:rPr>
      </w:pPr>
    </w:p>
    <w:p>
      <w:pPr>
        <w:spacing w:after="0" w:line="291" w:lineRule="exact"/>
        <w:rPr>
          <w:sz w:val="20"/>
          <w:szCs w:val="20"/>
          <w:color w:val="auto"/>
        </w:rPr>
      </w:pPr>
    </w:p>
    <w:p>
      <w:pPr>
        <w:ind w:right="199"/>
        <w:spacing w:after="0" w:line="289" w:lineRule="auto"/>
        <w:rPr>
          <w:sz w:val="20"/>
          <w:szCs w:val="20"/>
          <w:color w:val="auto"/>
        </w:rPr>
      </w:pPr>
      <w:r>
        <w:rPr>
          <w:rFonts w:ascii="Arial" w:cs="Arial" w:eastAsia="Arial" w:hAnsi="Arial"/>
          <w:sz w:val="16"/>
          <w:szCs w:val="16"/>
          <w:color w:val="auto"/>
        </w:rPr>
        <w:t>This Amendment No. 2 to the General Motors Company 2020 Long-Term Incentive Plan, as amended by Amendment No. 1 (the “Plan”) (“Amendment No. 2”) is adopted by the Board of Directors (the “Board”) of General Motors Company, a Delaware corporation (the “Company”) on April 20, 2026. This Amendment No. 2 will become effective on June 3, 2026, following approval by the Company’s shareholders at the Company’s 2026 Annual Meeting of Shareholders.</w:t>
      </w:r>
    </w:p>
    <w:p>
      <w:pPr>
        <w:spacing w:after="0" w:line="113" w:lineRule="exact"/>
        <w:rPr>
          <w:sz w:val="20"/>
          <w:szCs w:val="20"/>
          <w:color w:val="auto"/>
        </w:rPr>
      </w:pPr>
    </w:p>
    <w:p>
      <w:pPr>
        <w:ind w:right="659"/>
        <w:spacing w:after="0" w:line="321" w:lineRule="auto"/>
        <w:rPr>
          <w:sz w:val="20"/>
          <w:szCs w:val="20"/>
          <w:color w:val="auto"/>
        </w:rPr>
      </w:pPr>
      <w:r>
        <w:rPr>
          <w:rFonts w:ascii="Arial" w:cs="Arial" w:eastAsia="Arial" w:hAnsi="Arial"/>
          <w:sz w:val="16"/>
          <w:szCs w:val="16"/>
          <w:color w:val="auto"/>
        </w:rPr>
        <w:t>WHEREAS, the Plan was originally adopted, upon receipt of approval by the Company’s shareholders, effective as of June 17, 2020;</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WHEREAS, the Plan was amended, upon receipt of approval by the Company’s shareholders, effective as of June 21, 2023;</w:t>
      </w:r>
    </w:p>
    <w:p>
      <w:pPr>
        <w:spacing w:after="0" w:line="167" w:lineRule="exact"/>
        <w:rPr>
          <w:sz w:val="20"/>
          <w:szCs w:val="20"/>
          <w:color w:val="auto"/>
        </w:rPr>
      </w:pPr>
    </w:p>
    <w:p>
      <w:pPr>
        <w:ind w:right="39"/>
        <w:spacing w:after="0" w:line="321" w:lineRule="auto"/>
        <w:rPr>
          <w:sz w:val="20"/>
          <w:szCs w:val="20"/>
          <w:color w:val="auto"/>
        </w:rPr>
      </w:pPr>
      <w:r>
        <w:rPr>
          <w:rFonts w:ascii="Arial" w:cs="Arial" w:eastAsia="Arial" w:hAnsi="Arial"/>
          <w:sz w:val="16"/>
          <w:szCs w:val="16"/>
          <w:color w:val="auto"/>
        </w:rPr>
        <w:t>WHEREAS, the Board desires to amend the Plan, subject to approval of the Company’s shareholders, to increase the number of shares of Company common stock available for issuance thereunder; and</w:t>
      </w:r>
    </w:p>
    <w:p>
      <w:pPr>
        <w:spacing w:after="0" w:line="88" w:lineRule="exact"/>
        <w:rPr>
          <w:sz w:val="20"/>
          <w:szCs w:val="20"/>
          <w:color w:val="auto"/>
        </w:rPr>
      </w:pPr>
    </w:p>
    <w:p>
      <w:pPr>
        <w:ind w:right="99"/>
        <w:spacing w:after="0" w:line="321" w:lineRule="auto"/>
        <w:rPr>
          <w:sz w:val="20"/>
          <w:szCs w:val="20"/>
          <w:color w:val="auto"/>
        </w:rPr>
      </w:pPr>
      <w:r>
        <w:rPr>
          <w:rFonts w:ascii="Arial" w:cs="Arial" w:eastAsia="Arial" w:hAnsi="Arial"/>
          <w:sz w:val="16"/>
          <w:szCs w:val="16"/>
          <w:color w:val="auto"/>
        </w:rPr>
        <w:t>WHEREAS, if the Company’s shareholders fail to approve this Amendment No. 2, the existing Plan shall continue in full force and effect.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NOW, THEREFORE, the Plan is hereby amended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 Section 5(a) of the Plan is hereby deleted and replaced in its entirety with the following:</w:t>
      </w:r>
    </w:p>
    <w:p>
      <w:pPr>
        <w:spacing w:after="0" w:line="181" w:lineRule="exact"/>
        <w:rPr>
          <w:sz w:val="20"/>
          <w:szCs w:val="20"/>
          <w:color w:val="auto"/>
        </w:rPr>
      </w:pPr>
    </w:p>
    <w:p>
      <w:pPr>
        <w:jc w:val="both"/>
        <w:ind w:right="439"/>
        <w:spacing w:after="0" w:line="281" w:lineRule="auto"/>
        <w:rPr>
          <w:sz w:val="20"/>
          <w:szCs w:val="20"/>
          <w:color w:val="auto"/>
        </w:rPr>
      </w:pPr>
      <w:r>
        <w:rPr>
          <w:rFonts w:ascii="Arial" w:cs="Arial" w:eastAsia="Arial" w:hAnsi="Arial"/>
          <w:sz w:val="16"/>
          <w:szCs w:val="16"/>
          <w:color w:val="auto"/>
        </w:rPr>
        <w:t>“(a) Subject to adjustment as provided in Section 5(c), the maximum aggregate number of Shares available for issuance under the Plan shall not exceed the sum of (i) 50,000,000 Shares, as approved by shareholders effective June 17, 2020,</w:t>
      </w:r>
    </w:p>
    <w:p>
      <w:pPr>
        <w:spacing w:after="0" w:line="1" w:lineRule="exact"/>
        <w:rPr>
          <w:sz w:val="20"/>
          <w:szCs w:val="20"/>
          <w:color w:val="auto"/>
        </w:rPr>
      </w:pPr>
    </w:p>
    <w:p>
      <w:pPr>
        <w:ind w:right="179" w:firstLine="8"/>
        <w:spacing w:after="0" w:line="295" w:lineRule="auto"/>
        <w:tabs>
          <w:tab w:leader="none" w:pos="22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27,000,000 Shares, as approved by shareholders effective June 21, 2023, and (iii) 27,000,000 Shares, as approved by shareholders effective June 3, 2026, with each Share subject to (or deliverable with respect to) an Option, SAR, RSU or any other Award reducing the number of Shares available for issuance under the Plan by one Share. The maximum number of Shares available for issuance under Incentive Stock Options shall not exceed the sum of (i), (ii) and (iii) above.”</w:t>
      </w:r>
    </w:p>
    <w:p>
      <w:pPr>
        <w:spacing w:after="0" w:line="94" w:lineRule="exact"/>
        <w:rPr>
          <w:rFonts w:ascii="Arial" w:cs="Arial" w:eastAsia="Arial" w:hAnsi="Arial"/>
          <w:sz w:val="16"/>
          <w:szCs w:val="16"/>
          <w:color w:val="auto"/>
        </w:rPr>
      </w:pPr>
    </w:p>
    <w:p>
      <w:pPr>
        <w:ind w:left="840" w:hanging="184"/>
        <w:spacing w:after="0"/>
        <w:tabs>
          <w:tab w:leader="none" w:pos="8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first sentence of Section 18 of the Plan is hereby deleted and replaced in its entirety with the following:</w:t>
      </w:r>
    </w:p>
    <w:p>
      <w:pPr>
        <w:spacing w:after="0" w:line="181" w:lineRule="exact"/>
        <w:rPr>
          <w:sz w:val="20"/>
          <w:szCs w:val="20"/>
          <w:color w:val="auto"/>
        </w:rPr>
      </w:pPr>
    </w:p>
    <w:p>
      <w:pPr>
        <w:jc w:val="both"/>
        <w:ind w:right="139"/>
        <w:spacing w:after="0" w:line="301" w:lineRule="auto"/>
        <w:rPr>
          <w:sz w:val="20"/>
          <w:szCs w:val="20"/>
          <w:color w:val="auto"/>
        </w:rPr>
      </w:pPr>
      <w:r>
        <w:rPr>
          <w:rFonts w:ascii="Arial" w:cs="Arial" w:eastAsia="Arial" w:hAnsi="Arial"/>
          <w:sz w:val="16"/>
          <w:szCs w:val="16"/>
          <w:color w:val="auto"/>
        </w:rPr>
        <w:t>“Term of the Plan. No Award shall be granted under the Plan after the earliest to occur of (a) June 3, 2036, (b) the maximum aggregate number of Shares available for issuance under the Plan have been issued, or (c) the Board terminates the Plan in accordance with Section 15(a).”</w:t>
      </w:r>
    </w:p>
    <w:p>
      <w:pPr>
        <w:spacing w:after="0" w:line="91" w:lineRule="exact"/>
        <w:rPr>
          <w:sz w:val="20"/>
          <w:szCs w:val="20"/>
          <w:color w:val="auto"/>
        </w:rPr>
      </w:pPr>
    </w:p>
    <w:p>
      <w:pPr>
        <w:ind w:right="219" w:firstLine="656"/>
        <w:spacing w:after="0" w:line="321" w:lineRule="auto"/>
        <w:tabs>
          <w:tab w:leader="none" w:pos="82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Except as expressly set forth in this Amendment No. 2, all other terms and conditions of the Plan shall remain in full force and effect.</w:t>
      </w:r>
    </w:p>
    <w:p>
      <w:pPr>
        <w:sectPr>
          <w:pgSz w:w="11900" w:h="16838" w:orient="portrait"/>
          <w:cols w:equalWidth="0" w:num="1">
            <w:col w:w="9059"/>
          </w:cols>
          <w:pgMar w:left="1400" w:top="1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020"/>
        <w:spacing w:after="0"/>
        <w:tabs>
          <w:tab w:leader="none" w:pos="8800" w:val="left"/>
        </w:tabs>
        <w:rPr>
          <w:sz w:val="20"/>
          <w:szCs w:val="20"/>
          <w:color w:val="auto"/>
        </w:rPr>
      </w:pPr>
      <w:r>
        <w:rPr>
          <w:rFonts w:ascii="Arial" w:cs="Arial" w:eastAsia="Arial" w:hAnsi="Arial"/>
          <w:sz w:val="14"/>
          <w:szCs w:val="14"/>
          <w:b w:val="1"/>
          <w:bCs w:val="1"/>
          <w:color w:val="0956FF"/>
        </w:rPr>
        <w:t>2026 Proxy Statement</w:t>
      </w:r>
      <w:r>
        <w:rPr>
          <w:sz w:val="20"/>
          <w:szCs w:val="20"/>
          <w:color w:val="auto"/>
        </w:rPr>
        <w:tab/>
      </w:r>
      <w:r>
        <w:rPr>
          <w:rFonts w:ascii="Arial" w:cs="Arial" w:eastAsia="Arial" w:hAnsi="Arial"/>
          <w:sz w:val="13"/>
          <w:szCs w:val="13"/>
          <w:b w:val="1"/>
          <w:bCs w:val="1"/>
          <w:color w:val="3D3935"/>
        </w:rPr>
        <w:t>B-1</w:t>
      </w:r>
    </w:p>
    <w:p>
      <w:pPr>
        <w:sectPr>
          <w:pgSz w:w="11900" w:h="16838" w:orient="portrait"/>
          <w:cols w:equalWidth="0" w:num="1">
            <w:col w:w="9059"/>
          </w:cols>
          <w:pgMar w:left="1400" w:top="1339" w:right="1440" w:bottom="1440" w:gutter="0" w:footer="0" w:header="0"/>
          <w:type w:val="continuous"/>
        </w:sectPr>
      </w:pPr>
    </w:p>
    <w:bookmarkStart w:id="117" w:name="page118"/>
    <w:bookmarkEnd w:id="117"/>
    <w:p>
      <w:pPr>
        <w:spacing w:after="0"/>
        <w:tabs>
          <w:tab w:leader="none" w:pos="88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tabs>
          <w:tab w:leader="none" w:pos="88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tabs>
          <w:tab w:leader="none" w:pos="88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tabs>
          <w:tab w:leader="none" w:pos="88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368935</wp:posOffset>
            </wp:positionH>
            <wp:positionV relativeFrom="page">
              <wp:posOffset>172720</wp:posOffset>
            </wp:positionV>
            <wp:extent cx="6810375" cy="88677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10375" cy="8867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1)"/>
      <w:numFmt w:val="decimal"/>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Q"/>
      <w:numFmt w:val="bullet"/>
      <w:start w:val="1"/>
    </w:lvl>
  </w:abstractNum>
  <w:abstractNum w:abstractNumId="9">
    <w:nsid w:val="5F5E7FD0"/>
    <w:multiLevelType w:val="hybridMultilevel"/>
    <w:lvl w:ilvl="0">
      <w:lvlJc w:val="left"/>
      <w:lvlText w:val="A"/>
      <w:numFmt w:val="bullet"/>
      <w:start w:val="1"/>
    </w:lvl>
  </w:abstractNum>
  <w:abstractNum w:abstractNumId="10">
    <w:nsid w:val="98A3148"/>
    <w:multiLevelType w:val="hybridMultilevel"/>
    <w:lvl w:ilvl="0">
      <w:lvlJc w:val="left"/>
      <w:lvlText w:val="\emdash "/>
      <w:numFmt w:val="bullet"/>
      <w:start w:val="1"/>
    </w:lvl>
  </w:abstractNum>
  <w:abstractNum w:abstractNumId="11">
    <w:nsid w:val="799D0247"/>
    <w:multiLevelType w:val="hybridMultilevel"/>
    <w:lvl w:ilvl="0">
      <w:lvlJc w:val="left"/>
      <w:lvlText w:val="Q"/>
      <w:numFmt w:val="bullet"/>
      <w:start w:val="1"/>
    </w:lvl>
  </w:abstractNum>
  <w:abstractNum w:abstractNumId="12">
    <w:nsid w:val="6B94764"/>
    <w:multiLevelType w:val="hybridMultilevel"/>
    <w:lvl w:ilvl="0">
      <w:lvlJc w:val="left"/>
      <w:lvlText w:val="A"/>
      <w:numFmt w:val="bullet"/>
      <w:start w:val="1"/>
    </w:lvl>
  </w:abstractNum>
  <w:abstractNum w:abstractNumId="13">
    <w:nsid w:val="42C296BD"/>
    <w:multiLevelType w:val="hybridMultilevel"/>
    <w:lvl w:ilvl="0">
      <w:lvlJc w:val="left"/>
      <w:lvlText w:val="Q"/>
      <w:numFmt w:val="bullet"/>
      <w:start w:val="1"/>
    </w:lvl>
  </w:abstractNum>
  <w:abstractNum w:abstractNumId="14">
    <w:nsid w:val="168E121F"/>
    <w:multiLevelType w:val="hybridMultilevel"/>
    <w:lvl w:ilvl="0">
      <w:lvlJc w:val="left"/>
      <w:lvlText w:val="A"/>
      <w:numFmt w:val="bullet"/>
      <w:start w:val="1"/>
    </w:lvl>
  </w:abstractNum>
  <w:abstractNum w:abstractNumId="15">
    <w:nsid w:val="1EBA5D23"/>
    <w:multiLevelType w:val="hybridMultilevel"/>
    <w:lvl w:ilvl="0">
      <w:lvlJc w:val="left"/>
      <w:lvlText w:val="Q"/>
      <w:numFmt w:val="bullet"/>
      <w:start w:val="1"/>
    </w:lvl>
  </w:abstractNum>
  <w:abstractNum w:abstractNumId="16">
    <w:nsid w:val="661E3F1E"/>
    <w:multiLevelType w:val="hybridMultilevel"/>
    <w:lvl w:ilvl="0">
      <w:lvlJc w:val="left"/>
      <w:lvlText w:val="A"/>
      <w:numFmt w:val="bullet"/>
      <w:start w:val="1"/>
    </w:lvl>
  </w:abstractNum>
  <w:abstractNum w:abstractNumId="17">
    <w:nsid w:val="5DC79EA8"/>
    <w:multiLevelType w:val="hybridMultilevel"/>
    <w:lvl w:ilvl="0">
      <w:lvlJc w:val="left"/>
      <w:lvlText w:val="Q"/>
      <w:numFmt w:val="bullet"/>
      <w:start w:val="1"/>
    </w:lvl>
  </w:abstractNum>
  <w:abstractNum w:abstractNumId="18">
    <w:nsid w:val="540A471C"/>
    <w:multiLevelType w:val="hybridMultilevel"/>
    <w:lvl w:ilvl="0">
      <w:lvlJc w:val="left"/>
      <w:lvlText w:val="A"/>
      <w:numFmt w:val="bullet"/>
      <w:start w:val="1"/>
    </w:lvl>
  </w:abstractNum>
  <w:abstractNum w:abstractNumId="19">
    <w:nsid w:val="7BD3EE7B"/>
    <w:multiLevelType w:val="hybridMultilevel"/>
    <w:lvl w:ilvl="0">
      <w:lvlJc w:val="left"/>
      <w:lvlText w:val="Q"/>
      <w:numFmt w:val="bullet"/>
      <w:start w:val="1"/>
    </w:lvl>
  </w:abstractNum>
  <w:abstractNum w:abstractNumId="20">
    <w:nsid w:val="51D9C564"/>
    <w:multiLevelType w:val="hybridMultilevel"/>
    <w:lvl w:ilvl="0">
      <w:lvlJc w:val="left"/>
      <w:lvlText w:val="A"/>
      <w:numFmt w:val="bullet"/>
      <w:start w:val="1"/>
    </w:lvl>
  </w:abstractNum>
  <w:abstractNum w:abstractNumId="21">
    <w:nsid w:val="613EFDC5"/>
    <w:multiLevelType w:val="hybridMultilevel"/>
    <w:lvl w:ilvl="0">
      <w:lvlJc w:val="left"/>
      <w:lvlText w:val="Q"/>
      <w:numFmt w:val="bullet"/>
      <w:start w:val="1"/>
    </w:lvl>
  </w:abstractNum>
  <w:abstractNum w:abstractNumId="22">
    <w:nsid w:val="BF72B14"/>
    <w:multiLevelType w:val="hybridMultilevel"/>
    <w:lvl w:ilvl="0">
      <w:lvlJc w:val="left"/>
      <w:lvlText w:val="A"/>
      <w:numFmt w:val="bullet"/>
      <w:start w:val="1"/>
    </w:lvl>
  </w:abstractNum>
  <w:abstractNum w:abstractNumId="23">
    <w:nsid w:val="11447B73"/>
    <w:multiLevelType w:val="hybridMultilevel"/>
    <w:lvl w:ilvl="0">
      <w:lvlJc w:val="left"/>
      <w:lvlText w:val="Q"/>
      <w:numFmt w:val="bullet"/>
      <w:start w:val="1"/>
    </w:lvl>
  </w:abstractNum>
  <w:abstractNum w:abstractNumId="24">
    <w:nsid w:val="42963E5A"/>
    <w:multiLevelType w:val="hybridMultilevel"/>
    <w:lvl w:ilvl="0">
      <w:lvlJc w:val="left"/>
      <w:lvlText w:val="A"/>
      <w:numFmt w:val="bullet"/>
      <w:start w:val="1"/>
    </w:lvl>
  </w:abstractNum>
  <w:abstractNum w:abstractNumId="25">
    <w:nsid w:val="A0382C5"/>
    <w:multiLevelType w:val="hybridMultilevel"/>
    <w:lvl w:ilvl="0">
      <w:lvlJc w:val="left"/>
      <w:lvlText w:val="Q"/>
      <w:numFmt w:val="bullet"/>
      <w:start w:val="1"/>
    </w:lvl>
  </w:abstractNum>
  <w:abstractNum w:abstractNumId="26">
    <w:nsid w:val="8F2B15E"/>
    <w:multiLevelType w:val="hybridMultilevel"/>
    <w:lvl w:ilvl="0">
      <w:lvlJc w:val="left"/>
      <w:lvlText w:val="A"/>
      <w:numFmt w:val="bullet"/>
      <w:start w:val="1"/>
    </w:lvl>
  </w:abstractNum>
  <w:abstractNum w:abstractNumId="27">
    <w:nsid w:val="1A32234B"/>
    <w:multiLevelType w:val="hybridMultilevel"/>
    <w:lvl w:ilvl="0">
      <w:lvlJc w:val="left"/>
      <w:lvlText w:val="Q"/>
      <w:numFmt w:val="bullet"/>
      <w:start w:val="1"/>
    </w:lvl>
  </w:abstractNum>
  <w:abstractNum w:abstractNumId="28">
    <w:nsid w:val="3B0FD379"/>
    <w:multiLevelType w:val="hybridMultilevel"/>
    <w:lvl w:ilvl="0">
      <w:lvlJc w:val="left"/>
      <w:lvlText w:val="A"/>
      <w:numFmt w:val="bullet"/>
      <w:start w:val="1"/>
    </w:lvl>
  </w:abstractNum>
  <w:abstractNum w:abstractNumId="29">
    <w:nsid w:val="68EB2F63"/>
    <w:multiLevelType w:val="hybridMultilevel"/>
    <w:lvl w:ilvl="0">
      <w:lvlJc w:val="left"/>
      <w:lvlText w:val="Q"/>
      <w:numFmt w:val="bullet"/>
      <w:start w:val="1"/>
    </w:lvl>
  </w:abstractNum>
  <w:abstractNum w:abstractNumId="30">
    <w:nsid w:val="4962813B"/>
    <w:multiLevelType w:val="hybridMultilevel"/>
    <w:lvl w:ilvl="0">
      <w:lvlJc w:val="left"/>
      <w:lvlText w:val="A"/>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1)"/>
      <w:numFmt w:val="decimal"/>
      <w:start w:val="1"/>
    </w:lvl>
  </w:abstractNum>
  <w:abstractNum w:abstractNumId="55">
    <w:nsid w:val="CC1016F"/>
    <w:multiLevelType w:val="hybridMultilevel"/>
    <w:lvl w:ilvl="0">
      <w:lvlJc w:val="left"/>
      <w:lvlText w:val="(%1)"/>
      <w:numFmt w:val="decimal"/>
      <w:start w:val="2"/>
    </w:lvl>
  </w:abstractNum>
  <w:abstractNum w:abstractNumId="56">
    <w:nsid w:val="43F18422"/>
    <w:multiLevelType w:val="hybridMultilevel"/>
    <w:lvl w:ilvl="0">
      <w:lvlJc w:val="left"/>
      <w:lvlText w:val="(%1)"/>
      <w:numFmt w:val="decimal"/>
      <w:start w:val="3"/>
    </w:lvl>
  </w:abstractNum>
  <w:abstractNum w:abstractNumId="57">
    <w:nsid w:val="60EF0119"/>
    <w:multiLevelType w:val="hybridMultilevel"/>
    <w:lvl w:ilvl="0">
      <w:lvlJc w:val="left"/>
      <w:lvlText w:val="%1"/>
      <w:numFmt w:val="decimal"/>
      <w:start w:val="1"/>
    </w:lvl>
    <w:lvl w:ilvl="1">
      <w:lvlJc w:val="left"/>
      <w:lvlText w:val="(%2)"/>
      <w:numFmt w:val="lowerLetter"/>
      <w:start w:val="1"/>
    </w:lvl>
  </w:abstractNum>
  <w:abstractNum w:abstractNumId="58">
    <w:nsid w:val="26F324BA"/>
    <w:multiLevelType w:val="hybridMultilevel"/>
    <w:lvl w:ilvl="0">
      <w:lvlJc w:val="left"/>
      <w:lvlText w:val="(%1)"/>
      <w:numFmt w:val="decimal"/>
      <w:start w:val="4"/>
    </w:lvl>
    <w:lvl w:ilvl="1">
      <w:lvlJc w:val="left"/>
      <w:lvlText w:val="%2"/>
      <w:numFmt w:val="lowerLetter"/>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1"/>
      <w:numFmt w:val="decimal"/>
      <w:start w:val="48"/>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1)"/>
      <w:numFmt w:val="decimal"/>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1)"/>
      <w:numFmt w:val="decimal"/>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1)"/>
      <w:numFmt w:val="decimal"/>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1)"/>
      <w:numFmt w:val="decimal"/>
      <w:start w:val="1"/>
    </w:lvl>
  </w:abstractNum>
  <w:abstractNum w:abstractNumId="71">
    <w:nsid w:val="5F3534A4"/>
    <w:multiLevelType w:val="hybridMultilevel"/>
    <w:lvl w:ilvl="0">
      <w:lvlJc w:val="left"/>
      <w:lvlText w:val="•"/>
      <w:numFmt w:val="bullet"/>
      <w:start w:val="1"/>
    </w:lvl>
    <w:lvl w:ilvl="1">
      <w:lvlJc w:val="left"/>
      <w:lvlText w:val="\endash "/>
      <w:numFmt w:val="bullet"/>
      <w:start w:val="1"/>
    </w:lvl>
  </w:abstractNum>
  <w:abstractNum w:abstractNumId="72">
    <w:nsid w:val="73A1821B"/>
    <w:multiLevelType w:val="hybridMultilevel"/>
    <w:lvl w:ilvl="0">
      <w:lvlJc w:val="left"/>
      <w:lvlText w:val="(%1)"/>
      <w:numFmt w:val="decimal"/>
      <w:start w:val="1"/>
    </w:lvl>
  </w:abstractNum>
  <w:abstractNum w:abstractNumId="73">
    <w:nsid w:val="7DE67713"/>
    <w:multiLevelType w:val="hybridMultilevel"/>
    <w:lvl w:ilvl="0">
      <w:lvlJc w:val="left"/>
      <w:lvlText w:val="(%1)"/>
      <w:numFmt w:val="decimal"/>
      <w:start w:val="1"/>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1)"/>
      <w:numFmt w:val="decimal"/>
      <w:start w:val="1"/>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1)"/>
      <w:numFmt w:val="decimal"/>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
      <w:numFmt w:val="bullet"/>
      <w:start w:val="1"/>
    </w:lvl>
  </w:abstractNum>
  <w:abstractNum w:abstractNumId="85">
    <w:nsid w:val="288F1A34"/>
    <w:multiLevelType w:val="hybridMultilevel"/>
    <w:lvl w:ilvl="0">
      <w:lvlJc w:val="left"/>
      <w:lvlText w:val="•"/>
      <w:numFmt w:val="bullet"/>
      <w:start w:val="1"/>
    </w:lvl>
  </w:abstractNum>
  <w:abstractNum w:abstractNumId="86">
    <w:nsid w:val="2A155DBC"/>
    <w:multiLevelType w:val="hybridMultilevel"/>
    <w:lvl w:ilvl="0">
      <w:lvlJc w:val="left"/>
      <w:lvlText w:val="(%1)"/>
      <w:numFmt w:val="decimal"/>
      <w:start w:val="6"/>
    </w:lvl>
  </w:abstractNum>
  <w:abstractNum w:abstractNumId="87">
    <w:nsid w:val="1D9F6E5F"/>
    <w:multiLevelType w:val="hybridMultilevel"/>
    <w:lvl w:ilvl="0">
      <w:lvlJc w:val="left"/>
      <w:lvlText w:val="(%1)"/>
      <w:numFmt w:val="decimal"/>
      <w:start w:val="1"/>
    </w:lvl>
  </w:abstractNum>
  <w:abstractNum w:abstractNumId="88">
    <w:nsid w:val="97E1B4E"/>
    <w:multiLevelType w:val="hybridMultilevel"/>
    <w:lvl w:ilvl="0">
      <w:lvlJc w:val="left"/>
      <w:lvlText w:val="(%1)"/>
      <w:numFmt w:val="decimal"/>
      <w:start w:val="2"/>
    </w:lvl>
  </w:abstractNum>
  <w:abstractNum w:abstractNumId="89">
    <w:nsid w:val="51088277"/>
    <w:multiLevelType w:val="hybridMultilevel"/>
    <w:lvl w:ilvl="0">
      <w:lvlJc w:val="left"/>
      <w:lvlText w:val="(%1)"/>
      <w:numFmt w:val="decimal"/>
      <w:start w:val="2"/>
    </w:lvl>
  </w:abstractNum>
  <w:abstractNum w:abstractNumId="90">
    <w:nsid w:val="1CA0C5FA"/>
    <w:multiLevelType w:val="hybridMultilevel"/>
    <w:lvl w:ilvl="0">
      <w:lvlJc w:val="left"/>
      <w:lvlText w:val="(%1)"/>
      <w:numFmt w:val="decimal"/>
      <w:start w:val="1"/>
    </w:lvl>
  </w:abstractNum>
  <w:abstractNum w:abstractNumId="91">
    <w:nsid w:val="53584BCB"/>
    <w:multiLevelType w:val="hybridMultilevel"/>
    <w:lvl w:ilvl="0">
      <w:lvlJc w:val="left"/>
      <w:lvlText w:val="(%1)"/>
      <w:numFmt w:val="decimal"/>
      <w:start w:val="1"/>
    </w:lvl>
  </w:abstractNum>
  <w:abstractNum w:abstractNumId="92">
    <w:nsid w:val="415E286C"/>
    <w:multiLevelType w:val="hybridMultilevel"/>
    <w:lvl w:ilvl="0">
      <w:lvlJc w:val="left"/>
      <w:lvlText w:val="(%1)"/>
      <w:numFmt w:val="decimal"/>
      <w:start w:val="1"/>
    </w:lvl>
  </w:abstractNum>
  <w:abstractNum w:abstractNumId="93">
    <w:nsid w:val="7C58FD05"/>
    <w:multiLevelType w:val="hybridMultilevel"/>
    <w:lvl w:ilvl="0">
      <w:lvlJc w:val="left"/>
      <w:lvlText w:val="(%1)"/>
      <w:numFmt w:val="decimal"/>
      <w:start w:val="1"/>
    </w:lvl>
  </w:abstractNum>
  <w:abstractNum w:abstractNumId="94">
    <w:nsid w:val="23D86AAC"/>
    <w:multiLevelType w:val="hybridMultilevel"/>
    <w:lvl w:ilvl="0">
      <w:lvlJc w:val="left"/>
      <w:lvlText w:val="%1"/>
      <w:numFmt w:val="decimal"/>
      <w:start w:val="66"/>
    </w:lvl>
  </w:abstractNum>
  <w:abstractNum w:abstractNumId="95">
    <w:nsid w:val="45E6D486"/>
    <w:multiLevelType w:val="hybridMultilevel"/>
    <w:lvl w:ilvl="0">
      <w:lvlJc w:val="left"/>
      <w:lvlText w:val="(%1)"/>
      <w:numFmt w:val="decimal"/>
      <w:start w:val="1"/>
    </w:lvl>
  </w:abstractNum>
  <w:abstractNum w:abstractNumId="96">
    <w:nsid w:val="5C10FE21"/>
    <w:multiLevelType w:val="hybridMultilevel"/>
    <w:lvl w:ilvl="0">
      <w:lvlJc w:val="left"/>
      <w:lvlText w:val="%1."/>
      <w:numFmt w:val="decimal"/>
      <w:start w:val="1"/>
    </w:lvl>
  </w:abstractNum>
  <w:abstractNum w:abstractNumId="97">
    <w:nsid w:val="E7FFA2B"/>
    <w:multiLevelType w:val="hybridMultilevel"/>
    <w:lvl w:ilvl="0">
      <w:lvlJc w:val="left"/>
      <w:lvlText w:val="(%1)"/>
      <w:numFmt w:val="decimal"/>
      <w:start w:val="1"/>
    </w:lvl>
  </w:abstractNum>
  <w:abstractNum w:abstractNumId="98">
    <w:nsid w:val="3C5991AA"/>
    <w:multiLevelType w:val="hybridMultilevel"/>
    <w:lvl w:ilvl="0">
      <w:lvlJc w:val="left"/>
      <w:lvlText w:val="(%1)"/>
      <w:numFmt w:val="decimal"/>
      <w:start w:val="4"/>
    </w:lvl>
  </w:abstractNum>
  <w:abstractNum w:abstractNumId="99">
    <w:nsid w:val="4BD8591A"/>
    <w:multiLevelType w:val="hybridMultilevel"/>
    <w:lvl w:ilvl="0">
      <w:lvlJc w:val="left"/>
      <w:lvlText w:val="(%1)"/>
      <w:numFmt w:val="decimal"/>
      <w:start w:val="1"/>
    </w:lvl>
    <w:lvl w:ilvl="1">
      <w:lvlJc w:val="left"/>
      <w:lvlText w:val="(%2)"/>
      <w:numFmt w:val="lowerLetter"/>
      <w:start w:val="1"/>
    </w:lvl>
  </w:abstractNum>
  <w:abstractNum w:abstractNumId="100">
    <w:nsid w:val="78DF6A55"/>
    <w:multiLevelType w:val="hybridMultilevel"/>
    <w:lvl w:ilvl="0">
      <w:lvlJc w:val="left"/>
      <w:lvlText w:val="(%1)"/>
      <w:numFmt w:val="decimal"/>
      <w:start w:val="3"/>
    </w:lvl>
  </w:abstractNum>
  <w:abstractNum w:abstractNumId="101">
    <w:nsid w:val="39B7AAA2"/>
    <w:multiLevelType w:val="hybridMultilevel"/>
    <w:lvl w:ilvl="0">
      <w:lvlJc w:val="left"/>
      <w:lvlText w:val="•"/>
      <w:numFmt w:val="bullet"/>
      <w:start w:val="1"/>
    </w:lvl>
  </w:abstractNum>
  <w:abstractNum w:abstractNumId="102">
    <w:nsid w:val="2B0D8DBE"/>
    <w:multiLevelType w:val="hybridMultilevel"/>
    <w:lvl w:ilvl="0">
      <w:lvlJc w:val="left"/>
      <w:lvlText w:val="•"/>
      <w:numFmt w:val="bullet"/>
      <w:start w:val="1"/>
    </w:lvl>
  </w:abstractNum>
  <w:abstractNum w:abstractNumId="103">
    <w:nsid w:val="6C80EC70"/>
    <w:multiLevelType w:val="hybridMultilevel"/>
    <w:lvl w:ilvl="0">
      <w:lvlJc w:val="left"/>
      <w:lvlText w:val="(%1)"/>
      <w:numFmt w:val="decimal"/>
      <w:start w:val="1"/>
    </w:lvl>
  </w:abstractNum>
  <w:abstractNum w:abstractNumId="104">
    <w:nsid w:val="379E21B5"/>
    <w:multiLevelType w:val="hybridMultilevel"/>
    <w:lvl w:ilvl="0">
      <w:lvlJc w:val="left"/>
      <w:lvlText w:val="(%1)"/>
      <w:numFmt w:val="decimal"/>
      <w:start w:val="1"/>
    </w:lvl>
  </w:abstractNum>
  <w:abstractNum w:abstractNumId="105">
    <w:nsid w:val="69E373"/>
    <w:multiLevelType w:val="hybridMultilevel"/>
    <w:lvl w:ilvl="0">
      <w:lvlJc w:val="left"/>
      <w:lvlText w:val="•"/>
      <w:numFmt w:val="bullet"/>
      <w:start w:val="1"/>
    </w:lvl>
  </w:abstractNum>
  <w:abstractNum w:abstractNumId="106">
    <w:nsid w:val="2C27173B"/>
    <w:multiLevelType w:val="hybridMultilevel"/>
    <w:lvl w:ilvl="0">
      <w:lvlJc w:val="left"/>
      <w:lvlText w:val="•"/>
      <w:numFmt w:val="bullet"/>
      <w:start w:val="1"/>
    </w:lvl>
  </w:abstractNum>
  <w:abstractNum w:abstractNumId="107">
    <w:nsid w:val="4C9B0904"/>
    <w:multiLevelType w:val="hybridMultilevel"/>
    <w:lvl w:ilvl="0">
      <w:lvlJc w:val="left"/>
      <w:lvlText w:val="•"/>
      <w:numFmt w:val="bullet"/>
      <w:start w:val="1"/>
    </w:lvl>
  </w:abstractNum>
  <w:abstractNum w:abstractNumId="108">
    <w:nsid w:val="6AA7B75C"/>
    <w:multiLevelType w:val="hybridMultilevel"/>
    <w:lvl w:ilvl="0">
      <w:lvlJc w:val="left"/>
      <w:lvlText w:val="•"/>
      <w:numFmt w:val="bullet"/>
      <w:start w:val="1"/>
    </w:lvl>
  </w:abstractNum>
  <w:abstractNum w:abstractNumId="109">
    <w:nsid w:val="1DF029D3"/>
    <w:multiLevelType w:val="hybridMultilevel"/>
    <w:lvl w:ilvl="0">
      <w:lvlJc w:val="left"/>
      <w:lvlText w:val="(%1)"/>
      <w:numFmt w:val="decimal"/>
      <w:start w:val="1"/>
    </w:lvl>
  </w:abstractNum>
  <w:abstractNum w:abstractNumId="110">
    <w:nsid w:val="5675FF36"/>
    <w:multiLevelType w:val="hybridMultilevel"/>
    <w:lvl w:ilvl="0">
      <w:lvlJc w:val="left"/>
      <w:lvlText w:val="(%1)"/>
      <w:numFmt w:val="lowerRoman"/>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
      <w:numFmt w:val="bullet"/>
      <w:start w:val="1"/>
    </w:lvl>
  </w:abstractNum>
  <w:abstractNum w:abstractNumId="113">
    <w:nsid w:val="2708C9AF"/>
    <w:multiLevelType w:val="hybridMultilevel"/>
    <w:lvl w:ilvl="0">
      <w:lvlJc w:val="left"/>
      <w:lvlText w:val="(%1)"/>
      <w:numFmt w:val="decimal"/>
      <w:start w:val="1"/>
    </w:lvl>
  </w:abstractNum>
  <w:abstractNum w:abstractNumId="114">
    <w:nsid w:val="5B25ACE2"/>
    <w:multiLevelType w:val="hybridMultilevel"/>
    <w:lvl w:ilvl="0">
      <w:lvlJc w:val="left"/>
      <w:lvlText w:val="(%1)"/>
      <w:numFmt w:val="decimal"/>
      <w:start w:val="1"/>
    </w:lvl>
  </w:abstractNum>
  <w:abstractNum w:abstractNumId="115">
    <w:nsid w:val="175DFCF0"/>
    <w:multiLevelType w:val="hybridMultilevel"/>
    <w:lvl w:ilvl="0">
      <w:lvlJc w:val="left"/>
      <w:lvlText w:val="(%1)"/>
      <w:numFmt w:val="decimal"/>
      <w:start w:val="5"/>
    </w:lvl>
  </w:abstractNum>
  <w:abstractNum w:abstractNumId="116">
    <w:nsid w:val="4F97E3E4"/>
    <w:multiLevelType w:val="hybridMultilevel"/>
    <w:lvl w:ilvl="0">
      <w:lvlJc w:val="left"/>
      <w:lvlText w:val="(%1)"/>
      <w:numFmt w:val="decimal"/>
      <w:start w:val="1"/>
    </w:lvl>
  </w:abstractNum>
  <w:abstractNum w:abstractNumId="117">
    <w:nsid w:val="53B0A9E"/>
    <w:multiLevelType w:val="hybridMultilevel"/>
    <w:lvl w:ilvl="0">
      <w:lvlJc w:val="left"/>
      <w:lvlText w:val="*"/>
      <w:numFmt w:val="bullet"/>
      <w:start w:val="1"/>
    </w:lvl>
  </w:abstractNum>
  <w:abstractNum w:abstractNumId="118">
    <w:nsid w:val="34FD6B4F"/>
    <w:multiLevelType w:val="hybridMultilevel"/>
    <w:lvl w:ilvl="0">
      <w:lvlJc w:val="left"/>
      <w:lvlText w:val="%1."/>
      <w:numFmt w:val="decimal"/>
      <w:start w:val="1"/>
    </w:lvl>
  </w:abstractNum>
  <w:abstractNum w:abstractNumId="119">
    <w:nsid w:val="5915FF32"/>
    <w:multiLevelType w:val="hybridMultilevel"/>
    <w:lvl w:ilvl="0">
      <w:lvlJc w:val="left"/>
      <w:lvlText w:val="%1."/>
      <w:numFmt w:val="decimal"/>
      <w:start w:val="1"/>
    </w:lvl>
  </w:abstractNum>
  <w:abstractNum w:abstractNumId="120">
    <w:nsid w:val="56438D15"/>
    <w:multiLevelType w:val="hybridMultilevel"/>
    <w:lvl w:ilvl="0">
      <w:lvlJc w:val="left"/>
      <w:lvlText w:val="•"/>
      <w:numFmt w:val="bullet"/>
      <w:start w:val="1"/>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1)"/>
      <w:numFmt w:val="decimal"/>
      <w:start w:val="1"/>
    </w:lvl>
  </w:abstractNum>
  <w:abstractNum w:abstractNumId="123">
    <w:nsid w:val="17A1B582"/>
    <w:multiLevelType w:val="hybridMultilevel"/>
    <w:lvl w:ilvl="0">
      <w:lvlJc w:val="left"/>
      <w:lvlText w:val="(%1)"/>
      <w:numFmt w:val="decimal"/>
      <w:start w:val="2"/>
    </w:lvl>
  </w:abstractNum>
  <w:abstractNum w:abstractNumId="124">
    <w:nsid w:val="4DF72E4E"/>
    <w:multiLevelType w:val="hybridMultilevel"/>
    <w:lvl w:ilvl="0">
      <w:lvlJc w:val="left"/>
      <w:lvlText w:val="(%1)"/>
      <w:numFmt w:val="decimal"/>
      <w:start w:val="8"/>
    </w:lvl>
  </w:abstractNum>
  <w:abstractNum w:abstractNumId="125">
    <w:nsid w:val="5046B5A9"/>
    <w:multiLevelType w:val="hybridMultilevel"/>
    <w:lvl w:ilvl="0">
      <w:lvlJc w:val="left"/>
      <w:lvlText w:val="(%1)"/>
      <w:numFmt w:val="decimal"/>
      <w:start w:val="1"/>
    </w:lvl>
  </w:abstractNum>
  <w:abstractNum w:abstractNumId="126">
    <w:nsid w:val="5D888A08"/>
    <w:multiLevelType w:val="hybridMultilevel"/>
    <w:lvl w:ilvl="0">
      <w:lvlJc w:val="left"/>
      <w:lvlText w:val="(%1)"/>
      <w:numFmt w:val="decimal"/>
      <w:start w:val="1"/>
    </w:lvl>
  </w:abstractNum>
  <w:abstractNum w:abstractNumId="127">
    <w:nsid w:val="2A082C70"/>
    <w:multiLevelType w:val="hybridMultilevel"/>
    <w:lvl w:ilvl="0">
      <w:lvlJc w:val="left"/>
      <w:lvlText w:val="(%1)"/>
      <w:numFmt w:val="decimal"/>
      <w:start w:val="1"/>
    </w:lvl>
  </w:abstractNum>
  <w:abstractNum w:abstractNumId="128">
    <w:nsid w:val="5EC6AFD4"/>
    <w:multiLevelType w:val="hybridMultilevel"/>
    <w:lvl w:ilvl="0">
      <w:lvlJc w:val="left"/>
      <w:lvlText w:val="(%1)"/>
      <w:numFmt w:val="lowerRoman"/>
      <w:start w:val="2"/>
    </w:lvl>
    <w:lvl w:ilvl="1">
      <w:lvlJc w:val="left"/>
      <w:lvlText w:val="%2."/>
      <w:numFmt w:val="decimal"/>
      <w:start w:val="2"/>
    </w:lvl>
  </w:abstractNum>
  <w:abstractNum w:abstractNumId="129">
    <w:nsid w:val="19E21BB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2026-04-20T15:52:44Z</dcterms:created>
  <dcterms:modified xsi:type="dcterms:W3CDTF">2026-04-20T15:52:44Z</dcterms:modified>
</cp:coreProperties>
</file>