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Form 10-Q </w:t>
      </w:r>
    </w:p>
    <w:tbl>
      <w:tblPr>
        <w:tblW w:w="9612" w:type="dxa"/>
        <w:jc w:val="left"/>
        <w:tblInd w:w="0" w:type="dxa"/>
        <w:tblLayout w:type="fixed"/>
        <w:tblCellMar>
          <w:top w:w="28" w:type="dxa"/>
          <w:left w:w="28" w:type="dxa"/>
          <w:bottom w:w="28" w:type="dxa"/>
          <w:right w:w="28" w:type="dxa"/>
        </w:tblCellMar>
      </w:tblPr>
      <w:tblGrid>
        <w:gridCol w:w="124"/>
        <w:gridCol w:w="109"/>
        <w:gridCol w:w="109"/>
        <w:gridCol w:w="2712"/>
        <w:gridCol w:w="2712"/>
        <w:gridCol w:w="38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w:t>
              <w:br/>
              <w:t>OF 1934</w:t>
            </w:r>
          </w:p>
        </w:tc>
      </w:tr>
    </w:tbl>
    <w:p>
      <w:pPr>
        <w:pStyle w:val="TextBody"/>
        <w:bidi w:val="0"/>
        <w:spacing w:lineRule="auto" w:line="288" w:before="0" w:after="0"/>
        <w:ind w:left="0" w:right="0" w:firstLine="495"/>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or</w:t>
      </w:r>
    </w:p>
    <w:tbl>
      <w:tblPr>
        <w:tblW w:w="9597" w:type="dxa"/>
        <w:jc w:val="left"/>
        <w:tblInd w:w="0" w:type="dxa"/>
        <w:tblLayout w:type="fixed"/>
        <w:tblCellMar>
          <w:top w:w="28" w:type="dxa"/>
          <w:left w:w="28" w:type="dxa"/>
          <w:bottom w:w="28" w:type="dxa"/>
          <w:right w:w="28" w:type="dxa"/>
        </w:tblCellMar>
      </w:tblPr>
      <w:tblGrid>
        <w:gridCol w:w="124"/>
        <w:gridCol w:w="109"/>
        <w:gridCol w:w="109"/>
        <w:gridCol w:w="2710"/>
        <w:gridCol w:w="2710"/>
        <w:gridCol w:w="38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TRANSITION REPORT PURSUANT TO SECTION 13 OR 15(d) OF THE SECURITIES EXCHANGE ACT </w:t>
              <w:br/>
              <w:t>OF 1934</w:t>
            </w:r>
          </w:p>
        </w:tc>
      </w:tr>
    </w:tbl>
    <w:p>
      <w:pPr>
        <w:pStyle w:val="TextBody"/>
        <w:bidi w:val="0"/>
        <w:spacing w:lineRule="auto" w:line="288" w:before="80" w:after="283"/>
        <w:ind w:left="0" w:right="0" w:firstLine="495"/>
        <w:jc w:val="left"/>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001-34960 </w:t>
      </w:r>
    </w:p>
    <w:p>
      <w:pPr>
        <w:pStyle w:val="TextBody"/>
        <w:bidi w:val="0"/>
        <w:spacing w:before="180" w:after="120"/>
        <w:jc w:val="center"/>
        <w:rPr/>
      </w:pPr>
      <w:r>
        <w:rPr/>
        <w:drawing>
          <wp:inline distT="0" distB="0" distL="0" distR="0">
            <wp:extent cx="5143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4350" cy="5143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 xml:space="preserve">GENERAL MOTORS COMPANY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579" w:type="dxa"/>
        <w:jc w:val="center"/>
        <w:tblInd w:w="0" w:type="dxa"/>
        <w:tblLayout w:type="fixed"/>
        <w:tblCellMar>
          <w:top w:w="28" w:type="dxa"/>
          <w:left w:w="28" w:type="dxa"/>
          <w:bottom w:w="28" w:type="dxa"/>
          <w:right w:w="28" w:type="dxa"/>
        </w:tblCellMar>
      </w:tblPr>
      <w:tblGrid>
        <w:gridCol w:w="125"/>
        <w:gridCol w:w="110"/>
        <w:gridCol w:w="110"/>
        <w:gridCol w:w="186"/>
        <w:gridCol w:w="186"/>
        <w:gridCol w:w="186"/>
        <w:gridCol w:w="186"/>
        <w:gridCol w:w="186"/>
        <w:gridCol w:w="186"/>
        <w:gridCol w:w="186"/>
        <w:gridCol w:w="186"/>
        <w:gridCol w:w="186"/>
        <w:gridCol w:w="186"/>
        <w:gridCol w:w="186"/>
        <w:gridCol w:w="186"/>
        <w:gridCol w:w="249"/>
        <w:gridCol w:w="249"/>
        <w:gridCol w:w="251"/>
        <w:gridCol w:w="305"/>
        <w:gridCol w:w="305"/>
        <w:gridCol w:w="306"/>
        <w:gridCol w:w="110"/>
        <w:gridCol w:w="110"/>
        <w:gridCol w:w="110"/>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c>
          <w:tcPr>
            <w:tcW w:w="200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27-0756180</w:t>
            </w:r>
          </w:p>
        </w:tc>
      </w:tr>
      <w:tr>
        <w:trPr/>
        <w:tc>
          <w:tcPr>
            <w:tcW w:w="457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(State or other jurisdiction of</w:t>
              <w:br/>
              <w:t>incorporation or organization)</w:t>
            </w:r>
          </w:p>
        </w:tc>
        <w:tc>
          <w:tcPr>
            <w:tcW w:w="200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(I.R.S. Employer</w:t>
              <w:br/>
              <w:t>Identification No.)</w:t>
            </w:r>
          </w:p>
        </w:tc>
      </w:tr>
      <w:tr>
        <w:trPr/>
        <w:tc>
          <w:tcPr>
            <w:tcW w:w="6579" w:type="dxa"/>
            <w:gridSpan w:val="4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1240 Woodward Avenue,</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Detroit,</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Michigan</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9"/>
              </w:rPr>
              <w:t>48265</w:t>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57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(Address of principal executive offices)</w:t>
            </w:r>
          </w:p>
        </w:tc>
        <w:tc>
          <w:tcPr>
            <w:tcW w:w="200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(313) 667-1500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(Registrant’s telephone number, including area code)</w:t>
      </w:r>
    </w:p>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053" w:type="dxa"/>
        <w:jc w:val="center"/>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u w:val="single"/>
              </w:rPr>
            </w:pPr>
            <w:r>
              <w:rPr>
                <w:rFonts w:ascii="Times New Roman;serif" w:hAnsi="Times New Roman;serif"/>
                <w:b w:val="false"/>
                <w:color w:val="000000"/>
                <w:sz w:val="19"/>
                <w:u w:val="single"/>
              </w:rPr>
              <w:t>Name of each exchange on which registered</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Stock, $0.01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GM</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New York Stock Exchange</w:t>
            </w:r>
          </w:p>
        </w:tc>
      </w:tr>
    </w:tbl>
    <w:p>
      <w:pPr>
        <w:pStyle w:val="TextBody"/>
        <w:bidi w:val="0"/>
        <w:spacing w:lineRule="auto" w:line="288" w:before="20" w:after="283"/>
        <w:ind w:left="0" w:right="0" w:firstLine="90"/>
        <w:jc w:val="both"/>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ind w:left="0" w:right="0" w:firstLine="90"/>
        <w:jc w:val="both"/>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ind w:left="0" w:right="0" w:firstLine="90"/>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ind w:left="0" w:right="0" w:firstLine="90"/>
        <w:jc w:val="both"/>
        <w:rPr/>
      </w:pPr>
      <w:r>
        <w:rPr>
          <w:rFonts w:ascii="Times New Roman;serif" w:hAnsi="Times New Roman;serif"/>
          <w:b w:val="false"/>
          <w:color w:val="000000"/>
          <w:sz w:val="18"/>
        </w:rPr>
        <w:t>Large accelerated filer  </w:t>
      </w:r>
      <w:r>
        <w:rPr>
          <w:color w:val="000000"/>
        </w:rPr>
        <w:t>☑  </w:t>
      </w:r>
      <w:r>
        <w:rPr>
          <w:rFonts w:ascii="Times New Roman;serif" w:hAnsi="Times New Roman;serif"/>
          <w:b w:val="false"/>
          <w:color w:val="000000"/>
          <w:sz w:val="18"/>
        </w:rPr>
        <w:t>Accelerated filer  </w:t>
      </w:r>
      <w:r>
        <w:rPr>
          <w:color w:val="000000"/>
        </w:rPr>
        <w:t xml:space="preserve">☐ </w:t>
      </w:r>
      <w:r>
        <w:rPr>
          <w:rFonts w:ascii="Times New Roman;serif" w:hAnsi="Times New Roman;serif"/>
          <w:b w:val="false"/>
          <w:color w:val="000000"/>
          <w:sz w:val="18"/>
        </w:rPr>
        <w:t>Non-accelerated filer  </w:t>
      </w:r>
      <w:r>
        <w:rPr>
          <w:color w:val="000000"/>
        </w:rPr>
        <w:t>☐  </w:t>
      </w:r>
      <w:r>
        <w:rPr>
          <w:rFonts w:ascii="Times New Roman;serif" w:hAnsi="Times New Roman;serif"/>
          <w:b w:val="false"/>
          <w:color w:val="000000"/>
          <w:sz w:val="18"/>
        </w:rPr>
        <w:t xml:space="preserve">Smaller reporting company  </w:t>
      </w:r>
      <w:r>
        <w:rPr>
          <w:color w:val="000000"/>
        </w:rPr>
        <w:t xml:space="preserve">☐ </w:t>
      </w:r>
      <w:r>
        <w:rPr>
          <w:rFonts w:ascii="Times New Roman;serif" w:hAnsi="Times New Roman;serif"/>
          <w:b w:val="false"/>
          <w:color w:val="000000"/>
          <w:sz w:val="18"/>
        </w:rPr>
        <w:t xml:space="preserve">Emerging growth company  </w:t>
      </w:r>
      <w:r>
        <w:rPr>
          <w:color w:val="000000"/>
        </w:rPr>
        <w:t>☐ </w:t>
      </w:r>
    </w:p>
    <w:p>
      <w:pPr>
        <w:pStyle w:val="TextBody"/>
        <w:bidi w:val="0"/>
        <w:spacing w:lineRule="auto" w:line="288" w:before="120" w:after="283"/>
        <w:ind w:left="0" w:right="0" w:firstLine="90"/>
        <w:jc w:val="both"/>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90"/>
        <w:jc w:val="both"/>
        <w:rPr/>
      </w:pPr>
      <w:r>
        <w:rPr>
          <w:rFonts w:ascii="Times New Roman;serif" w:hAnsi="Times New Roman;serif"/>
          <w:b w:val="false"/>
          <w:color w:val="000000"/>
          <w:sz w:val="19"/>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9"/>
        </w:rPr>
        <w:t>No  </w:t>
      </w:r>
      <w:r>
        <w:rPr>
          <w:color w:val="000000"/>
        </w:rPr>
        <w:t>☑</w:t>
      </w:r>
    </w:p>
    <w:p>
      <w:pPr>
        <w:pStyle w:val="TextBody"/>
        <w:bidi w:val="0"/>
        <w:spacing w:lineRule="auto" w:line="288" w:before="120" w:after="283"/>
        <w:ind w:left="0" w:right="0" w:firstLine="90"/>
        <w:jc w:val="both"/>
        <w:rPr>
          <w:rFonts w:ascii="Times New Roman;serif" w:hAnsi="Times New Roman;serif"/>
          <w:b w:val="false"/>
          <w:color w:val="000000"/>
          <w:sz w:val="19"/>
        </w:rPr>
      </w:pPr>
      <w:r>
        <w:rPr>
          <w:rFonts w:ascii="Times New Roman;serif" w:hAnsi="Times New Roman;serif"/>
          <w:b w:val="false"/>
          <w:color w:val="000000"/>
          <w:sz w:val="19"/>
        </w:rPr>
        <w:t>As of July 10, 2026 there were 877,451,541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34" w:type="dxa"/>
        <w:jc w:val="left"/>
        <w:tblInd w:w="0" w:type="dxa"/>
        <w:tblLayout w:type="fixed"/>
        <w:tblCellMar>
          <w:top w:w="28" w:type="dxa"/>
          <w:left w:w="28" w:type="dxa"/>
          <w:bottom w:w="28" w:type="dxa"/>
          <w:right w:w="28" w:type="dxa"/>
        </w:tblCellMar>
      </w:tblPr>
      <w:tblGrid>
        <w:gridCol w:w="325"/>
        <w:gridCol w:w="286"/>
        <w:gridCol w:w="290"/>
        <w:gridCol w:w="1050"/>
        <w:gridCol w:w="1050"/>
        <w:gridCol w:w="1050"/>
        <w:gridCol w:w="1403"/>
        <w:gridCol w:w="1403"/>
        <w:gridCol w:w="1406"/>
        <w:gridCol w:w="167"/>
        <w:gridCol w:w="167"/>
        <w:gridCol w:w="237"/>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88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Financial Statements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3">
              <w:r>
                <w:rPr>
                  <w:rStyle w:val="InternetLink"/>
                  <w:rFonts w:ascii="Times New Roman;serif" w:hAnsi="Times New Roman;serif"/>
                  <w:b w:val="false"/>
                  <w:color w:val="0000FF"/>
                  <w:sz w:val="20"/>
                  <w:u w:val="single"/>
                </w:rPr>
                <w:t>1</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Income Statements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6">
              <w:r>
                <w:rPr>
                  <w:rStyle w:val="InternetLink"/>
                  <w:rFonts w:ascii="Times New Roman;serif" w:hAnsi="Times New Roman;serif"/>
                  <w:b w:val="false"/>
                  <w:color w:val="0000FF"/>
                  <w:sz w:val="20"/>
                  <w:u w:val="single"/>
                </w:rPr>
                <w:t>1</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 (Unaudited)</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945">
              <w:r>
                <w:rPr>
                  <w:rStyle w:val="InternetLink"/>
                  <w:rFonts w:ascii="Times New Roman;serif" w:hAnsi="Times New Roman;serif"/>
                  <w:b w:val="false"/>
                  <w:color w:val="0000FF"/>
                  <w:sz w:val="20"/>
                  <w:u w:val="single"/>
                </w:rPr>
                <w:t>1</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9">
              <w:r>
                <w:rPr>
                  <w:rStyle w:val="InternetLink"/>
                  <w:rFonts w:ascii="Times New Roman;serif" w:hAnsi="Times New Roman;serif"/>
                  <w:b w:val="false"/>
                  <w:color w:val="0000FF"/>
                  <w:sz w:val="20"/>
                  <w:u w:val="single"/>
                </w:rPr>
                <w:t>2</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22">
              <w:r>
                <w:rPr>
                  <w:rStyle w:val="InternetLink"/>
                  <w:rFonts w:ascii="Times New Roman;serif" w:hAnsi="Times New Roman;serif"/>
                  <w:b w:val="false"/>
                  <w:color w:val="0000FF"/>
                  <w:sz w:val="20"/>
                  <w:u w:val="single"/>
                </w:rPr>
                <w:t>3</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Equity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25">
              <w:r>
                <w:rPr>
                  <w:rStyle w:val="InternetLink"/>
                  <w:rFonts w:ascii="Times New Roman;serif" w:hAnsi="Times New Roman;serif"/>
                  <w:b w:val="false"/>
                  <w:color w:val="0000FF"/>
                  <w:sz w:val="20"/>
                  <w:u w:val="single"/>
                </w:rPr>
                <w:t>4</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28">
              <w:r>
                <w:rPr>
                  <w:rStyle w:val="InternetLink"/>
                  <w:rFonts w:ascii="Times New Roman;serif" w:hAnsi="Times New Roman;serif"/>
                  <w:b w:val="false"/>
                  <w:color w:val="0000FF"/>
                  <w:sz w:val="20"/>
                  <w:u w:val="single"/>
                </w:rPr>
                <w:t>5</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Nature of Operations and Basis of Presentation</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28">
              <w:r>
                <w:rPr>
                  <w:rStyle w:val="InternetLink"/>
                  <w:rFonts w:ascii="Times New Roman;serif" w:hAnsi="Times New Roman;serif"/>
                  <w:b w:val="false"/>
                  <w:color w:val="0000FF"/>
                  <w:sz w:val="20"/>
                  <w:u w:val="single"/>
                </w:rPr>
                <w:t>5</w:t>
              </w:r>
            </w:hyperlink>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c>
          <w:tcPr>
            <w:tcW w:w="4212"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2.</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34">
              <w:r>
                <w:rPr>
                  <w:rStyle w:val="InternetLink"/>
                  <w:rFonts w:ascii="Times New Roman;serif" w:hAnsi="Times New Roman;serif"/>
                  <w:b w:val="false"/>
                  <w:color w:val="0000FF"/>
                  <w:sz w:val="20"/>
                  <w:u w:val="single"/>
                </w:rPr>
                <w:t>6</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3.</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and Other Securities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40">
              <w:r>
                <w:rPr>
                  <w:rStyle w:val="InternetLink"/>
                  <w:rFonts w:ascii="Times New Roman;serif" w:hAnsi="Times New Roman;serif"/>
                  <w:b w:val="false"/>
                  <w:color w:val="0000FF"/>
                  <w:sz w:val="20"/>
                  <w:u w:val="single"/>
                </w:rPr>
                <w:t>8</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4.</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 Financial Receivables and Transactions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43">
              <w:r>
                <w:rPr>
                  <w:rStyle w:val="InternetLink"/>
                  <w:rFonts w:ascii="Times New Roman;serif" w:hAnsi="Times New Roman;serif"/>
                  <w:b w:val="false"/>
                  <w:color w:val="0000FF"/>
                  <w:sz w:val="20"/>
                  <w:u w:val="single"/>
                </w:rPr>
                <w:t>9</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5.</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46">
              <w:r>
                <w:rPr>
                  <w:rStyle w:val="InternetLink"/>
                  <w:rFonts w:ascii="Times New Roman;serif" w:hAnsi="Times New Roman;serif"/>
                  <w:b w:val="false"/>
                  <w:color w:val="0000FF"/>
                  <w:sz w:val="20"/>
                  <w:u w:val="single"/>
                </w:rPr>
                <w:t>12</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6.</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on Operating Leases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49">
              <w:r>
                <w:rPr>
                  <w:rStyle w:val="InternetLink"/>
                  <w:rFonts w:ascii="Times New Roman;serif" w:hAnsi="Times New Roman;serif"/>
                  <w:b w:val="false"/>
                  <w:color w:val="0000FF"/>
                  <w:sz w:val="20"/>
                  <w:u w:val="single"/>
                </w:rPr>
                <w:t>12</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7.</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Assets of Nonconsolidated Affiliates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52">
              <w:r>
                <w:rPr>
                  <w:rStyle w:val="InternetLink"/>
                  <w:rFonts w:ascii="Times New Roman;serif" w:hAnsi="Times New Roman;serif"/>
                  <w:b w:val="false"/>
                  <w:color w:val="0000FF"/>
                  <w:sz w:val="20"/>
                  <w:u w:val="single"/>
                </w:rPr>
                <w:t>13</w:t>
              </w:r>
            </w:hyperlink>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c>
          <w:tcPr>
            <w:tcW w:w="4212"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8.</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Interest Entities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55">
              <w:r>
                <w:rPr>
                  <w:rStyle w:val="InternetLink"/>
                  <w:rFonts w:ascii="Times New Roman;serif" w:hAnsi="Times New Roman;serif"/>
                  <w:b w:val="false"/>
                  <w:color w:val="0000FF"/>
                  <w:sz w:val="20"/>
                  <w:u w:val="single"/>
                </w:rPr>
                <w:t>14</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9.</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58">
              <w:r>
                <w:rPr>
                  <w:rStyle w:val="InternetLink"/>
                  <w:rFonts w:ascii="Times New Roman;serif" w:hAnsi="Times New Roman;serif"/>
                  <w:b w:val="false"/>
                  <w:color w:val="0000FF"/>
                  <w:sz w:val="20"/>
                  <w:u w:val="single"/>
                </w:rPr>
                <w:t>15</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10.</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64">
              <w:r>
                <w:rPr>
                  <w:rStyle w:val="InternetLink"/>
                  <w:rFonts w:ascii="Times New Roman;serif" w:hAnsi="Times New Roman;serif"/>
                  <w:b w:val="false"/>
                  <w:color w:val="0000FF"/>
                  <w:sz w:val="20"/>
                  <w:u w:val="single"/>
                </w:rPr>
                <w:t>16</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11.</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Warranty and Related Liabilities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70">
              <w:r>
                <w:rPr>
                  <w:rStyle w:val="InternetLink"/>
                  <w:rFonts w:ascii="Times New Roman;serif" w:hAnsi="Times New Roman;serif"/>
                  <w:b w:val="false"/>
                  <w:color w:val="0000FF"/>
                  <w:sz w:val="20"/>
                  <w:u w:val="single"/>
                </w:rPr>
                <w:t>17</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12.</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Pensions and Other Postretirement Benefits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76">
              <w:r>
                <w:rPr>
                  <w:rStyle w:val="InternetLink"/>
                  <w:rFonts w:ascii="Times New Roman;serif" w:hAnsi="Times New Roman;serif"/>
                  <w:b w:val="false"/>
                  <w:color w:val="0000FF"/>
                  <w:sz w:val="20"/>
                  <w:u w:val="single"/>
                </w:rPr>
                <w:t>18</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13.</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Contingencies, and Uncertainties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79">
              <w:r>
                <w:rPr>
                  <w:rStyle w:val="InternetLink"/>
                  <w:rFonts w:ascii="Times New Roman;serif" w:hAnsi="Times New Roman;serif"/>
                  <w:b w:val="false"/>
                  <w:color w:val="0000FF"/>
                  <w:sz w:val="20"/>
                  <w:u w:val="single"/>
                </w:rPr>
                <w:t>18</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14.</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82">
              <w:r>
                <w:rPr>
                  <w:rStyle w:val="InternetLink"/>
                  <w:rFonts w:ascii="Times New Roman;serif" w:hAnsi="Times New Roman;serif"/>
                  <w:b w:val="false"/>
                  <w:color w:val="0000FF"/>
                  <w:sz w:val="20"/>
                  <w:u w:val="single"/>
                </w:rPr>
                <w:t>21</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15.</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Initiatives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616">
              <w:r>
                <w:rPr>
                  <w:rStyle w:val="InternetLink"/>
                  <w:rFonts w:ascii="Times New Roman;serif" w:hAnsi="Times New Roman;serif"/>
                  <w:b w:val="false"/>
                  <w:color w:val="0000FF"/>
                  <w:sz w:val="20"/>
                  <w:u w:val="single"/>
                </w:rPr>
                <w:t>22</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16.</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and Noncontrolling Interests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85">
              <w:r>
                <w:rPr>
                  <w:rStyle w:val="InternetLink"/>
                  <w:rFonts w:ascii="Times New Roman;serif" w:hAnsi="Times New Roman;serif"/>
                  <w:b w:val="false"/>
                  <w:color w:val="0000FF"/>
                  <w:sz w:val="20"/>
                  <w:u w:val="single"/>
                </w:rPr>
                <w:t>22</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17.</w:t>
            </w:r>
          </w:p>
        </w:tc>
        <w:tc>
          <w:tcPr>
            <w:tcW w:w="4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88">
              <w:r>
                <w:rPr>
                  <w:rStyle w:val="InternetLink"/>
                  <w:rFonts w:ascii="Times New Roman;serif" w:hAnsi="Times New Roman;serif"/>
                  <w:b w:val="false"/>
                  <w:color w:val="0000FF"/>
                  <w:sz w:val="20"/>
                  <w:u w:val="single"/>
                </w:rPr>
                <w:t>24</w:t>
              </w:r>
            </w:hyperlink>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c>
          <w:tcPr>
            <w:tcW w:w="4212"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18.</w:t>
            </w:r>
          </w:p>
        </w:tc>
        <w:tc>
          <w:tcPr>
            <w:tcW w:w="4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Reporting</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94">
              <w:r>
                <w:rPr>
                  <w:rStyle w:val="InternetLink"/>
                  <w:rFonts w:ascii="Times New Roman;serif" w:hAnsi="Times New Roman;serif"/>
                  <w:b w:val="false"/>
                  <w:color w:val="0000FF"/>
                  <w:sz w:val="20"/>
                  <w:u w:val="single"/>
                </w:rPr>
                <w:t>24</w:t>
              </w:r>
            </w:hyperlink>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c>
          <w:tcPr>
            <w:tcW w:w="4212"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97">
              <w:r>
                <w:rPr>
                  <w:rStyle w:val="InternetLink"/>
                  <w:rFonts w:ascii="Times New Roman;serif" w:hAnsi="Times New Roman;serif"/>
                  <w:b w:val="false"/>
                  <w:color w:val="0000FF"/>
                  <w:sz w:val="20"/>
                  <w:u w:val="single"/>
                </w:rPr>
                <w:t>28</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48">
              <w:r>
                <w:rPr>
                  <w:rStyle w:val="InternetLink"/>
                  <w:rFonts w:ascii="Times New Roman;serif" w:hAnsi="Times New Roman;serif"/>
                  <w:b w:val="false"/>
                  <w:color w:val="0000FF"/>
                  <w:sz w:val="20"/>
                  <w:u w:val="single"/>
                </w:rPr>
                <w:t>46</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51">
              <w:r>
                <w:rPr>
                  <w:rStyle w:val="InternetLink"/>
                  <w:rFonts w:ascii="Times New Roman;serif" w:hAnsi="Times New Roman;serif"/>
                  <w:b w:val="false"/>
                  <w:color w:val="0000FF"/>
                  <w:sz w:val="20"/>
                  <w:u w:val="single"/>
                </w:rPr>
                <w:t>46</w:t>
              </w:r>
            </w:hyperlink>
          </w:p>
        </w:tc>
      </w:tr>
      <w:tr>
        <w:trPr/>
        <w:tc>
          <w:tcPr>
            <w:tcW w:w="883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57">
              <w:r>
                <w:rPr>
                  <w:rStyle w:val="InternetLink"/>
                  <w:rFonts w:ascii="Times New Roman;serif" w:hAnsi="Times New Roman;serif"/>
                  <w:b w:val="false"/>
                  <w:color w:val="0000FF"/>
                  <w:sz w:val="20"/>
                  <w:u w:val="single"/>
                </w:rPr>
                <w:t>47</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60">
              <w:r>
                <w:rPr>
                  <w:rStyle w:val="InternetLink"/>
                  <w:rFonts w:ascii="Times New Roman;serif" w:hAnsi="Times New Roman;serif"/>
                  <w:b w:val="false"/>
                  <w:color w:val="0000FF"/>
                  <w:sz w:val="20"/>
                  <w:u w:val="single"/>
                </w:rPr>
                <w:t>47</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63">
              <w:r>
                <w:rPr>
                  <w:rStyle w:val="InternetLink"/>
                  <w:rFonts w:ascii="Times New Roman;serif" w:hAnsi="Times New Roman;serif"/>
                  <w:b w:val="false"/>
                  <w:color w:val="0000FF"/>
                  <w:sz w:val="20"/>
                  <w:u w:val="single"/>
                </w:rPr>
                <w:t>48</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689">
              <w:r>
                <w:rPr>
                  <w:rStyle w:val="InternetLink"/>
                  <w:rFonts w:ascii="Times New Roman;serif" w:hAnsi="Times New Roman;serif"/>
                  <w:b w:val="false"/>
                  <w:color w:val="0000FF"/>
                  <w:sz w:val="20"/>
                  <w:u w:val="single"/>
                </w:rPr>
                <w:t>48</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Exhibits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66">
              <w:r>
                <w:rPr>
                  <w:rStyle w:val="InternetLink"/>
                  <w:rFonts w:ascii="Times New Roman;serif" w:hAnsi="Times New Roman;serif"/>
                  <w:b w:val="false"/>
                  <w:color w:val="0000FF"/>
                  <w:sz w:val="20"/>
                  <w:u w:val="single"/>
                </w:rPr>
                <w:t>49</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r>
          </w:p>
        </w:tc>
        <w:tc>
          <w:tcPr>
            <w:tcW w:w="7362"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72256cc4f504880aad37a56122eeb23_169">
              <w:r>
                <w:rPr>
                  <w:rStyle w:val="InternetLink"/>
                  <w:rFonts w:ascii="Times New Roman;serif" w:hAnsi="Times New Roman;serif"/>
                  <w:b w:val="false"/>
                  <w:color w:val="0000FF"/>
                  <w:sz w:val="20"/>
                  <w:u w:val="single"/>
                </w:rPr>
                <w:t>50</w:t>
              </w:r>
            </w:hyperlink>
          </w:p>
        </w:tc>
      </w:tr>
    </w:tbl>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CONDENSED CONSOLIDATED INCOME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tbl>
      <w:tblPr>
        <w:tblW w:w="10205" w:type="dxa"/>
        <w:jc w:val="center"/>
        <w:tblInd w:w="0" w:type="dxa"/>
        <w:tblLayout w:type="fixed"/>
        <w:tblCellMar>
          <w:top w:w="28" w:type="dxa"/>
          <w:left w:w="28" w:type="dxa"/>
          <w:bottom w:w="28" w:type="dxa"/>
          <w:right w:w="28" w:type="dxa"/>
        </w:tblCellMar>
      </w:tblPr>
      <w:tblGrid>
        <w:gridCol w:w="1708"/>
        <w:gridCol w:w="1487"/>
        <w:gridCol w:w="1499"/>
        <w:gridCol w:w="231"/>
        <w:gridCol w:w="761"/>
        <w:gridCol w:w="128"/>
        <w:gridCol w:w="109"/>
        <w:gridCol w:w="109"/>
        <w:gridCol w:w="109"/>
        <w:gridCol w:w="231"/>
        <w:gridCol w:w="761"/>
        <w:gridCol w:w="128"/>
        <w:gridCol w:w="109"/>
        <w:gridCol w:w="109"/>
        <w:gridCol w:w="109"/>
        <w:gridCol w:w="231"/>
        <w:gridCol w:w="761"/>
        <w:gridCol w:w="128"/>
        <w:gridCol w:w="109"/>
        <w:gridCol w:w="109"/>
        <w:gridCol w:w="109"/>
        <w:gridCol w:w="229"/>
        <w:gridCol w:w="756"/>
        <w:gridCol w:w="185"/>
      </w:tblGrid>
      <w:tr>
        <w:trPr/>
        <w:tc>
          <w:tcPr>
            <w:tcW w:w="170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 and revenue</w:t>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net sales and revenue (Note 2)</w:t>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48,026 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91,650 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91,141 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Automotive and other cost of sales </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 interest, operating, and other expenses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7,058 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 and other selling, general, and administrative expense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46,567 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44,995 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87,265 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85,662 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 interest expense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and other non-operating income,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income (loss) (Note 7)</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 (Note 14)</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noncontrolling interests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stockholders</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4,680 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common stockholders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Earnings per share (Note 17)</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common share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common share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diluted</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1722"/>
        <w:gridCol w:w="1512"/>
        <w:gridCol w:w="1514"/>
        <w:gridCol w:w="251"/>
        <w:gridCol w:w="715"/>
        <w:gridCol w:w="139"/>
        <w:gridCol w:w="109"/>
        <w:gridCol w:w="109"/>
        <w:gridCol w:w="109"/>
        <w:gridCol w:w="251"/>
        <w:gridCol w:w="715"/>
        <w:gridCol w:w="139"/>
        <w:gridCol w:w="109"/>
        <w:gridCol w:w="109"/>
        <w:gridCol w:w="109"/>
        <w:gridCol w:w="251"/>
        <w:gridCol w:w="715"/>
        <w:gridCol w:w="139"/>
        <w:gridCol w:w="109"/>
        <w:gridCol w:w="109"/>
        <w:gridCol w:w="109"/>
        <w:gridCol w:w="249"/>
        <w:gridCol w:w="707"/>
        <w:gridCol w:w="205"/>
      </w:tblGrid>
      <w:tr>
        <w:trPr/>
        <w:tc>
          <w:tcPr>
            <w:tcW w:w="172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7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7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4,058 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Other comprehensive income (loss), net of tax (Note 16)</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and other</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Defined benefit plans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hedges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w:t>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Comprehensive loss (income) attributable to noncontrolling interests </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 attributable to stockholders</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4,091 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Reference should be made to the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Amounts may not add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 </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 </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tbl>
      <w:tblPr>
        <w:tblW w:w="8967" w:type="dxa"/>
        <w:jc w:val="left"/>
        <w:tblInd w:w="0" w:type="dxa"/>
        <w:tblLayout w:type="fixed"/>
        <w:tblCellMar>
          <w:top w:w="28" w:type="dxa"/>
          <w:left w:w="28" w:type="dxa"/>
          <w:bottom w:w="28" w:type="dxa"/>
          <w:right w:w="28" w:type="dxa"/>
        </w:tblCellMar>
      </w:tblPr>
      <w:tblGrid>
        <w:gridCol w:w="2166"/>
        <w:gridCol w:w="1897"/>
        <w:gridCol w:w="1907"/>
        <w:gridCol w:w="212"/>
        <w:gridCol w:w="796"/>
        <w:gridCol w:w="117"/>
        <w:gridCol w:w="109"/>
        <w:gridCol w:w="109"/>
        <w:gridCol w:w="109"/>
        <w:gridCol w:w="279"/>
        <w:gridCol w:w="1047"/>
        <w:gridCol w:w="219"/>
      </w:tblGrid>
      <w:tr>
        <w:trPr/>
        <w:tc>
          <w:tcPr>
            <w:tcW w:w="216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(Note 3)</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Marketable debt securities (Note 3)</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and notes receivable, net of allowance of $283 and $244</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GM Financial receivables, net of allowance of $1,204 and $1,168 (Note 4; Note 8)</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Inventories (Note 5)</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assets (Note 3; Note 8)</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108,767 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Assets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GM Financial receivables, net of allowance of $1,662 and $1,557 (Note 4; Note 8)</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44,384 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 net assets of nonconsolidated affiliates (Note 7)</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Equipment on operating leases, net (Note 6; Note 8)</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 (Note 3; Note 8)</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172,733 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172,517 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282,742 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281,284 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EQUITY</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(principally trade)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Short-term debt and current portion of long-term debt (Note 9)</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Automotive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GM Financial (Note 8)</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96,834 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93,342 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(Note 9)</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Automotive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GM Financial (Note 8)</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Postretirement benefits other than pensions (Note 12)</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Pensions (Note 12)</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122,267 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124,775 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219,101 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218,116 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contingencies, and uncertainties (Note 13)</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Equity (Note 16)</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61,119 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63,641 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63,168 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282,742 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281,284 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Reference should be made to the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8231" w:type="dxa"/>
        <w:jc w:val="center"/>
        <w:tblInd w:w="0" w:type="dxa"/>
        <w:tblLayout w:type="fixed"/>
        <w:tblCellMar>
          <w:top w:w="28" w:type="dxa"/>
          <w:left w:w="28" w:type="dxa"/>
          <w:bottom w:w="28" w:type="dxa"/>
          <w:right w:w="28" w:type="dxa"/>
        </w:tblCellMar>
      </w:tblPr>
      <w:tblGrid>
        <w:gridCol w:w="2031"/>
        <w:gridCol w:w="1782"/>
        <w:gridCol w:w="1796"/>
        <w:gridCol w:w="232"/>
        <w:gridCol w:w="764"/>
        <w:gridCol w:w="129"/>
        <w:gridCol w:w="109"/>
        <w:gridCol w:w="109"/>
        <w:gridCol w:w="109"/>
        <w:gridCol w:w="230"/>
        <w:gridCol w:w="759"/>
        <w:gridCol w:w="181"/>
      </w:tblGrid>
      <w:tr>
        <w:trPr/>
        <w:tc>
          <w:tcPr>
            <w:tcW w:w="2031"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impairment of Equipment on operating leases,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impairment charges on Property,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remeasurement and transaction (gains) losses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Undistributed earnings of nonconsolidated affiliates,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contributions and OPEB payments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OPEB (income) expense, net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deferred taxes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other operating assets and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operating activities</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9,304 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12,969 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Expenditures for property</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marketable securities, acquisitions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marketable securities, liquidations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finance receivables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collections and recoveries on finance receivables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leased vehicles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termination of leased vehicles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investing activities</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(3,483)</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(11,158)</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short-term debt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debt (original maturities greater than three months)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30,668 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debt (original maturities greater than three months)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(25,696)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to purchase common stock (Note 16)</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(redemption) of subsidiary stock (Note 16)</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(6,445)</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period</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23,576 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Significant non-cash investing and financing activity</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property additions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shd w:fill="FFFFFF" w:val="clear"/>
        </w:rPr>
        <w:t>Reference should</w:t>
      </w:r>
      <w:r>
        <w:rPr>
          <w:color w:val="000000"/>
        </w:rPr>
        <w:t xml:space="preserve"> </w:t>
      </w:r>
      <w:r>
        <w:rPr>
          <w:rFonts w:ascii="Times New Roman;serif" w:hAnsi="Times New Roman;serif"/>
          <w:b w:val="false"/>
          <w:color w:val="000000"/>
          <w:sz w:val="20"/>
        </w:rPr>
        <w:t xml:space="preserve">be made to </w:t>
      </w:r>
      <w:r>
        <w:rPr>
          <w:rFonts w:ascii="Times New Roman;serif" w:hAnsi="Times New Roman;serif"/>
          <w:b w:val="false"/>
          <w:color w:val="000000"/>
          <w:sz w:val="20"/>
          <w:shd w:fill="FFFFFF" w:val="clear"/>
        </w:rPr>
        <w:t>the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857"/>
        <w:gridCol w:w="471"/>
        <w:gridCol w:w="473"/>
        <w:gridCol w:w="221"/>
        <w:gridCol w:w="373"/>
        <w:gridCol w:w="123"/>
        <w:gridCol w:w="109"/>
        <w:gridCol w:w="109"/>
        <w:gridCol w:w="109"/>
        <w:gridCol w:w="231"/>
        <w:gridCol w:w="764"/>
        <w:gridCol w:w="128"/>
        <w:gridCol w:w="109"/>
        <w:gridCol w:w="109"/>
        <w:gridCol w:w="109"/>
        <w:gridCol w:w="208"/>
        <w:gridCol w:w="688"/>
        <w:gridCol w:w="116"/>
        <w:gridCol w:w="109"/>
        <w:gridCol w:w="109"/>
        <w:gridCol w:w="109"/>
        <w:gridCol w:w="261"/>
        <w:gridCol w:w="959"/>
        <w:gridCol w:w="145"/>
        <w:gridCol w:w="109"/>
        <w:gridCol w:w="109"/>
        <w:gridCol w:w="109"/>
        <w:gridCol w:w="261"/>
        <w:gridCol w:w="742"/>
        <w:gridCol w:w="146"/>
        <w:gridCol w:w="109"/>
        <w:gridCol w:w="109"/>
        <w:gridCol w:w="109"/>
        <w:gridCol w:w="210"/>
        <w:gridCol w:w="695"/>
        <w:gridCol w:w="117"/>
        <w:gridCol w:w="109"/>
        <w:gridCol w:w="109"/>
        <w:gridCol w:w="163"/>
      </w:tblGrid>
      <w:tr>
        <w:trPr/>
        <w:tc>
          <w:tcPr>
            <w:tcW w:w="85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br/>
              <w:t>(Permanent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7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 2025</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20,843 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53,472 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(11,253)</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65,590 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(redemption) of subsidiary stock (Note 16)</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common stock (Note 16)</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5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55,140 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(11,122)</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66,427 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common stock (Note 16)</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noncontrolling interests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56,675 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(10,932)</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68,459 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 2026</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common stock (Note 16)</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noncontrolling interests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5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53,386 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(10,277)</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64,694 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common stock (Note 16)</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noncontrolling interests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19,185 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52,990 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(10,183)</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63,641 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Reference should be made to the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Amounts may not add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 Nature of Operations and Basis of Presentation </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General Motors Company (sometimes referred to in this Quarterly Report on Form 10-Q as we, our, us, ourselves, the Company, General Motors, or GM) designs, builds, and sells trucks, crossovers, cars, and automobile parts, and provides software-enabled services and subscriptions worldwide. We also provide automotive financing services through General Motors Financial Company, Inc. (GM Financial). We analyze the results of our operations through the following segments: GM North America (GMNA), GM International (GMI), and GM Financial. In December 2024, we announced that we would no longer fund Cruise's robotaxi development work and will refocus our autonomous driving strategy on personal vehicles, and, in February 2025 we completed the acquisition of the noncontrolling interests in Cruise, began to wind down the Cruise robotaxi operations, and combined the GM and Cruise autonomous technical efforts in our GMNA segment. Corporate includes certain centrally recorded income and costs such as interest, income taxes, corporate expenditures, and certain revenues and expenses that are not part of a reportable segment.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are prepared in conformity with U.S. generally accepted accounting principles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Annual Report on Form 10-K for the fiscal year ended December 31, 2025 (2025 Form 10-K). Except for per share amounts or as otherwise specified, amounts presented within tables are stated in millions. Certain columns and rows may not add due to rounding.</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Principles of Consolidation </w:t>
      </w:r>
      <w:r>
        <w:rPr>
          <w:rFonts w:ascii="Times New Roman;serif" w:hAnsi="Times New Roman;serif"/>
          <w:b w:val="false"/>
          <w:color w:val="000000"/>
          <w:sz w:val="20"/>
        </w:rPr>
        <w:t>We consolidate entities that we control due to ownership of a majority voting interest and we consolidate variable interest 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GM Financial</w:t>
      </w:r>
      <w:r>
        <w:rPr>
          <w:color w:val="000000"/>
        </w:rPr>
        <w:t xml:space="preserve"> </w:t>
      </w:r>
      <w:r>
        <w:rPr>
          <w:rFonts w:ascii="Times New Roman;serif" w:hAnsi="Times New Roman;serif"/>
          <w:b w:val="false"/>
          <w:color w:val="000000"/>
          <w:sz w:val="20"/>
        </w:rPr>
        <w:t>The amounts presented for GM Financial are adjusted to reflect the impact on GM Financial's deferred tax positions and provision for income taxes, resulting from the inclusion of GM Financial in our consolidated tax returns and to eliminate the effect of transactions between GM Financial and the other members of the consolidated group. Accordingly, the amounts presented will differ from those presented by GM Financial on a stand-alone basis.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Accounting Standards Not Yet Adopted </w:t>
      </w:r>
      <w:r>
        <w:rPr>
          <w:rFonts w:ascii="Times New Roman;serif" w:hAnsi="Times New Roman;serif"/>
          <w:b w:val="false"/>
          <w:color w:val="000000"/>
          <w:sz w:val="20"/>
        </w:rPr>
        <w:t>In May 2026, the Financial Accounting Standards Board issued ASU 2026-02 "Environmental Credits and Environmental Credit Obligations (Topic 818)" (ASU 2026-02), which establishes authoritative guidance for the recognition, measurement, presentation, and disclosure of environmental credits and environmental credit obligations. This update is effective for interim and annual periods beginning after December 15, 2027, with early adoption permitted. We are currently evaluating the impact of the adoption of ASU 2026-02 on our condensed consolidated financial statements and the ultimate impact may continue to be affected by actions taken by the U.S. Government that may change regulations relating to fuel economy and emissions standards. Refer to Note 13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left"/>
        <w:rPr/>
      </w:pPr>
      <w:r>
        <w:rPr>
          <w:rFonts w:ascii="Times New Roman;serif" w:hAnsi="Times New Roman;serif"/>
          <w:b/>
          <w:color w:val="000000"/>
          <w:sz w:val="20"/>
        </w:rPr>
        <w:t>Note 2. Revenue</w:t>
      </w:r>
      <w:r>
        <w:rPr>
          <w:color w:val="000000"/>
        </w:rPr>
        <w:t xml:space="preserve"> </w:t>
      </w:r>
    </w:p>
    <w:p>
      <w:pPr>
        <w:pStyle w:val="TextBody"/>
        <w:bidi w:val="0"/>
        <w:spacing w:before="0" w:after="0"/>
        <w:ind w:left="0" w:right="0" w:hanging="18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our revenue by major source:</w:t>
      </w:r>
    </w:p>
    <w:tbl>
      <w:tblPr>
        <w:tblW w:w="10205" w:type="dxa"/>
        <w:jc w:val="center"/>
        <w:tblInd w:w="0" w:type="dxa"/>
        <w:tblLayout w:type="fixed"/>
        <w:tblCellMar>
          <w:top w:w="28" w:type="dxa"/>
          <w:left w:w="28" w:type="dxa"/>
          <w:bottom w:w="28" w:type="dxa"/>
          <w:right w:w="28" w:type="dxa"/>
        </w:tblCellMar>
      </w:tblPr>
      <w:tblGrid>
        <w:gridCol w:w="424"/>
        <w:gridCol w:w="336"/>
        <w:gridCol w:w="338"/>
        <w:gridCol w:w="196"/>
        <w:gridCol w:w="646"/>
        <w:gridCol w:w="109"/>
        <w:gridCol w:w="109"/>
        <w:gridCol w:w="109"/>
        <w:gridCol w:w="109"/>
        <w:gridCol w:w="196"/>
        <w:gridCol w:w="556"/>
        <w:gridCol w:w="109"/>
        <w:gridCol w:w="109"/>
        <w:gridCol w:w="109"/>
        <w:gridCol w:w="109"/>
        <w:gridCol w:w="235"/>
        <w:gridCol w:w="505"/>
        <w:gridCol w:w="131"/>
        <w:gridCol w:w="109"/>
        <w:gridCol w:w="109"/>
        <w:gridCol w:w="109"/>
        <w:gridCol w:w="205"/>
        <w:gridCol w:w="676"/>
        <w:gridCol w:w="115"/>
        <w:gridCol w:w="109"/>
        <w:gridCol w:w="109"/>
        <w:gridCol w:w="109"/>
        <w:gridCol w:w="109"/>
        <w:gridCol w:w="109"/>
        <w:gridCol w:w="200"/>
        <w:gridCol w:w="569"/>
        <w:gridCol w:w="111"/>
        <w:gridCol w:w="109"/>
        <w:gridCol w:w="109"/>
        <w:gridCol w:w="109"/>
        <w:gridCol w:w="376"/>
        <w:gridCol w:w="781"/>
        <w:gridCol w:w="210"/>
        <w:gridCol w:w="109"/>
        <w:gridCol w:w="109"/>
        <w:gridCol w:w="109"/>
        <w:gridCol w:w="196"/>
        <w:gridCol w:w="646"/>
        <w:gridCol w:w="159"/>
      </w:tblGrid>
      <w:tr>
        <w:trPr/>
        <w:tc>
          <w:tcPr>
            <w:tcW w:w="42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9"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328" w:type="dxa"/>
            <w:gridSpan w:val="6"/>
            <w:tcBorders/>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Vehicle, parts, and accessories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41,583 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41,583 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vehicles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 net sales and revenue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charge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 net sales and revenue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and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43,762 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48,026 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753" w:type="dxa"/>
        <w:jc w:val="center"/>
        <w:tblInd w:w="0" w:type="dxa"/>
        <w:tblLayout w:type="fixed"/>
        <w:tblCellMar>
          <w:top w:w="28" w:type="dxa"/>
          <w:left w:w="28" w:type="dxa"/>
          <w:bottom w:w="28" w:type="dxa"/>
          <w:right w:w="28" w:type="dxa"/>
        </w:tblCellMar>
      </w:tblPr>
      <w:tblGrid>
        <w:gridCol w:w="377"/>
        <w:gridCol w:w="291"/>
        <w:gridCol w:w="293"/>
        <w:gridCol w:w="196"/>
        <w:gridCol w:w="646"/>
        <w:gridCol w:w="109"/>
        <w:gridCol w:w="109"/>
        <w:gridCol w:w="109"/>
        <w:gridCol w:w="109"/>
        <w:gridCol w:w="196"/>
        <w:gridCol w:w="556"/>
        <w:gridCol w:w="109"/>
        <w:gridCol w:w="109"/>
        <w:gridCol w:w="109"/>
        <w:gridCol w:w="109"/>
        <w:gridCol w:w="268"/>
        <w:gridCol w:w="453"/>
        <w:gridCol w:w="150"/>
        <w:gridCol w:w="109"/>
        <w:gridCol w:w="109"/>
        <w:gridCol w:w="109"/>
        <w:gridCol w:w="198"/>
        <w:gridCol w:w="652"/>
        <w:gridCol w:w="111"/>
        <w:gridCol w:w="109"/>
        <w:gridCol w:w="109"/>
        <w:gridCol w:w="109"/>
        <w:gridCol w:w="196"/>
        <w:gridCol w:w="406"/>
        <w:gridCol w:w="109"/>
        <w:gridCol w:w="109"/>
        <w:gridCol w:w="109"/>
        <w:gridCol w:w="109"/>
        <w:gridCol w:w="196"/>
        <w:gridCol w:w="556"/>
        <w:gridCol w:w="109"/>
        <w:gridCol w:w="109"/>
        <w:gridCol w:w="109"/>
        <w:gridCol w:w="109"/>
        <w:gridCol w:w="355"/>
        <w:gridCol w:w="737"/>
        <w:gridCol w:w="199"/>
        <w:gridCol w:w="109"/>
        <w:gridCol w:w="109"/>
        <w:gridCol w:w="109"/>
        <w:gridCol w:w="196"/>
        <w:gridCol w:w="646"/>
        <w:gridCol w:w="154"/>
      </w:tblGrid>
      <w:tr>
        <w:trPr/>
        <w:tc>
          <w:tcPr>
            <w:tcW w:w="3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Vehicle, parts, and accessories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40,998 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vehicles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 net sales and revenue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charge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 net sales and revenue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and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42,869 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24"/>
        <w:gridCol w:w="336"/>
        <w:gridCol w:w="338"/>
        <w:gridCol w:w="196"/>
        <w:gridCol w:w="646"/>
        <w:gridCol w:w="109"/>
        <w:gridCol w:w="109"/>
        <w:gridCol w:w="109"/>
        <w:gridCol w:w="109"/>
        <w:gridCol w:w="196"/>
        <w:gridCol w:w="556"/>
        <w:gridCol w:w="109"/>
        <w:gridCol w:w="109"/>
        <w:gridCol w:w="109"/>
        <w:gridCol w:w="109"/>
        <w:gridCol w:w="235"/>
        <w:gridCol w:w="505"/>
        <w:gridCol w:w="131"/>
        <w:gridCol w:w="109"/>
        <w:gridCol w:w="109"/>
        <w:gridCol w:w="109"/>
        <w:gridCol w:w="205"/>
        <w:gridCol w:w="676"/>
        <w:gridCol w:w="115"/>
        <w:gridCol w:w="109"/>
        <w:gridCol w:w="109"/>
        <w:gridCol w:w="109"/>
        <w:gridCol w:w="109"/>
        <w:gridCol w:w="109"/>
        <w:gridCol w:w="200"/>
        <w:gridCol w:w="569"/>
        <w:gridCol w:w="111"/>
        <w:gridCol w:w="109"/>
        <w:gridCol w:w="109"/>
        <w:gridCol w:w="109"/>
        <w:gridCol w:w="376"/>
        <w:gridCol w:w="781"/>
        <w:gridCol w:w="210"/>
        <w:gridCol w:w="109"/>
        <w:gridCol w:w="109"/>
        <w:gridCol w:w="109"/>
        <w:gridCol w:w="196"/>
        <w:gridCol w:w="646"/>
        <w:gridCol w:w="159"/>
      </w:tblGrid>
      <w:tr>
        <w:trPr/>
        <w:tc>
          <w:tcPr>
            <w:tcW w:w="42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9"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328" w:type="dxa"/>
            <w:gridSpan w:val="6"/>
            <w:tcBorders/>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Automotive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Vehicle, parts, and accessories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79,023 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79,023 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vehicles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 net sales and revenue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83,111 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83,111 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charge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 net sales and revenue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8,539 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and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83,111 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8,543 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91,650 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tbl>
      <w:tblPr>
        <w:tblW w:w="10753" w:type="dxa"/>
        <w:jc w:val="center"/>
        <w:tblInd w:w="0" w:type="dxa"/>
        <w:tblLayout w:type="fixed"/>
        <w:tblCellMar>
          <w:top w:w="28" w:type="dxa"/>
          <w:left w:w="28" w:type="dxa"/>
          <w:bottom w:w="28" w:type="dxa"/>
          <w:right w:w="28" w:type="dxa"/>
        </w:tblCellMar>
      </w:tblPr>
      <w:tblGrid>
        <w:gridCol w:w="377"/>
        <w:gridCol w:w="291"/>
        <w:gridCol w:w="293"/>
        <w:gridCol w:w="196"/>
        <w:gridCol w:w="646"/>
        <w:gridCol w:w="109"/>
        <w:gridCol w:w="109"/>
        <w:gridCol w:w="109"/>
        <w:gridCol w:w="109"/>
        <w:gridCol w:w="196"/>
        <w:gridCol w:w="556"/>
        <w:gridCol w:w="109"/>
        <w:gridCol w:w="109"/>
        <w:gridCol w:w="109"/>
        <w:gridCol w:w="109"/>
        <w:gridCol w:w="235"/>
        <w:gridCol w:w="505"/>
        <w:gridCol w:w="131"/>
        <w:gridCol w:w="109"/>
        <w:gridCol w:w="109"/>
        <w:gridCol w:w="109"/>
        <w:gridCol w:w="198"/>
        <w:gridCol w:w="652"/>
        <w:gridCol w:w="111"/>
        <w:gridCol w:w="109"/>
        <w:gridCol w:w="109"/>
        <w:gridCol w:w="109"/>
        <w:gridCol w:w="196"/>
        <w:gridCol w:w="406"/>
        <w:gridCol w:w="109"/>
        <w:gridCol w:w="109"/>
        <w:gridCol w:w="109"/>
        <w:gridCol w:w="109"/>
        <w:gridCol w:w="196"/>
        <w:gridCol w:w="556"/>
        <w:gridCol w:w="109"/>
        <w:gridCol w:w="109"/>
        <w:gridCol w:w="109"/>
        <w:gridCol w:w="109"/>
        <w:gridCol w:w="355"/>
        <w:gridCol w:w="737"/>
        <w:gridCol w:w="199"/>
        <w:gridCol w:w="109"/>
        <w:gridCol w:w="109"/>
        <w:gridCol w:w="109"/>
        <w:gridCol w:w="196"/>
        <w:gridCol w:w="646"/>
        <w:gridCol w:w="154"/>
      </w:tblGrid>
      <w:tr>
        <w:trPr/>
        <w:tc>
          <w:tcPr>
            <w:tcW w:w="3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Vehicle, parts, and accessories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79,267 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vehicles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 net sales and revenue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82,729 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charge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 net sales and revenue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and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82,729 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measured as the amount of consideration we expect to receive in exchange for transferring goods or providing services. Adjustments to sales incentives for previously recognized sales were insignificant in the three months ended June 30, 2026 and 2025. </w:t>
      </w:r>
    </w:p>
    <w:p>
      <w:pPr>
        <w:pStyle w:val="TextBody"/>
        <w:bidi w:val="0"/>
        <w:spacing w:before="0" w:after="0"/>
        <w:jc w:val="left"/>
        <w:rPr/>
      </w:pPr>
      <w:r>
        <w:rPr/>
      </w:r>
    </w:p>
    <w:p>
      <w:pPr>
        <w:pStyle w:val="TextBody"/>
        <w:bidi w:val="0"/>
        <w:spacing w:lineRule="auto" w:line="288" w:before="0" w:after="160"/>
        <w:ind w:left="0" w:right="0" w:firstLine="180"/>
        <w:jc w:val="both"/>
        <w:rPr/>
      </w:pPr>
      <w:r>
        <w:rPr>
          <w:rFonts w:ascii="Times New Roman;serif" w:hAnsi="Times New Roman;serif"/>
          <w:b w:val="false"/>
          <w:color w:val="000000"/>
          <w:sz w:val="20"/>
        </w:rPr>
        <w:t>Contract liabilities in our Automotive operations primarily consist of vehicle connectivity, customer rewards programs, maintenance, extended warranty, and other contracts of</w:t>
      </w:r>
      <w:r>
        <w:rPr>
          <w:color w:val="000000"/>
          <w:shd w:fill="FFFFFF" w:val="clear"/>
        </w:rPr>
        <w:t xml:space="preserve"> </w:t>
      </w:r>
      <w:r>
        <w:rPr>
          <w:rFonts w:ascii="Times New Roman;serif" w:hAnsi="Times New Roman;serif"/>
          <w:b w:val="false"/>
          <w:color w:val="000000"/>
          <w:sz w:val="20"/>
        </w:rPr>
        <w:t>$9.1 billion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$8.2 billion</w:t>
      </w:r>
      <w:r>
        <w:rPr>
          <w:color w:val="000000"/>
          <w:shd w:fill="FFFFFF" w:val="clear"/>
        </w:rPr>
        <w:t xml:space="preserve"> </w:t>
      </w:r>
      <w:r>
        <w:rPr>
          <w:rFonts w:ascii="Times New Roman;serif" w:hAnsi="Times New Roman;serif"/>
          <w:b w:val="false"/>
          <w:color w:val="000000"/>
          <w:sz w:val="20"/>
          <w:shd w:fill="FFFFFF" w:val="clear"/>
        </w:rPr>
        <w:t>a</w:t>
      </w:r>
      <w:r>
        <w:rPr>
          <w:rFonts w:ascii="Times New Roman;serif" w:hAnsi="Times New Roman;serif"/>
          <w:b w:val="false"/>
          <w:color w:val="000000"/>
          <w:sz w:val="20"/>
        </w:rPr>
        <w:t>t June 30, 2026 and December 31, 2025, which are included in Accrued liabilities and Other liabilities. We recognized revenue of $729 million and $1.5 billion related to contract liabilities in the three months and six months ended June 30, 2026 and $606 million and $1.2 billion in the three and six months ended June 30, 2025. We expect to recognize revenue of $1.5 billion in the six months ending December 31, 2026 and $2.1 billion, $1.5 billion, and $4.0 billion in the years ending December 31, 2027, 2028, and thereafter related to contract liabilities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Marketable and Other Securities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cash equivalents and marketable debt securities, which approximates cost:</w:t>
      </w:r>
    </w:p>
    <w:tbl>
      <w:tblPr>
        <w:tblW w:w="10154" w:type="dxa"/>
        <w:jc w:val="center"/>
        <w:tblInd w:w="0" w:type="dxa"/>
        <w:tblLayout w:type="fixed"/>
        <w:tblCellMar>
          <w:top w:w="28" w:type="dxa"/>
          <w:left w:w="28" w:type="dxa"/>
          <w:bottom w:w="28" w:type="dxa"/>
          <w:right w:w="28" w:type="dxa"/>
        </w:tblCellMar>
      </w:tblPr>
      <w:tblGrid>
        <w:gridCol w:w="1969"/>
        <w:gridCol w:w="1733"/>
        <w:gridCol w:w="1743"/>
        <w:gridCol w:w="461"/>
        <w:gridCol w:w="461"/>
        <w:gridCol w:w="464"/>
        <w:gridCol w:w="109"/>
        <w:gridCol w:w="109"/>
        <w:gridCol w:w="109"/>
        <w:gridCol w:w="228"/>
        <w:gridCol w:w="779"/>
        <w:gridCol w:w="117"/>
        <w:gridCol w:w="109"/>
        <w:gridCol w:w="109"/>
        <w:gridCol w:w="109"/>
        <w:gridCol w:w="300"/>
        <w:gridCol w:w="1026"/>
        <w:gridCol w:w="219"/>
      </w:tblGrid>
      <w:tr>
        <w:trPr/>
        <w:tc>
          <w:tcPr>
            <w:tcW w:w="1969"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time deposits</w:t>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agencies</w:t>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Sovereign debt</w:t>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debt securities – cash equivalents</w:t>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Marketable debt securities</w:t>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agencies</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and other</w:t>
            </w:r>
          </w:p>
        </w:tc>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asset-backed</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debt securities – marketable securities</w:t>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Restricted cash</w:t>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restricted cash</w:t>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Available-for-sale debt securities included above with contractual maturities(a)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between one and five years</w:t>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debt securities with contractual maturities</w:t>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9,006 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(a)Excludes mortgage and asset-backed securities as these securities are not due at a single maturity date.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Proceeds from the sale of available-for-sale debt securities sold prior to maturity were</w:t>
      </w:r>
      <w:r>
        <w:rPr>
          <w:color w:val="000000"/>
          <w:shd w:fill="FFFFFF" w:val="clear"/>
        </w:rPr>
        <w:t xml:space="preserve"> </w:t>
      </w:r>
      <w:r>
        <w:rPr>
          <w:rFonts w:ascii="Times New Roman;serif" w:hAnsi="Times New Roman;serif"/>
          <w:b w:val="false"/>
          <w:color w:val="000000"/>
          <w:sz w:val="20"/>
        </w:rPr>
        <w:t>$732 million and $621 million in the three months ended June 30, 2026 and 2025 and $3.3 billion and $2.2 billion in the six months ended June 30, 2026 and 2025. Net unrealized gains and losses on available-for-sale debt securities were insignificant in the three and six months ended June 30, 2026 and 2025. Cumulative unrealized losses on available-for-sale debt securities were insignificant at June 30, 2026 and December 31,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condensed consolidated balance sheets to the total shown in the condensed consolidated statements of cash flows:</w:t>
      </w:r>
    </w:p>
    <w:tbl>
      <w:tblPr>
        <w:tblW w:w="6940" w:type="dxa"/>
        <w:jc w:val="left"/>
        <w:tblInd w:w="0" w:type="dxa"/>
        <w:tblLayout w:type="fixed"/>
        <w:tblCellMar>
          <w:top w:w="28" w:type="dxa"/>
          <w:left w:w="28" w:type="dxa"/>
          <w:bottom w:w="28" w:type="dxa"/>
          <w:right w:w="28" w:type="dxa"/>
        </w:tblCellMar>
      </w:tblPr>
      <w:tblGrid>
        <w:gridCol w:w="1429"/>
        <w:gridCol w:w="1254"/>
        <w:gridCol w:w="1261"/>
        <w:gridCol w:w="228"/>
        <w:gridCol w:w="779"/>
        <w:gridCol w:w="117"/>
        <w:gridCol w:w="109"/>
        <w:gridCol w:w="109"/>
        <w:gridCol w:w="109"/>
        <w:gridCol w:w="300"/>
        <w:gridCol w:w="1026"/>
        <w:gridCol w:w="219"/>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23,576 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24,284 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 xml:space="preserve">Note 4. GM Financial Receivables and Transactions </w:t>
      </w:r>
    </w:p>
    <w:tbl>
      <w:tblPr>
        <w:tblW w:w="10205" w:type="dxa"/>
        <w:jc w:val="left"/>
        <w:tblInd w:w="0" w:type="dxa"/>
        <w:tblLayout w:type="fixed"/>
        <w:tblCellMar>
          <w:top w:w="28" w:type="dxa"/>
          <w:left w:w="28" w:type="dxa"/>
          <w:bottom w:w="28" w:type="dxa"/>
          <w:right w:w="28" w:type="dxa"/>
        </w:tblCellMar>
      </w:tblPr>
      <w:tblGrid>
        <w:gridCol w:w="810"/>
        <w:gridCol w:w="683"/>
        <w:gridCol w:w="686"/>
        <w:gridCol w:w="211"/>
        <w:gridCol w:w="721"/>
        <w:gridCol w:w="109"/>
        <w:gridCol w:w="109"/>
        <w:gridCol w:w="109"/>
        <w:gridCol w:w="109"/>
        <w:gridCol w:w="220"/>
        <w:gridCol w:w="754"/>
        <w:gridCol w:w="114"/>
        <w:gridCol w:w="109"/>
        <w:gridCol w:w="109"/>
        <w:gridCol w:w="109"/>
        <w:gridCol w:w="211"/>
        <w:gridCol w:w="721"/>
        <w:gridCol w:w="109"/>
        <w:gridCol w:w="109"/>
        <w:gridCol w:w="109"/>
        <w:gridCol w:w="109"/>
        <w:gridCol w:w="211"/>
        <w:gridCol w:w="721"/>
        <w:gridCol w:w="109"/>
        <w:gridCol w:w="109"/>
        <w:gridCol w:w="109"/>
        <w:gridCol w:w="109"/>
        <w:gridCol w:w="220"/>
        <w:gridCol w:w="754"/>
        <w:gridCol w:w="114"/>
        <w:gridCol w:w="109"/>
        <w:gridCol w:w="109"/>
        <w:gridCol w:w="109"/>
        <w:gridCol w:w="211"/>
        <w:gridCol w:w="721"/>
        <w:gridCol w:w="160"/>
      </w:tblGrid>
      <w:tr>
        <w:trPr/>
        <w:tc>
          <w:tcPr>
            <w:tcW w:w="81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 Financial receivables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loan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 Financial receivables,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89,650 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GM Financial receivables utilizing Level 2 inputs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GM Financial receivables utilizing Level 3 inputs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(a)Commercial finance receivables include dealer financing of $15.7 billion and $16.4 billion, and other financing of $472 million and $596 million at June 30, 2026 and December 31, 2025. Commercial finance receivables are presented net of dealer cash management balances of $3.4 billion at June 30, 2026 and December 31, 2025. Under the cash management program, subject to certain conditions, a dealer may choose to reduce the amount of interest on its floorplan line by making principal payments to GM Financial in advance.</w:t>
      </w:r>
    </w:p>
    <w:tbl>
      <w:tblPr>
        <w:tblW w:w="9574" w:type="dxa"/>
        <w:jc w:val="left"/>
        <w:tblInd w:w="0" w:type="dxa"/>
        <w:tblLayout w:type="fixed"/>
        <w:tblCellMar>
          <w:top w:w="28" w:type="dxa"/>
          <w:left w:w="28" w:type="dxa"/>
          <w:bottom w:w="28" w:type="dxa"/>
          <w:right w:w="28" w:type="dxa"/>
        </w:tblCellMar>
      </w:tblPr>
      <w:tblGrid>
        <w:gridCol w:w="1467"/>
        <w:gridCol w:w="1287"/>
        <w:gridCol w:w="1295"/>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loan losses at beginning of period</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loan losses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loan losses at end of period</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allowance for loan losses as a percentage of finance receivables was 3.1% and 2.9% at June 30, 2026 and December 31, 2025. The allowance ratio is based on factors including portfolio credit quality, expectations for recovery rates, and economic outlook.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Retail Finance Receivables</w:t>
      </w:r>
      <w:r>
        <w:rPr>
          <w:color w:val="000000"/>
        </w:rPr>
        <w:t xml:space="preserve"> </w:t>
      </w:r>
      <w:r>
        <w:rPr>
          <w:rFonts w:ascii="Times New Roman;serif" w:hAnsi="Times New Roman;serif"/>
          <w:b w:val="false"/>
          <w:color w:val="000000"/>
          <w:sz w:val="20"/>
        </w:rPr>
        <w:t>GM Financial's retail finance receivables portfolio includes loans made to consumers and businesses to finance the purchase of vehicles for personal and commercial use. The following tables are consolidated summaries of the retail finance receivables by FICO score or its equivalent, determined at origination, for each vintage of the retail finance receivables portfolio at June 30, 2026 and December 31, 2025:</w:t>
      </w:r>
    </w:p>
    <w:tbl>
      <w:tblPr>
        <w:tblW w:w="11229" w:type="dxa"/>
        <w:jc w:val="left"/>
        <w:tblInd w:w="0" w:type="dxa"/>
        <w:tblLayout w:type="fixed"/>
        <w:tblCellMar>
          <w:top w:w="28" w:type="dxa"/>
          <w:left w:w="28" w:type="dxa"/>
          <w:bottom w:w="28" w:type="dxa"/>
          <w:right w:w="28" w:type="dxa"/>
        </w:tblCellMar>
      </w:tblPr>
      <w:tblGrid>
        <w:gridCol w:w="585"/>
        <w:gridCol w:w="225"/>
        <w:gridCol w:w="22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307"/>
        <w:gridCol w:w="309"/>
        <w:gridCol w:w="316"/>
      </w:tblGrid>
      <w:tr>
        <w:trPr/>
        <w:tc>
          <w:tcPr>
            <w:tcW w:w="58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Prior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Prime – FICO score 680 and greater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Near-prime – FICO score 620 to 679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Sub-prime – FICO score less than 620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finance receivables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1447" w:type="dxa"/>
        <w:jc w:val="left"/>
        <w:tblInd w:w="0" w:type="dxa"/>
        <w:tblLayout w:type="fixed"/>
        <w:tblCellMar>
          <w:top w:w="28" w:type="dxa"/>
          <w:left w:w="28" w:type="dxa"/>
          <w:bottom w:w="28" w:type="dxa"/>
          <w:right w:w="28" w:type="dxa"/>
        </w:tblCellMar>
      </w:tblPr>
      <w:tblGrid>
        <w:gridCol w:w="585"/>
        <w:gridCol w:w="225"/>
        <w:gridCol w:w="22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09"/>
        <w:gridCol w:w="109"/>
        <w:gridCol w:w="211"/>
        <w:gridCol w:w="721"/>
        <w:gridCol w:w="109"/>
        <w:gridCol w:w="109"/>
        <w:gridCol w:w="109"/>
        <w:gridCol w:w="109"/>
        <w:gridCol w:w="307"/>
        <w:gridCol w:w="309"/>
        <w:gridCol w:w="316"/>
      </w:tblGrid>
      <w:tr>
        <w:trPr/>
        <w:tc>
          <w:tcPr>
            <w:tcW w:w="58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Prime – FICO score 680 and greater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Near-prime – FICO score 620 to 679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Sub-prime – FICO score less than 620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finance receivables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$1.0 billion and $1.1 billion at June 30, 2026 and December 31, 2025. The following tables are consolidated summaries of the delinquency status of the outstanding amortized cost basis of retail finance receivables for each vintage of the portfolio at June 30, 2026 and December 31, 2025, as well as summary totals for June 30, 2025:</w:t>
      </w:r>
    </w:p>
    <w:tbl>
      <w:tblPr>
        <w:tblW w:w="13346" w:type="dxa"/>
        <w:jc w:val="left"/>
        <w:tblInd w:w="0" w:type="dxa"/>
        <w:tblLayout w:type="fixed"/>
        <w:tblCellMar>
          <w:top w:w="28" w:type="dxa"/>
          <w:left w:w="28" w:type="dxa"/>
          <w:bottom w:w="28" w:type="dxa"/>
          <w:right w:w="28" w:type="dxa"/>
        </w:tblCellMar>
      </w:tblPr>
      <w:tblGrid>
        <w:gridCol w:w="449"/>
        <w:gridCol w:w="397"/>
        <w:gridCol w:w="340"/>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278"/>
        <w:gridCol w:w="278"/>
        <w:gridCol w:w="357"/>
        <w:gridCol w:w="109"/>
        <w:gridCol w:w="109"/>
        <w:gridCol w:w="109"/>
        <w:gridCol w:w="196"/>
        <w:gridCol w:w="646"/>
        <w:gridCol w:w="109"/>
        <w:gridCol w:w="109"/>
        <w:gridCol w:w="109"/>
        <w:gridCol w:w="109"/>
        <w:gridCol w:w="278"/>
        <w:gridCol w:w="278"/>
        <w:gridCol w:w="410"/>
      </w:tblGrid>
      <w:tr>
        <w:trPr/>
        <w:tc>
          <w:tcPr>
            <w:tcW w:w="44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Prior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0-to-30 days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31-to-60 days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Greater-than-60 days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receivables more than 30 days delinquent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repossession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receivables more than 30 days delinquent or in repossession</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finance receivables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1256" w:type="dxa"/>
        <w:jc w:val="left"/>
        <w:tblInd w:w="0" w:type="dxa"/>
        <w:tblLayout w:type="fixed"/>
        <w:tblCellMar>
          <w:top w:w="28" w:type="dxa"/>
          <w:left w:w="28" w:type="dxa"/>
          <w:bottom w:w="28" w:type="dxa"/>
          <w:right w:w="28" w:type="dxa"/>
        </w:tblCellMar>
      </w:tblPr>
      <w:tblGrid>
        <w:gridCol w:w="449"/>
        <w:gridCol w:w="397"/>
        <w:gridCol w:w="340"/>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96"/>
        <w:gridCol w:w="646"/>
        <w:gridCol w:w="109"/>
        <w:gridCol w:w="109"/>
        <w:gridCol w:w="109"/>
        <w:gridCol w:w="109"/>
        <w:gridCol w:w="278"/>
        <w:gridCol w:w="278"/>
        <w:gridCol w:w="357"/>
        <w:gridCol w:w="109"/>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Origination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0-to-30 days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31-to-60 days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Greater-than-60 days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receivables more than 30 days delinquent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repossession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receivables more than 30 days delinquent or in repossession</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finance receivables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color w:val="000000"/>
          <w:sz w:val="20"/>
        </w:rPr>
        <w:t>Commercial Finance Receivables</w:t>
      </w:r>
      <w:r>
        <w:rPr>
          <w:color w:val="000000"/>
        </w:rPr>
        <w:t xml:space="preserve"> </w:t>
      </w:r>
      <w:r>
        <w:rPr>
          <w:rFonts w:ascii="Times New Roman;serif" w:hAnsi="Times New Roman;serif"/>
          <w:b w:val="false"/>
          <w:color w:val="000000"/>
          <w:sz w:val="20"/>
        </w:rPr>
        <w:t>GM Financial's commercial finance receivables consist of dealer financing, primarily for dealer inventory purchases, and other financing, which includes loans to commercial vehicle upfitters. For dealer financing, proprietary models are used to assign a risk rating to each dealer. GM Financial performs periodic credit reviews of each dealership and adjusts the dealership's risk rating, if necessary. The credit risk associated with other financing is limited due to the structure of the business relationships.</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Financial's dealer risk model and risk rating categories are as follows:</w:t>
      </w:r>
    </w:p>
    <w:tbl>
      <w:tblPr>
        <w:tblW w:w="10205" w:type="dxa"/>
        <w:jc w:val="center"/>
        <w:tblInd w:w="0" w:type="dxa"/>
        <w:tblLayout w:type="fixed"/>
        <w:tblCellMar>
          <w:top w:w="28" w:type="dxa"/>
          <w:left w:w="28" w:type="dxa"/>
          <w:bottom w:w="28" w:type="dxa"/>
          <w:right w:w="28" w:type="dxa"/>
        </w:tblCellMar>
      </w:tblPr>
      <w:tblGrid>
        <w:gridCol w:w="250"/>
        <w:gridCol w:w="220"/>
        <w:gridCol w:w="221"/>
        <w:gridCol w:w="109"/>
        <w:gridCol w:w="109"/>
        <w:gridCol w:w="109"/>
        <w:gridCol w:w="2733"/>
        <w:gridCol w:w="2661"/>
        <w:gridCol w:w="3793"/>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9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1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Performing accounts with strong to acceptable financial metrics with at least satisfactory capacity to meet financial commitments.</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Performing accounts experiencing potential weakness in financial metrics and repayment prospects resulting in increased monitoring.</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accounts with inadequate paying capacity for current obligations and have the distinct possibility of creating a loss if deficiencies are not corrected.</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accounts with inadequate paying capacity for current obligations and inherent weaknesses that make collection of liquidation in full highly questionable or improbable.</w:t>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Dealers with III and IV risk ratings are subject to additional monitoring and restrictions on funding, including suspension of lines of credit and liquidation of assets. The following tables summarize the dealer finance receivables portfolio by dealer risk rating at June 30, 2026 and December 31, 2025:</w:t>
      </w:r>
    </w:p>
    <w:tbl>
      <w:tblPr>
        <w:tblW w:w="10835" w:type="dxa"/>
        <w:jc w:val="center"/>
        <w:tblInd w:w="0" w:type="dxa"/>
        <w:tblLayout w:type="fixed"/>
        <w:tblCellMar>
          <w:top w:w="28" w:type="dxa"/>
          <w:left w:w="28" w:type="dxa"/>
          <w:bottom w:w="28" w:type="dxa"/>
          <w:right w:w="28" w:type="dxa"/>
        </w:tblCellMar>
      </w:tblPr>
      <w:tblGrid>
        <w:gridCol w:w="264"/>
        <w:gridCol w:w="205"/>
        <w:gridCol w:w="207"/>
        <w:gridCol w:w="196"/>
        <w:gridCol w:w="646"/>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646"/>
        <w:gridCol w:w="109"/>
        <w:gridCol w:w="109"/>
        <w:gridCol w:w="109"/>
        <w:gridCol w:w="109"/>
        <w:gridCol w:w="278"/>
        <w:gridCol w:w="278"/>
        <w:gridCol w:w="357"/>
        <w:gridCol w:w="109"/>
        <w:gridCol w:w="109"/>
        <w:gridCol w:w="154"/>
      </w:tblGrid>
      <w:tr>
        <w:trPr/>
        <w:tc>
          <w:tcPr>
            <w:tcW w:w="2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Origination(a)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Dealer Risk Rating</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II</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III</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IV</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(a)Floorplan advances comprise 98.9% of the total revolving balance. Dealer term loans are presented by year of origination.</w:t>
      </w:r>
    </w:p>
    <w:tbl>
      <w:tblPr>
        <w:tblW w:w="11162" w:type="dxa"/>
        <w:jc w:val="left"/>
        <w:tblInd w:w="0" w:type="dxa"/>
        <w:tblLayout w:type="fixed"/>
        <w:tblCellMar>
          <w:top w:w="28" w:type="dxa"/>
          <w:left w:w="28" w:type="dxa"/>
          <w:bottom w:w="28" w:type="dxa"/>
          <w:right w:w="28" w:type="dxa"/>
        </w:tblCellMar>
      </w:tblPr>
      <w:tblGrid>
        <w:gridCol w:w="264"/>
        <w:gridCol w:w="205"/>
        <w:gridCol w:w="207"/>
        <w:gridCol w:w="196"/>
        <w:gridCol w:w="646"/>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09"/>
        <w:gridCol w:w="109"/>
        <w:gridCol w:w="196"/>
        <w:gridCol w:w="646"/>
        <w:gridCol w:w="109"/>
        <w:gridCol w:w="109"/>
        <w:gridCol w:w="109"/>
        <w:gridCol w:w="109"/>
        <w:gridCol w:w="278"/>
        <w:gridCol w:w="278"/>
        <w:gridCol w:w="357"/>
        <w:gridCol w:w="109"/>
        <w:gridCol w:w="109"/>
        <w:gridCol w:w="109"/>
        <w:gridCol w:w="154"/>
      </w:tblGrid>
      <w:tr>
        <w:trPr/>
        <w:tc>
          <w:tcPr>
            <w:tcW w:w="2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Origination(a)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Dealer Risk Rating</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II</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III</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IV</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(a)Floorplan advances comprise 99.1% of the total revolving balance. Dealer term loans are presented by year of origination.</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Commercial finance receivables on nonaccrual status were insignificant and none at June 30, 2026 and December 31, 2025.</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color w:val="000000"/>
          <w:sz w:val="20"/>
        </w:rPr>
        <w:t xml:space="preserve">Transfers of Finance Receivables </w:t>
      </w:r>
      <w:r>
        <w:rPr>
          <w:rFonts w:ascii="Times New Roman;serif" w:hAnsi="Times New Roman;serif"/>
          <w:b w:val="false"/>
          <w:color w:val="000000"/>
          <w:sz w:val="20"/>
        </w:rPr>
        <w:t>GM Financial has continuing involvement with finance receivables that were transferred in 2025, primarily in its role as servicer. The outstanding balance of the previously transferred finance receivables subject to continuing involvement was $1.3 billion at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Transactions with GM Financial</w:t>
      </w:r>
      <w:r>
        <w:rPr>
          <w:color w:val="000000"/>
        </w:rPr>
        <w:t xml:space="preserve"> </w:t>
      </w:r>
      <w:r>
        <w:rPr>
          <w:rFonts w:ascii="Times New Roman;serif" w:hAnsi="Times New Roman;serif"/>
          <w:b w:val="false"/>
          <w:color w:val="000000"/>
          <w:sz w:val="20"/>
        </w:rPr>
        <w:t>The following tables show transactions between our Automotive operations and GM Financial. These amounts are presented in GM Financial's condensed consolidated balance sheets and statements of income.</w:t>
      </w:r>
    </w:p>
    <w:tbl>
      <w:tblPr>
        <w:tblW w:w="8547" w:type="dxa"/>
        <w:jc w:val="center"/>
        <w:tblInd w:w="0" w:type="dxa"/>
        <w:tblLayout w:type="fixed"/>
        <w:tblCellMar>
          <w:top w:w="28" w:type="dxa"/>
          <w:left w:w="28" w:type="dxa"/>
          <w:bottom w:w="28" w:type="dxa"/>
          <w:right w:w="28" w:type="dxa"/>
        </w:tblCellMar>
      </w:tblPr>
      <w:tblGrid>
        <w:gridCol w:w="2012"/>
        <w:gridCol w:w="1767"/>
        <w:gridCol w:w="1771"/>
        <w:gridCol w:w="302"/>
        <w:gridCol w:w="667"/>
        <w:gridCol w:w="156"/>
        <w:gridCol w:w="109"/>
        <w:gridCol w:w="109"/>
        <w:gridCol w:w="109"/>
        <w:gridCol w:w="392"/>
        <w:gridCol w:w="866"/>
        <w:gridCol w:w="287"/>
      </w:tblGrid>
      <w:tr>
        <w:trPr/>
        <w:tc>
          <w:tcPr>
            <w:tcW w:w="201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Condensed Consolidated Balance Sheets(a)</w:t>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finance receivables due from GM consolidated dealers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Subvention receivable from GM(b)</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loan funding payable to GM</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tbl>
      <w:tblPr>
        <w:tblW w:w="9650" w:type="dxa"/>
        <w:jc w:val="center"/>
        <w:tblInd w:w="0" w:type="dxa"/>
        <w:tblLayout w:type="fixed"/>
        <w:tblCellMar>
          <w:top w:w="28" w:type="dxa"/>
          <w:left w:w="28" w:type="dxa"/>
          <w:bottom w:w="28" w:type="dxa"/>
          <w:right w:w="28" w:type="dxa"/>
        </w:tblCellMar>
      </w:tblPr>
      <w:tblGrid>
        <w:gridCol w:w="1494"/>
        <w:gridCol w:w="1313"/>
        <w:gridCol w:w="1317"/>
        <w:gridCol w:w="302"/>
        <w:gridCol w:w="667"/>
        <w:gridCol w:w="156"/>
        <w:gridCol w:w="109"/>
        <w:gridCol w:w="109"/>
        <w:gridCol w:w="109"/>
        <w:gridCol w:w="302"/>
        <w:gridCol w:w="667"/>
        <w:gridCol w:w="156"/>
        <w:gridCol w:w="109"/>
        <w:gridCol w:w="109"/>
        <w:gridCol w:w="109"/>
        <w:gridCol w:w="302"/>
        <w:gridCol w:w="667"/>
        <w:gridCol w:w="156"/>
        <w:gridCol w:w="109"/>
        <w:gridCol w:w="109"/>
        <w:gridCol w:w="109"/>
        <w:gridCol w:w="297"/>
        <w:gridCol w:w="656"/>
        <w:gridCol w:w="217"/>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Income</w:t>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subvention earned on finance receivables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vehicle subvention earned</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(a)All balance sheet amounts are eliminated upon consolidation.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(b)Our Automotive operations made cash payments to GM Financial for subvention of $690 million and $918 million in the three months ended June 30, 2026 and 2025 and $1.3 billion and $1.6 billion in the six months ended June 30, 2026 and 2025.</w:t>
      </w:r>
    </w:p>
    <w:p>
      <w:pPr>
        <w:pStyle w:val="TextBody"/>
        <w:bidi w:val="0"/>
        <w:spacing w:before="0" w:after="0"/>
        <w:ind w:left="0" w:right="0" w:firstLine="18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Financial's Board of Directors declared and paid dividends of $250 million and $350 million on its common stock in the three months ended June 30, 2026 and 2025 and $900 million and $700 million in the six months ended June 30, 2026 and 2025.</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Inventories</w:t>
      </w:r>
    </w:p>
    <w:tbl>
      <w:tblPr>
        <w:tblW w:w="7645" w:type="dxa"/>
        <w:jc w:val="left"/>
        <w:tblInd w:w="0" w:type="dxa"/>
        <w:tblLayout w:type="fixed"/>
        <w:tblCellMar>
          <w:top w:w="28" w:type="dxa"/>
          <w:left w:w="28" w:type="dxa"/>
          <w:bottom w:w="28" w:type="dxa"/>
          <w:right w:w="28" w:type="dxa"/>
        </w:tblCellMar>
      </w:tblPr>
      <w:tblGrid>
        <w:gridCol w:w="1682"/>
        <w:gridCol w:w="1479"/>
        <w:gridCol w:w="1488"/>
        <w:gridCol w:w="228"/>
        <w:gridCol w:w="779"/>
        <w:gridCol w:w="117"/>
        <w:gridCol w:w="109"/>
        <w:gridCol w:w="109"/>
        <w:gridCol w:w="109"/>
        <w:gridCol w:w="300"/>
        <w:gridCol w:w="1026"/>
        <w:gridCol w:w="219"/>
      </w:tblGrid>
      <w:tr>
        <w:trPr/>
        <w:tc>
          <w:tcPr>
            <w:tcW w:w="168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productive material, supplies, and work in process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 including service parts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15,950 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Inventories are reflected net of allowances totaling $2.1 billion and $2.4 billion, of which $1.3 billion and $1.7 billion are electric vehicle (EV)-related, to remeasure inventory on-hand to net realizable value at June 30, 2026 and December 31, 2025. Tariffs, less available offsets and deductions, are capitalized into the cost of inventories as incurred. Offset amounts in excess of tariffs incurred will be recognized as a reduction to future tariffs.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6. Equipment on Operating Leases </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Equipment on operating leases consists of leases to retail customers of GM Financial. </w:t>
      </w:r>
    </w:p>
    <w:tbl>
      <w:tblPr>
        <w:tblW w:w="5966" w:type="dxa"/>
        <w:jc w:val="left"/>
        <w:tblInd w:w="0" w:type="dxa"/>
        <w:tblLayout w:type="fixed"/>
        <w:tblCellMar>
          <w:top w:w="28" w:type="dxa"/>
          <w:left w:w="28" w:type="dxa"/>
          <w:bottom w:w="28" w:type="dxa"/>
          <w:right w:w="28" w:type="dxa"/>
        </w:tblCellMar>
      </w:tblPr>
      <w:tblGrid>
        <w:gridCol w:w="1077"/>
        <w:gridCol w:w="945"/>
        <w:gridCol w:w="948"/>
        <w:gridCol w:w="228"/>
        <w:gridCol w:w="779"/>
        <w:gridCol w:w="117"/>
        <w:gridCol w:w="109"/>
        <w:gridCol w:w="109"/>
        <w:gridCol w:w="109"/>
        <w:gridCol w:w="300"/>
        <w:gridCol w:w="1026"/>
        <w:gridCol w:w="219"/>
      </w:tblGrid>
      <w:tr>
        <w:trPr/>
        <w:tc>
          <w:tcPr>
            <w:tcW w:w="107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on operating leases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40,596 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on operating leases, net</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32,881 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33,686 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estimated residual value of our leased assets at the end of the lease term was $24.8 billion and $25.0 billion at June 30, 2026 and December 31,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Equipment on operating leases, net was $1.3 billion and $1.2 billion in the three months ended June 30, 2026 and 2025 and $2.6 billion and $2.4 billion in the six months ended June 30, 2026 and 2025.</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lease payments due to GM Financial on leases to retail customers:</w:t>
      </w:r>
    </w:p>
    <w:tbl>
      <w:tblPr>
        <w:tblW w:w="10205" w:type="dxa"/>
        <w:jc w:val="left"/>
        <w:tblInd w:w="0" w:type="dxa"/>
        <w:tblLayout w:type="fixed"/>
        <w:tblCellMar>
          <w:top w:w="28" w:type="dxa"/>
          <w:left w:w="28" w:type="dxa"/>
          <w:bottom w:w="28" w:type="dxa"/>
          <w:right w:w="28" w:type="dxa"/>
        </w:tblCellMar>
      </w:tblPr>
      <w:tblGrid>
        <w:gridCol w:w="760"/>
        <w:gridCol w:w="669"/>
        <w:gridCol w:w="67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361"/>
        <w:gridCol w:w="109"/>
        <w:gridCol w:w="109"/>
        <w:gridCol w:w="109"/>
        <w:gridCol w:w="109"/>
        <w:gridCol w:w="257"/>
        <w:gridCol w:w="495"/>
        <w:gridCol w:w="134"/>
        <w:gridCol w:w="109"/>
        <w:gridCol w:w="109"/>
        <w:gridCol w:w="109"/>
        <w:gridCol w:w="211"/>
        <w:gridCol w:w="616"/>
        <w:gridCol w:w="155"/>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Ending December 31,</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receipts under operating leases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Equity in Net Assets of Nonconsolidated Affiliates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tbl>
      <w:tblPr>
        <w:tblW w:w="10024" w:type="dxa"/>
        <w:jc w:val="left"/>
        <w:tblInd w:w="0" w:type="dxa"/>
        <w:tblLayout w:type="fixed"/>
        <w:tblCellMar>
          <w:top w:w="28" w:type="dxa"/>
          <w:left w:w="28" w:type="dxa"/>
          <w:bottom w:w="28" w:type="dxa"/>
          <w:right w:w="28" w:type="dxa"/>
        </w:tblCellMar>
      </w:tblPr>
      <w:tblGrid>
        <w:gridCol w:w="1630"/>
        <w:gridCol w:w="1433"/>
        <w:gridCol w:w="1437"/>
        <w:gridCol w:w="275"/>
        <w:gridCol w:w="707"/>
        <w:gridCol w:w="142"/>
        <w:gridCol w:w="109"/>
        <w:gridCol w:w="109"/>
        <w:gridCol w:w="109"/>
        <w:gridCol w:w="348"/>
        <w:gridCol w:w="596"/>
        <w:gridCol w:w="180"/>
        <w:gridCol w:w="109"/>
        <w:gridCol w:w="109"/>
        <w:gridCol w:w="109"/>
        <w:gridCol w:w="302"/>
        <w:gridCol w:w="667"/>
        <w:gridCol w:w="156"/>
        <w:gridCol w:w="109"/>
        <w:gridCol w:w="109"/>
        <w:gridCol w:w="109"/>
        <w:gridCol w:w="297"/>
        <w:gridCol w:w="656"/>
        <w:gridCol w:w="217"/>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Automotive China joint ventures equity income (loss)</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joint ventures equity income (loss)(a)</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income (loss)</w:t>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(a)Equity income (loss) related to Ultium Cells Holdings LLC, an equally owned joint venture with LG Energy Solution, is presented in Automotive and other cost of sales as this entity has historically been integral to the operations of our business by providing battery cells for our EVs. Equity income (loss) in Ultium Cells Holdings LLC was insignificant in the three and six months ended June 30, 2026 and insignificant and $252 million in the three and six months ended June 30, 2025.</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June 30, 2026, we recorded $364 million of impairment charges in equity income, and in the year ended December 31, 2025, we recorded an insignificant amount of restructuring-related charges in equity income in connection with our EV strategic realignment. Refer to Note 15 for additional information.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ownership changes in our Automotive China joint ventures (Automotive China JVs) or Ultium Cells Holdings LLC since December 31, 2025.</w:t>
      </w:r>
    </w:p>
    <w:tbl>
      <w:tblPr>
        <w:tblW w:w="10205" w:type="dxa"/>
        <w:jc w:val="left"/>
        <w:tblInd w:w="0" w:type="dxa"/>
        <w:tblLayout w:type="fixed"/>
        <w:tblCellMar>
          <w:top w:w="28" w:type="dxa"/>
          <w:left w:w="28" w:type="dxa"/>
          <w:bottom w:w="28" w:type="dxa"/>
          <w:right w:w="28" w:type="dxa"/>
        </w:tblCellMar>
      </w:tblPr>
      <w:tblGrid>
        <w:gridCol w:w="1699"/>
        <w:gridCol w:w="1492"/>
        <w:gridCol w:w="1500"/>
        <w:gridCol w:w="252"/>
        <w:gridCol w:w="738"/>
        <w:gridCol w:w="130"/>
        <w:gridCol w:w="109"/>
        <w:gridCol w:w="109"/>
        <w:gridCol w:w="109"/>
        <w:gridCol w:w="252"/>
        <w:gridCol w:w="738"/>
        <w:gridCol w:w="130"/>
        <w:gridCol w:w="109"/>
        <w:gridCol w:w="109"/>
        <w:gridCol w:w="109"/>
        <w:gridCol w:w="227"/>
        <w:gridCol w:w="777"/>
        <w:gridCol w:w="116"/>
        <w:gridCol w:w="109"/>
        <w:gridCol w:w="109"/>
        <w:gridCol w:w="109"/>
        <w:gridCol w:w="226"/>
        <w:gridCol w:w="775"/>
        <w:gridCol w:w="172"/>
      </w:tblGrid>
      <w:tr>
        <w:trPr/>
        <w:tc>
          <w:tcPr>
            <w:tcW w:w="169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Summarized Operating Data of Automotive China JVs </w:t>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China JVs' net sales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China JVs' net income (loss)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Dividends declared but not paid from our nonconsolidated affiliates were $1.2 billion and $926 million at June 30, 2026 and December 31, 2025. Dividends received from our nonconsolidated affiliates were insignificant in the three and six months ended June 30, 2026 and $189 million and $977 million in the three and six months ended June 30, 2025. We had net undistributed losses from our nonconsolidated affiliates of $1.2 billion and $1.5 billion at June 30, 2026 and December 31, 2025, including $3.2 billion of undistributed losses at June 30, 2026 and December 31, 2025 offset by $2.0 billion and $1.8 billion of undistributed earnings at June 30, 2026 and December 31, 2025.</w:t>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Variable Interest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VIEs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ind w:left="0" w:right="0" w:firstLine="180"/>
        <w:jc w:val="both"/>
        <w:rPr>
          <w:rFonts w:ascii="Times New Roman;serif" w:hAnsi="Times New Roman;serif"/>
          <w:b/>
          <w:i/>
          <w:color w:val="000000"/>
          <w:sz w:val="20"/>
        </w:rPr>
      </w:pPr>
      <w:r>
        <w:rPr>
          <w:rFonts w:ascii="Times New Roman;serif" w:hAnsi="Times New Roman;serif"/>
          <w:b/>
          <w:i/>
          <w:color w:val="000000"/>
          <w:sz w:val="20"/>
        </w:rPr>
        <w:t>Automotive Financing – GM Financial</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 uses special purpose entities (SPEs) that are considered VIEs to issue variable funding notes to third-party, bank-sponsored warehouse facilities, or asset-backed securities to investors in securitization transactions. The debt issued by these VIEs is backed by finance receivables and leasing-related assets transferred to the VIEs (Securitized Assets). GM Financial is required to hold certain funds in restricted cash accounts to provide additional collateral for borrowings under certain secured credit facilities.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SPEs are included in GM Financial's condensed consolidated financial statements, they are separate legal entities and the finance receivables, lease-related assets, and cash held by them are legally owned by them and are not available to GM Financial's creditors or creditors of GM Financial's other subsidiaries.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assets and liabilities related to GM Financial's consolidated VIEs:</w:t>
      </w:r>
    </w:p>
    <w:tbl>
      <w:tblPr>
        <w:tblW w:w="8575" w:type="dxa"/>
        <w:jc w:val="left"/>
        <w:tblInd w:w="0" w:type="dxa"/>
        <w:tblLayout w:type="fixed"/>
        <w:tblCellMar>
          <w:top w:w="28" w:type="dxa"/>
          <w:left w:w="28" w:type="dxa"/>
          <w:bottom w:w="28" w:type="dxa"/>
          <w:right w:w="28" w:type="dxa"/>
        </w:tblCellMar>
      </w:tblPr>
      <w:tblGrid>
        <w:gridCol w:w="2017"/>
        <w:gridCol w:w="1778"/>
        <w:gridCol w:w="1784"/>
        <w:gridCol w:w="228"/>
        <w:gridCol w:w="779"/>
        <w:gridCol w:w="117"/>
        <w:gridCol w:w="109"/>
        <w:gridCol w:w="109"/>
        <w:gridCol w:w="109"/>
        <w:gridCol w:w="300"/>
        <w:gridCol w:w="1026"/>
        <w:gridCol w:w="219"/>
      </w:tblGrid>
      <w:tr>
        <w:trPr/>
        <w:tc>
          <w:tcPr>
            <w:tcW w:w="2017"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Restricted cash – current</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Restricted cash – non-current</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GM Financial receivables – current</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GM Financial receivables – non-current</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GM Financial equipment on operating lease related assets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GM Financial short-term debt and current portion of long-term debt</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GM Financial long-term debt</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Nonconsolidated VIEs</w:t>
      </w:r>
    </w:p>
    <w:p>
      <w:pPr>
        <w:pStyle w:val="TextBody"/>
        <w:bidi w:val="0"/>
        <w:spacing w:lineRule="auto" w:line="288" w:before="160" w:after="120"/>
        <w:ind w:left="0" w:right="0" w:firstLine="180"/>
        <w:jc w:val="both"/>
        <w:rPr>
          <w:rFonts w:ascii="Times New Roman;serif" w:hAnsi="Times New Roman;serif"/>
          <w:b/>
          <w:i/>
          <w:color w:val="000000"/>
          <w:sz w:val="20"/>
        </w:rPr>
      </w:pPr>
      <w:r>
        <w:rPr>
          <w:rFonts w:ascii="Times New Roman;serif" w:hAnsi="Times New Roman;serif"/>
          <w:b/>
          <w:i/>
          <w:color w:val="000000"/>
          <w:sz w:val="20"/>
        </w:rPr>
        <w:t>Automotive</w:t>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Nonconsolidated VIEs primarily include our battery cell manufacturing joint ventures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$4.3 billion and $3.6 billion, and liabilities were $0.8 billion and insignificant related to our nonconsolidated VIEs at June 30, 2026 and December 31, 2025. Our maximum exposure to loss as a result of our involvement with these VIEs was approximately $7.1 billion and $8.5 billion, inclusive of $2.0 billion and $4.0 billion in committed capital and other contributions to our battery cell manufacturing joint ventures, at June 30, 2026 and December 31, 2025. See Note 15 for additional information on EV-related commercial settlements with our nonconsolidated VIEs. Our maximum exposure to loss, and required capital contributions, could vary depending on our battery cell manufacturing joint ventures' requirements and access to capital. We currently lack the power through voting or similar rights to direct the activities of these entities that most significantly affect their economic performance.</w:t>
      </w:r>
    </w:p>
    <w:p>
      <w:pPr>
        <w:pStyle w:val="TextBody"/>
        <w:bidi w:val="0"/>
        <w:spacing w:before="0" w:after="12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Debt</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0"/>
        </w:rPr>
        <w:t>Automotive</w:t>
      </w:r>
      <w:r>
        <w:rPr>
          <w:color w:val="000000"/>
        </w:rPr>
        <w:t xml:space="preserve"> </w:t>
      </w:r>
      <w:r>
        <w:rPr>
          <w:rFonts w:ascii="Times New Roman;serif" w:hAnsi="Times New Roman;serif"/>
          <w:b w:val="false"/>
          <w:color w:val="000000"/>
          <w:sz w:val="20"/>
        </w:rPr>
        <w:t>The following table presents debt in our automotive operations:</w:t>
      </w:r>
    </w:p>
    <w:tbl>
      <w:tblPr>
        <w:tblW w:w="9779" w:type="dxa"/>
        <w:jc w:val="left"/>
        <w:tblInd w:w="0" w:type="dxa"/>
        <w:tblLayout w:type="fixed"/>
        <w:tblCellMar>
          <w:top w:w="28" w:type="dxa"/>
          <w:left w:w="28" w:type="dxa"/>
          <w:bottom w:w="28" w:type="dxa"/>
          <w:right w:w="28" w:type="dxa"/>
        </w:tblCellMar>
      </w:tblPr>
      <w:tblGrid>
        <w:gridCol w:w="1410"/>
        <w:gridCol w:w="1242"/>
        <w:gridCol w:w="1246"/>
        <w:gridCol w:w="297"/>
        <w:gridCol w:w="1020"/>
        <w:gridCol w:w="153"/>
        <w:gridCol w:w="109"/>
        <w:gridCol w:w="109"/>
        <w:gridCol w:w="109"/>
        <w:gridCol w:w="316"/>
        <w:gridCol w:w="240"/>
        <w:gridCol w:w="436"/>
        <w:gridCol w:w="109"/>
        <w:gridCol w:w="109"/>
        <w:gridCol w:w="109"/>
        <w:gridCol w:w="285"/>
        <w:gridCol w:w="977"/>
        <w:gridCol w:w="147"/>
        <w:gridCol w:w="109"/>
        <w:gridCol w:w="109"/>
        <w:gridCol w:w="109"/>
        <w:gridCol w:w="308"/>
        <w:gridCol w:w="232"/>
        <w:gridCol w:w="489"/>
      </w:tblGrid>
      <w:tr>
        <w:trPr/>
        <w:tc>
          <w:tcPr>
            <w:tcW w:w="141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3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debt</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debt(a)</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w:t>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automotive debt(b)</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15,979 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16,247 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16,213</w:t>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utilizing Level 1 inputs</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w:t>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utilizing Level 2 inputs</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r>
      <w:tr>
        <w:trPr/>
        <w:tc>
          <w:tcPr>
            <w:tcW w:w="3898"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under credit facility agreements(c)</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13,913</w:t>
            </w:r>
          </w:p>
        </w:tc>
      </w:tr>
      <w:tr>
        <w:trPr/>
        <w:tc>
          <w:tcPr>
            <w:tcW w:w="53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 on outstanding short-term debt(d)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6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 on outstanding long-term debt(d)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(a)Primarily consists of senior notes.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(b)Includes net discount and debt issuance costs of $434 million and $445 million at June 30, 2026 and December 31,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(c)Excludes our 364-day, $2.0 billion facility allocated for exclusive use by GM Financial.</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(d)Includes coupon rates on debt denominated in various foreign currencies and interest free loans.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March 2026, we renewed our 364-day, $2.0 billion revolving credit facility allocated for the exclusive use of GM Financial, which now matures on March 22, 2027.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GM Financial</w:t>
      </w:r>
      <w:r>
        <w:rPr>
          <w:color w:val="000000"/>
        </w:rPr>
        <w:t xml:space="preserve"> </w:t>
      </w:r>
      <w:r>
        <w:rPr>
          <w:rFonts w:ascii="Times New Roman;serif" w:hAnsi="Times New Roman;serif"/>
          <w:b w:val="false"/>
          <w:color w:val="000000"/>
          <w:sz w:val="20"/>
        </w:rPr>
        <w:t>The following table presents debt of GM Financial:</w:t>
      </w:r>
    </w:p>
    <w:tbl>
      <w:tblPr>
        <w:tblW w:w="9032" w:type="dxa"/>
        <w:jc w:val="center"/>
        <w:tblInd w:w="0" w:type="dxa"/>
        <w:tblLayout w:type="fixed"/>
        <w:tblCellMar>
          <w:top w:w="28" w:type="dxa"/>
          <w:left w:w="28" w:type="dxa"/>
          <w:bottom w:w="28" w:type="dxa"/>
          <w:right w:w="28" w:type="dxa"/>
        </w:tblCellMar>
      </w:tblPr>
      <w:tblGrid>
        <w:gridCol w:w="1047"/>
        <w:gridCol w:w="923"/>
        <w:gridCol w:w="924"/>
        <w:gridCol w:w="259"/>
        <w:gridCol w:w="1017"/>
        <w:gridCol w:w="134"/>
        <w:gridCol w:w="109"/>
        <w:gridCol w:w="109"/>
        <w:gridCol w:w="109"/>
        <w:gridCol w:w="211"/>
        <w:gridCol w:w="826"/>
        <w:gridCol w:w="109"/>
        <w:gridCol w:w="109"/>
        <w:gridCol w:w="109"/>
        <w:gridCol w:w="109"/>
        <w:gridCol w:w="259"/>
        <w:gridCol w:w="1017"/>
        <w:gridCol w:w="134"/>
        <w:gridCol w:w="109"/>
        <w:gridCol w:w="109"/>
        <w:gridCol w:w="109"/>
        <w:gridCol w:w="211"/>
        <w:gridCol w:w="826"/>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debt</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46,416 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debt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GM Financial debt</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111,719 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114,031 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utilizing Level 2 inputs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utilizing Level 3 inputs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Secured debt consists of revolving credit facilities and securitization notes payable. Most of the secured debt was issued by VIEs and is repayable only from proceeds related to the underlying pledged assets. Refer to Note 8 for additional information on GM Financial's involvement with VIEs. In the six months ended June 30, 2026, GM Financial renewed and upsized revolving credit facilities with total borrowing capacity of $12.0 billion and issued $8.5 billion in aggregate principal amount of securitization notes payable with an initial weighted-average interest rate of 4.12% and maturity dates ranging from 2026 to 2035.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Unsecured debt consists of senior notes, credit facilities, and other unsecured debt. In the six months ended June 30, 2026, GM Financial issued $5.5 billion in aggregate principal amount of senior notes with an initial weighted-average interest rate of 4.84% and maturity dates ranging from 2029 to 2036.</w:t>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Derivative Financial Instruments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gross fair value amounts of GM Financial's derivative financial instruments and the associated notional amounts:</w:t>
      </w:r>
    </w:p>
    <w:tbl>
      <w:tblPr>
        <w:tblW w:w="10205" w:type="dxa"/>
        <w:jc w:val="left"/>
        <w:tblInd w:w="0" w:type="dxa"/>
        <w:tblLayout w:type="fixed"/>
        <w:tblCellMar>
          <w:top w:w="28" w:type="dxa"/>
          <w:left w:w="28" w:type="dxa"/>
          <w:bottom w:w="28" w:type="dxa"/>
          <w:right w:w="28" w:type="dxa"/>
        </w:tblCellMar>
      </w:tblPr>
      <w:tblGrid>
        <w:gridCol w:w="512"/>
        <w:gridCol w:w="426"/>
        <w:gridCol w:w="427"/>
        <w:gridCol w:w="202"/>
        <w:gridCol w:w="202"/>
        <w:gridCol w:w="203"/>
        <w:gridCol w:w="109"/>
        <w:gridCol w:w="109"/>
        <w:gridCol w:w="109"/>
        <w:gridCol w:w="211"/>
        <w:gridCol w:w="826"/>
        <w:gridCol w:w="109"/>
        <w:gridCol w:w="109"/>
        <w:gridCol w:w="109"/>
        <w:gridCol w:w="109"/>
        <w:gridCol w:w="232"/>
        <w:gridCol w:w="514"/>
        <w:gridCol w:w="120"/>
        <w:gridCol w:w="109"/>
        <w:gridCol w:w="109"/>
        <w:gridCol w:w="109"/>
        <w:gridCol w:w="232"/>
        <w:gridCol w:w="677"/>
        <w:gridCol w:w="119"/>
        <w:gridCol w:w="109"/>
        <w:gridCol w:w="109"/>
        <w:gridCol w:w="109"/>
        <w:gridCol w:w="211"/>
        <w:gridCol w:w="826"/>
        <w:gridCol w:w="109"/>
        <w:gridCol w:w="109"/>
        <w:gridCol w:w="109"/>
        <w:gridCol w:w="109"/>
        <w:gridCol w:w="225"/>
        <w:gridCol w:w="659"/>
        <w:gridCol w:w="116"/>
        <w:gridCol w:w="109"/>
        <w:gridCol w:w="109"/>
        <w:gridCol w:w="109"/>
        <w:gridCol w:w="231"/>
        <w:gridCol w:w="675"/>
        <w:gridCol w:w="179"/>
      </w:tblGrid>
      <w:tr>
        <w:trPr/>
        <w:tc>
          <w:tcPr>
            <w:tcW w:w="51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Liabilities</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hedges(a)</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hedges</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swaps(b)</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swaps(c)</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hedges(a)</w:t>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financial instruments(d)</w:t>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(a)The gains/losses included in our condensed consolidated income statements and statements of comprehensive income for the three and six months ended June 30, 2026 and 2025 were insignificant, unless otherwise noted. Amounts accrued for interest payments in a net receivable position are included in Other assets. Amounts accrued for interest payments in a net payable position are included in Other liabilities.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 effect of fair value hedges in the condensed consolidated income statements includes insignificant losses for the three and six months ended June 30, 2026 and 2025.</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(c)The effect of foreign currency cash flow hedges recognized in Accumulated other comprehensive loss in the condensed consolidated statements of comprehensive income includes insignificant gains and gains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18"/>
        </w:rPr>
        <w:t>$489 million for the three months ended June 30, 2026 and 2025, and losses of $156 million and gains of $645 million for the six months ended June 30, 2026 and 2025. The effect of foreign currency cash flow hedges reclassified from Accumulated other comprehensive loss in the condensed consolidated statements of comprehensive income into income includes insignificant losses and gains of $480 million for the three months ended June 30, 2026 and 2025, and losses of $210 million and gains of $711 million for the six months ended June 30, 2026 and 2025. All amounts reclassified from Accumulated other comprehensive loss were recorded to GM Financial interest, operating, and other expenses in the condensed consolidated income statements.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(d)The fair value of derivative instruments that are classified as assets or liabilities available for offset was $481 million at June 30, 2026 and $520 million at December 31, 2025. GM Financial held an insignificant amount of collateral from counterparties available for netting against GM Financial's asset positions, and posted $647 million and $615 million of collateral to counterparties available for netting against GM Financial's liability positions at June 30, 2026 and December 31, 2025.</w:t>
      </w:r>
    </w:p>
    <w:p>
      <w:pPr>
        <w:pStyle w:val="TextBody"/>
        <w:bidi w:val="0"/>
        <w:spacing w:before="0" w:after="0"/>
        <w:ind w:left="0" w:right="0" w:hanging="36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fair value for Level 2 instruments was derived using the market approach based on observable market inputs including quoted prices of similar instruments and foreign exchange and interest rate forward curves. During the next 12 months, we expect an insignificant amount of gains will be reclassified into pre-tax earnings from derivatives designated for hedge accounting.</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amounts were recorded in the condensed consolidated balance sheets related to items designated and qualifying as hedged items in fair value hedging relationships:</w:t>
      </w:r>
    </w:p>
    <w:tbl>
      <w:tblPr>
        <w:tblW w:w="10205" w:type="dxa"/>
        <w:jc w:val="left"/>
        <w:tblInd w:w="0" w:type="dxa"/>
        <w:tblLayout w:type="fixed"/>
        <w:tblCellMar>
          <w:top w:w="28" w:type="dxa"/>
          <w:left w:w="28" w:type="dxa"/>
          <w:bottom w:w="28" w:type="dxa"/>
          <w:right w:w="28" w:type="dxa"/>
        </w:tblCellMar>
      </w:tblPr>
      <w:tblGrid>
        <w:gridCol w:w="619"/>
        <w:gridCol w:w="545"/>
        <w:gridCol w:w="547"/>
        <w:gridCol w:w="317"/>
        <w:gridCol w:w="1085"/>
        <w:gridCol w:w="163"/>
        <w:gridCol w:w="109"/>
        <w:gridCol w:w="109"/>
        <w:gridCol w:w="109"/>
        <w:gridCol w:w="579"/>
        <w:gridCol w:w="1283"/>
        <w:gridCol w:w="302"/>
        <w:gridCol w:w="109"/>
        <w:gridCol w:w="109"/>
        <w:gridCol w:w="109"/>
        <w:gridCol w:w="317"/>
        <w:gridCol w:w="1085"/>
        <w:gridCol w:w="163"/>
        <w:gridCol w:w="109"/>
        <w:gridCol w:w="109"/>
        <w:gridCol w:w="109"/>
        <w:gridCol w:w="560"/>
        <w:gridCol w:w="1239"/>
        <w:gridCol w:w="420"/>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 Amount of Hedged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Cumulative Amount of Fair Value Hedging Adjustments(a)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 Amount of Hedged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Cumulative Amount of Fair Value Hedging Adjustments(a)</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unsecured debt</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unsecured debt</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 Financial unsecured debt</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33,716 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35,187 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4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(a)Includes $321 million and $428 million of unamortized losses remaining on hedged items for which hedge accounting has been discontinued at June 30, 2026 and December 31,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Product Warranty and Related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16"/>
        <w:gridCol w:w="1490"/>
        <w:gridCol w:w="1500"/>
        <w:gridCol w:w="226"/>
        <w:gridCol w:w="774"/>
        <w:gridCol w:w="116"/>
        <w:gridCol w:w="109"/>
        <w:gridCol w:w="109"/>
        <w:gridCol w:w="109"/>
        <w:gridCol w:w="226"/>
        <w:gridCol w:w="774"/>
        <w:gridCol w:w="116"/>
        <w:gridCol w:w="109"/>
        <w:gridCol w:w="109"/>
        <w:gridCol w:w="109"/>
        <w:gridCol w:w="226"/>
        <w:gridCol w:w="774"/>
        <w:gridCol w:w="116"/>
        <w:gridCol w:w="109"/>
        <w:gridCol w:w="109"/>
        <w:gridCol w:w="109"/>
        <w:gridCol w:w="225"/>
        <w:gridCol w:w="772"/>
        <w:gridCol w:w="173"/>
      </w:tblGrid>
      <w:tr>
        <w:trPr/>
        <w:tc>
          <w:tcPr>
            <w:tcW w:w="171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 warranty and related liabilities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at beginning of period</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10,571 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issued and assumed in period – recall campaigns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issued and assumed in period – product warranty</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pre-existing warranties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and other</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at end of period</w:t>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11,698 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Supplier recoveries balance at end of period(a)</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net of supplier recoveries at end of period</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13,606 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13,606 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0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0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0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0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0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0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0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0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0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(a)The current portion of supplier recoveries is recorded in Accounts and notes receivable, net of allowance and the non-current portion is recorded in Other assets.</w:t>
      </w:r>
    </w:p>
    <w:tbl>
      <w:tblPr>
        <w:tblW w:w="9460" w:type="dxa"/>
        <w:jc w:val="left"/>
        <w:tblInd w:w="0" w:type="dxa"/>
        <w:tblLayout w:type="fixed"/>
        <w:tblCellMar>
          <w:top w:w="28" w:type="dxa"/>
          <w:left w:w="28" w:type="dxa"/>
          <w:bottom w:w="28" w:type="dxa"/>
          <w:right w:w="28" w:type="dxa"/>
        </w:tblCellMar>
      </w:tblPr>
      <w:tblGrid>
        <w:gridCol w:w="1384"/>
        <w:gridCol w:w="1217"/>
        <w:gridCol w:w="1224"/>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3"/>
        <w:gridCol w:w="741"/>
        <w:gridCol w:w="131"/>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Product warranty expense, net of recoveries</w:t>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issued and assumed in period</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Supplier recoveries accrued in period</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other</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Warranty expense, net of supplier recoveries</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For estimates related to reasonably possible losses in excess of amounts accrued for recall campaigns, refer to Note 13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12. Pensions and Other Postretirement Benefits </w:t>
      </w:r>
    </w:p>
    <w:tbl>
      <w:tblPr>
        <w:tblW w:w="10205" w:type="dxa"/>
        <w:jc w:val="center"/>
        <w:tblInd w:w="0" w:type="dxa"/>
        <w:tblLayout w:type="fixed"/>
        <w:tblCellMar>
          <w:top w:w="28" w:type="dxa"/>
          <w:left w:w="28" w:type="dxa"/>
          <w:bottom w:w="28" w:type="dxa"/>
          <w:right w:w="28" w:type="dxa"/>
        </w:tblCellMar>
      </w:tblPr>
      <w:tblGrid>
        <w:gridCol w:w="1216"/>
        <w:gridCol w:w="935"/>
        <w:gridCol w:w="932"/>
        <w:gridCol w:w="211"/>
        <w:gridCol w:w="414"/>
        <w:gridCol w:w="109"/>
        <w:gridCol w:w="109"/>
        <w:gridCol w:w="109"/>
        <w:gridCol w:w="109"/>
        <w:gridCol w:w="237"/>
        <w:gridCol w:w="406"/>
        <w:gridCol w:w="123"/>
        <w:gridCol w:w="109"/>
        <w:gridCol w:w="109"/>
        <w:gridCol w:w="109"/>
        <w:gridCol w:w="377"/>
        <w:gridCol w:w="646"/>
        <w:gridCol w:w="195"/>
        <w:gridCol w:w="109"/>
        <w:gridCol w:w="109"/>
        <w:gridCol w:w="109"/>
        <w:gridCol w:w="211"/>
        <w:gridCol w:w="414"/>
        <w:gridCol w:w="109"/>
        <w:gridCol w:w="109"/>
        <w:gridCol w:w="109"/>
        <w:gridCol w:w="109"/>
        <w:gridCol w:w="237"/>
        <w:gridCol w:w="406"/>
        <w:gridCol w:w="123"/>
        <w:gridCol w:w="109"/>
        <w:gridCol w:w="109"/>
        <w:gridCol w:w="109"/>
        <w:gridCol w:w="367"/>
        <w:gridCol w:w="628"/>
        <w:gridCol w:w="274"/>
      </w:tblGrid>
      <w:tr>
        <w:trPr/>
        <w:tc>
          <w:tcPr>
            <w:tcW w:w="121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Global OPEB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Global OPEB Plans</w:t>
            </w:r>
          </w:p>
        </w:tc>
      </w:tr>
      <w:tr>
        <w:trPr/>
        <w:tc>
          <w:tcPr>
            <w:tcW w:w="3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(credit)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(gains) losses</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and OPEB (income)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63"/>
        <w:gridCol w:w="864"/>
        <w:gridCol w:w="858"/>
        <w:gridCol w:w="211"/>
        <w:gridCol w:w="515"/>
        <w:gridCol w:w="109"/>
        <w:gridCol w:w="109"/>
        <w:gridCol w:w="109"/>
        <w:gridCol w:w="109"/>
        <w:gridCol w:w="237"/>
        <w:gridCol w:w="406"/>
        <w:gridCol w:w="123"/>
        <w:gridCol w:w="109"/>
        <w:gridCol w:w="109"/>
        <w:gridCol w:w="109"/>
        <w:gridCol w:w="323"/>
        <w:gridCol w:w="716"/>
        <w:gridCol w:w="167"/>
        <w:gridCol w:w="109"/>
        <w:gridCol w:w="109"/>
        <w:gridCol w:w="109"/>
        <w:gridCol w:w="211"/>
        <w:gridCol w:w="515"/>
        <w:gridCol w:w="109"/>
        <w:gridCol w:w="109"/>
        <w:gridCol w:w="109"/>
        <w:gridCol w:w="109"/>
        <w:gridCol w:w="211"/>
        <w:gridCol w:w="466"/>
        <w:gridCol w:w="109"/>
        <w:gridCol w:w="109"/>
        <w:gridCol w:w="109"/>
        <w:gridCol w:w="109"/>
        <w:gridCol w:w="318"/>
        <w:gridCol w:w="702"/>
        <w:gridCol w:w="237"/>
      </w:tblGrid>
      <w:tr>
        <w:trPr/>
        <w:tc>
          <w:tcPr>
            <w:tcW w:w="116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Global OPEB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Global OPEB Plans</w:t>
            </w:r>
          </w:p>
        </w:tc>
      </w:tr>
      <w:tr>
        <w:trPr/>
        <w:tc>
          <w:tcPr>
            <w:tcW w:w="2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(credit)</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(gains) losses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5"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and OPEB (income)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non-service cost components of net periodic pension and other postretirement benefits (OPEB) income presented in Interest income and other non-operating income, net are insignificant in the three and six months ended June 30, 2026 and 2025.</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13. Commitments, Contingencies, and Uncertainties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Litigation-Related Liability and Indirect Tax-Related Matters </w:t>
      </w:r>
      <w:r>
        <w:rPr>
          <w:rFonts w:ascii="Times New Roman;serif" w:hAnsi="Times New Roman;serif"/>
          <w:b w:val="false"/>
          <w:color w:val="000000"/>
          <w:sz w:val="20"/>
        </w:rPr>
        <w:t>In the normal course of our business, we are named from time to time as a defendant in 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June 30, 2026 and December 31, 2025, we had accruals of $1.5 billion for such legal actions in Accrued liabilities and Other liabilities. In many matters, it is inherently difficult to determine whether a loss is probable or reasonably possible or to estimate the size or range of the potential loss. 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Opel/Vauxhall Sale</w:t>
      </w:r>
      <w:r>
        <w:rPr>
          <w:color w:val="000000"/>
        </w:rPr>
        <w:t xml:space="preserve"> </w:t>
      </w:r>
      <w:r>
        <w:rPr>
          <w:rFonts w:ascii="Times New Roman;serif" w:hAnsi="Times New Roman;serif"/>
          <w:b w:val="false"/>
          <w:color w:val="000000"/>
          <w:sz w:val="20"/>
        </w:rPr>
        <w:t>In 2017, we sold the Opel and Vauxhall businesses and certain other assets in Europe (the Opel/Vauxhall Business) to PSA Group, now Stellantis N.V. (Stellantis), under a Master Agreement (the Agreement). We also sold the 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various consumer lawsuits have been filed against the Seller and Stellantis in Germany, the United Kingdom, Austria, and the Netherlands alleging that Opel and Vauxhall vehicles sold by the Seller violated applicable emissions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standards. In addition, we indemnified Stellantis for an immaterial amount for certain recalls that Stellantis has conducted or will conduct, including recalls in certain geographic locations that Stellantis intends to conduct related to Takata Corporation (Takata) inflators in legacy Opel vehicles. We may in the future be required to further indemnify Stellantis relating to certain of its Takata recalls.</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color w:val="000000"/>
          <w:sz w:val="20"/>
        </w:rPr>
        <w:t>Other Litigation-Related Liabilities</w:t>
      </w:r>
      <w:r>
        <w:rPr>
          <w:color w:val="000000"/>
        </w:rPr>
        <w:t xml:space="preserve"> </w:t>
      </w:r>
      <w:r>
        <w:rPr>
          <w:rFonts w:ascii="Times New Roman;serif" w:hAnsi="Times New Roman;serif"/>
          <w:b w:val="false"/>
          <w:color w:val="000000"/>
          <w:sz w:val="20"/>
        </w:rPr>
        <w:t>Various other legal actions, including class actions, governmental investigations, claims, and proceedings are pending 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competition issues;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There ar</w:t>
      </w:r>
      <w:r>
        <w:rPr>
          <w:rFonts w:ascii="Times New Roman;serif" w:hAnsi="Times New Roman;serif"/>
          <w:b w:val="false"/>
          <w:color w:val="000000"/>
          <w:sz w:val="20"/>
          <w:shd w:fill="FFFFFF" w:val="clear"/>
        </w:rPr>
        <w:t>e several putat</w:t>
      </w:r>
      <w:r>
        <w:rPr>
          <w:rFonts w:ascii="Times New Roman;serif" w:hAnsi="Times New Roman;serif"/>
          <w:b w:val="false"/>
          <w:color w:val="000000"/>
          <w:sz w:val="20"/>
        </w:rPr>
        <w:t>ive class actions pending against GM in the U.S. and Canada alleging that various vehicles sold, including model year 2011–2016 Duramax Diesel Chevrolet Silverado and GMC Sierra vehicles, violate federal and state laws because they release more emissions than a reasonable customer would expect. In July 2023, the two putative class actions pending in the U.S. were dismissed with prejudice and judgment entered in favor of GM, and plaintiffs appealed the dismissal. In August 2024, the Sixth Circuit reversed in part and affirmed in part the dismissal in one of the cases. In June 2025, a different panel in the second case affirmed in part, vacated in part, and remanded for further proceedings.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There is one putative class action and one certified class action pending against GM in the U.S. alleging that various 2015–2022 model year vehicles are defective because they are equipped with faulty 8-speed transmissions. In March 2023, the judge overseeing the class action concerning 2015–2019 model year vehicles certified 26 state subclasses and GM appealed. In June 2025, the Sixth Circuit decertified all 26 state subclasses and remanded to the district court for further proceedings. The putative class action concerning 2020–2022 model year vehicles is pending in front of a different judge that has not yet addressed class certification. We have similar cases pending in Canada concerning these vehicles. We are currently unable to estimate any reasonably possible or probable material loss or range of loss that may result from these proceedings in excess of immaterial amounts already accrued.</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color w:val="000000"/>
          <w:sz w:val="20"/>
        </w:rPr>
        <w:t xml:space="preserve">Takata Matters </w:t>
      </w:r>
      <w:r>
        <w:rPr>
          <w:rFonts w:ascii="Times New Roman;serif" w:hAnsi="Times New Roman;serif"/>
          <w:b w:val="false"/>
          <w:color w:val="000000"/>
          <w:sz w:val="20"/>
        </w:rPr>
        <w:t>In November 2020, the National Highway Traffic Safety Administration (NHTSA) directed that we replace the Takata airbag inflators in our GMT900 vehicles, which are full-size pickup trucks and sport utility vehicles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At June 30, 2026, our remaining accrual for these matters was $0.3 billion, and we believe the currently accrued amount remains reasonable.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There are several putative class actions that have been filed against GM, including in the U.S. and Canada, arising out of allegations that airbag inflators manufactured by Takata are defective. In March 2023, a U.S. court overseeing one of the putative class actions issued a final judgment in favor of GM on all claims in eight states at issue in that proceeding. In August 2023, the same U.S. court granted class certification as to a Louisiana claim but denied certification as to seven other states. At this stage of these proceedings, we are unable to provide an estimate of the amounts or range of reasonably possible material loss.</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both"/>
        <w:rPr/>
      </w:pPr>
      <w:r>
        <w:rPr>
          <w:rFonts w:ascii="Times New Roman;serif" w:hAnsi="Times New Roman;serif"/>
          <w:b/>
          <w:color w:val="000000"/>
          <w:sz w:val="20"/>
        </w:rPr>
        <w:t>ARC Matters</w:t>
      </w:r>
      <w:r>
        <w:rPr>
          <w:color w:val="000000"/>
        </w:rPr>
        <w:t xml:space="preserve"> </w:t>
      </w:r>
      <w:r>
        <w:rPr>
          <w:rFonts w:ascii="Times New Roman;serif" w:hAnsi="Times New Roman;serif"/>
          <w:b w:val="false"/>
          <w:color w:val="000000"/>
          <w:sz w:val="20"/>
        </w:rPr>
        <w:t>In May 2023, we initiated a voluntary recall covering nearly one million 2014–2017 model year Buick Enclave, Chevrolet Traverse, and GMC Acadia SUVs equipped with driver front airbag inflators manufactured by ARC Automotive, Inc. (ARC) and accrued an insignificant amount for the expected costs of the recall. As part of its ongoing investigation into ARC airbag inflators, on September 5, 2023, NHTSA issued an Initial Decision that approximately 52 million frontal driver and passenger airbag inflators manufactured by ARC and Delphi Automotive Systems LLC over a roughly 20-year period contain a safety-related defect and must be recalled. On July 31, 2024, NHTSA issued a Supplemental Initial Decision reaffirming its September 2023 Initial Decision and reopening the administrative record to additional public comments. The Initial Decision and the Supplemental Initial Decision were primarily based on the occurrence of seven field ruptures involving ARC-manufactured frontal airbag inflators. We are continuing to investigate the cause of the ruptures in GM vehicles in connection with our existing recalls. On December 13, 2024, NHTSA issued a memorandum indicating that, based on the public comments it had received to date, the agency would be "conducting additional investigation of the issues related to the Supplemental Initial Decision." Where our investigation has shown that a population of GM vehicles contains ARC inflators that pose an unreasonable risk to safety, we have appropriately recalled those vehicles, and our investigation is continuing.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Privacy and Consumer Protection Matters </w:t>
      </w:r>
      <w:r>
        <w:rPr>
          <w:rFonts w:ascii="Times New Roman;serif" w:hAnsi="Times New Roman;serif"/>
          <w:b w:val="false"/>
          <w:color w:val="000000"/>
          <w:sz w:val="20"/>
        </w:rPr>
        <w:t>There are putative class actions pending against GM in federal courts in the U.S. alleging violations of state and federal privacy and consumer protection laws related to the collection and use of certain consumer data obtained through our former OnStar Smart Driver product. In June 2024, those class actions were consolidated into a multi-district litigation proceeding in the Northern District of Georgia. In addition, several states have filed enforcement lawsuits against us, and other state attorneys general have opened investigations or made inquiries of us relating to these alleged consumer protection and privacy issues. During the six months ended June 30, 2026, the Company reached final settlements and entered into agreed consent orders with the Federal Trade Commission and regulators in the state of California. The Company is defending litigation filed against us and fully cooperating with other agencies and attorneys general that are conducting investigations. As of June 30, 2026, we had accrued $0.5 billion in connection with these investigations and litigations. At this stage, we are not able to estimate any reasonably possible or probable material loss or range of loss that may result from these actions beyond this accrual.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Product Liability and Breach of Warranty </w:t>
      </w:r>
      <w:r>
        <w:rPr>
          <w:rFonts w:ascii="Times New Roman;serif" w:hAnsi="Times New Roman;serif"/>
          <w:b w:val="false"/>
          <w:color w:val="000000"/>
          <w:sz w:val="20"/>
        </w:rPr>
        <w:t>We record liabilities related to product liability claims in Accrued liabilities and Other liabilities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are also subject to breach of warranty claims resulting from state and federal consumer protection laws that allow consumers to hold manufacturers legally responsible in situations where a product cannot be conformed to its warranties. Consumer relief can include, but is not limited to, a refund, a replacement vehicle, a recovery of legal and administrative fees, or other monetary damages. Losses that we believe to be probable and estimable based on evaluation of historical transactions are included in Accrued liabilities and Other liabilities and are reviewed regularly for adequacy. We believe that any judgment against us involving our warranties for actual damages will be adequately covered by our recorded accruals.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Guarantees </w:t>
      </w:r>
      <w:r>
        <w:rPr>
          <w:rFonts w:ascii="Times New Roman;serif" w:hAnsi="Times New Roman;serif"/>
          <w:b w:val="false"/>
          <w:color w:val="000000"/>
          <w:sz w:val="20"/>
        </w:rPr>
        <w:t>We enter into indemnification agreements for liability claims involving products manufactured primarily by certain joint ventures. These guarantees terminate in years ranging from 2026 to 2034,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$3.9 billion and $3.5 billion for these guarantees at June 30, 2026 and December 31, 2025, the majority of which relates to the indemnification agreements.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payment guarantees on commercial loans outstanding with third parties such as dealers. In some instances, certain assets of the party or our payables to the party whose debt or performance we have guaranteed may offset, to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degree, the amount of any potential future payments. We are also exposed to residual value guarantees associated with certain sales to rental car companies.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color w:val="000000"/>
          <w:sz w:val="20"/>
        </w:rPr>
        <w:t xml:space="preserve">Supplier Finance Programs </w:t>
      </w:r>
      <w:r>
        <w:rPr>
          <w:rFonts w:ascii="Times New Roman;serif" w:hAnsi="Times New Roman;serif"/>
          <w:b w:val="false"/>
          <w:color w:val="000000"/>
          <w:sz w:val="20"/>
        </w:rPr>
        <w:t>Third-party finance providers offer certain suppliers the option for payment in advance of their invoice due date through 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were $1.3 billion and $1.1 billion at June 30, 2026 and December 31, 2025, which are recorded in Accounts payable (principally trade).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Indirect Tax-Related Matters</w:t>
      </w:r>
      <w:r>
        <w:rPr>
          <w:color w:val="000000"/>
        </w:rPr>
        <w:t xml:space="preserve"> </w:t>
      </w:r>
      <w:r>
        <w:rPr>
          <w:rFonts w:ascii="Times New Roman;serif" w:hAnsi="Times New Roman;serif"/>
          <w:b w:val="false"/>
          <w:color w:val="000000"/>
          <w:sz w:val="20"/>
        </w:rPr>
        <w:t>Tax matters not subject to the provision of Accounting Standards Codification 740, "Income Taxes" that pertain to value added taxes, customs, duties, sales tax, property taxes, and other non-income tax exposures are evaluated globally. For indirect tax-related matters, we estimate our reasonably possible loss in excess of amounts accrued to be up to $1.0 billion at June 30, 2026. Certain indirect tax-related administrative proceedings may require that we deposit funds in escrow or provide an alternative form of security. We are not able to estimate the timing or amount of potential deposits and currently believe any required amounts will not be material.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Emissions-Related Uncertainties </w:t>
      </w:r>
      <w:r>
        <w:rPr>
          <w:rFonts w:ascii="Times New Roman;serif" w:hAnsi="Times New Roman;serif"/>
          <w:b w:val="false"/>
          <w:color w:val="000000"/>
          <w:sz w:val="20"/>
        </w:rPr>
        <w:t>We are subject to state and federal governmental regulations, as well as regulations from governments outside of the U.S., relating to fuel economy standards and emissions. There are several methods to comply with these regulations that we have utilized and may continue to utilize, including, but not limited to, increasing production and sales of certain vehicles; curtailing production of certain vehicles; making certain technology changes; purchasing credits from third parties; and/or paying civil penalties. Recently, the U.S. Government began to take actions to reduce the stringency and/or scope of these regulations. During the year ended December 31, 2025, the civil penalties for noncompliance with corporate average fuel economy (CAFE) standards were set to zero for all non-finalized model years, and NHTSA submitted a proposal for the 2022-2031 model years that would reduce the stringency from what was previously finalized. In 2026, the Environmental Protection Agency (EPA)</w:t>
      </w:r>
      <w:r>
        <w:rPr>
          <w:color w:val="000000"/>
        </w:rPr>
        <w:t xml:space="preserve"> </w:t>
      </w:r>
      <w:r>
        <w:rPr>
          <w:rFonts w:ascii="Times New Roman;serif" w:hAnsi="Times New Roman;serif"/>
          <w:b w:val="false"/>
          <w:color w:val="000000"/>
          <w:sz w:val="20"/>
        </w:rPr>
        <w:t>finalized a rule repealing its "endangerment finding" and removing greenhouse gas (GHG) regulations for light-, medium-, and heavy-duty on-highway vehicles on a retrospective and prospective basis. Litigation over the EPA's endangerment repeal has commenced, and we also expect any final action to alter U.S. CAFE regulations to be subject to legal challenges that could result in the revised rules being vacated until conclusion of the legal proceedings, which is unlikely to occur in the near term.</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Under current regulations, shortfalls to certain emissions standards could result in legal or regulatory proceedings against us, the recall or decertification of one or more of our products, negotiated remedial actions, fines and penalties, and/or restricted product offerings. Based on our current and forecasted sales mix, we currently have, and expect to continue to have shortfalls in complying with current U.S. regulations. We recorded compliance-related costs of $0.5 billion and $0.2 billion in the three months ended June 30, 2026 and 2025 and $0.6 billion and $0.4 billion in the six months ended June 30, 2026 and 2025 in Automotive and other cost of sales. In the three months ended June 30, 2026, our compliance-related costs reflect a net charge of $0.5 billion associated with compliance-related assets due to the repeal of the EPA's endangerment finding in April 2026. Additional compliance costs, under current regulations, including potential fines and penalties, are not reasonably estimable. At June 30, 2026, the carrying amount of our compliance-related assets was $0.7 billion.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14.</w:t>
      </w:r>
      <w:r>
        <w:rPr>
          <w:color w:val="000000"/>
        </w:rPr>
        <w:t xml:space="preserve"> </w:t>
      </w:r>
      <w:r>
        <w:rPr>
          <w:rFonts w:ascii="Times New Roman;serif" w:hAnsi="Times New Roman;serif"/>
          <w:b/>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In the three months ended June 30, 2026 and 2025, Income ta</w:t>
      </w:r>
      <w:r>
        <w:rPr>
          <w:rFonts w:ascii="Times New Roman;serif" w:hAnsi="Times New Roman;serif"/>
          <w:b w:val="false"/>
          <w:color w:val="000000"/>
          <w:sz w:val="20"/>
          <w:shd w:fill="FFFFFF" w:val="clear"/>
        </w:rPr>
        <w:t xml:space="preserve">x </w:t>
      </w:r>
      <w:r>
        <w:rPr>
          <w:rFonts w:ascii="Times New Roman;serif" w:hAnsi="Times New Roman;serif"/>
          <w:b w:val="false"/>
          <w:color w:val="000000"/>
          <w:sz w:val="20"/>
        </w:rPr>
        <w:t>expense of $214 million and $481 million was primarily due to tax expense attributable to entities included in our effective tax rate calculation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In the six months ended June 30, 2026 and 2025, Income ta</w:t>
      </w:r>
      <w:r>
        <w:rPr>
          <w:rFonts w:ascii="Times New Roman;serif" w:hAnsi="Times New Roman;serif"/>
          <w:b w:val="false"/>
          <w:color w:val="000000"/>
          <w:sz w:val="20"/>
          <w:shd w:fill="FFFFFF" w:val="clear"/>
        </w:rPr>
        <w:t xml:space="preserve">x </w:t>
      </w:r>
      <w:r>
        <w:rPr>
          <w:rFonts w:ascii="Times New Roman;serif" w:hAnsi="Times New Roman;serif"/>
          <w:b w:val="false"/>
          <w:color w:val="000000"/>
          <w:sz w:val="20"/>
        </w:rPr>
        <w:t>expense of $856 million and $1.2 billion was primarily due to tax expense attributable to entities included in our effective tax rate calculation</w:t>
      </w:r>
      <w:r>
        <w:rPr>
          <w:rFonts w:ascii="Times New Roman;serif" w:hAnsi="Times New Roman;serif"/>
          <w:b w:val="false"/>
          <w:color w:val="000000"/>
          <w:sz w:val="20"/>
          <w:shd w:fill="FFFFFF" w:val="clear"/>
        </w:rPr>
        <w:t>.</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Restructuring and Other Initiatives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reserves and charges related to restructuring and other initiatives, including postemployment benefit reserves and charges: </w:t>
      </w:r>
    </w:p>
    <w:tbl>
      <w:tblPr>
        <w:tblW w:w="9890" w:type="dxa"/>
        <w:jc w:val="left"/>
        <w:tblInd w:w="0" w:type="dxa"/>
        <w:tblLayout w:type="fixed"/>
        <w:tblCellMar>
          <w:top w:w="28" w:type="dxa"/>
          <w:left w:w="28" w:type="dxa"/>
          <w:bottom w:w="28" w:type="dxa"/>
          <w:right w:w="28" w:type="dxa"/>
        </w:tblCellMar>
      </w:tblPr>
      <w:tblGrid>
        <w:gridCol w:w="1581"/>
        <w:gridCol w:w="1390"/>
        <w:gridCol w:w="1394"/>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Additions, interest accretion, and other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Reductions and payments(a)</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Revisions to estimates and effect of foreign currency</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(a)Includes amounts that have been reclassified to accounts payable that are being processed for payment.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recorded charges of $7.9 billion in GMNA related to our EV strategic realignment. These charges included non-cash impairment and other charges of $3.2 billion and cash related charges of $4.7 billion, primarily consisting of supplier commercial settlements, contract cancellation fees, battery cell JV settlements, and other charges that will have a cash impact when paid. The non-cash impairment charges include the cost of writing down EV-related tooling and equipment to its nominal salvage value. We incurred cash outflows of $400 million related to these charges in the year ended December 31, 2025. In the three months ended June 30, 2026, we recorded additional net charges of $2.3 billion, primarily related to $1.3 billion for ongoing commercial negotiations with our supply base and joint venture partners, $1.1 billion of losses on contractual supply agreements, and $493 million associated with compliance-related assets, net of $660 million of recoveries under a cost sharing arrangement. Of these charges, $1.6 billion will have a cash impact when paid. The charges associated with losses on contractual supply agreements and compliance-related assets are not included in the table above. For the six months ended June 30, 2026, net charges were $3.4 billion and, in addition to the charges recorded in the three months ended June 30, 2026, consisted of $1.0 billion of charges for ongoing commercial negotiations with our supply base and joint venture partners. Of these charges, $2.5 billion will have a cash impact when paid. We incurred cash outflows of $4.1 billion related to these charges in the six months ended June 30, 2026. We expect to recognize additional charges in the year ending December 31, 2026, and while circumstances may change in the future, we believe we have substantially completed the recognition of material cash charges related to our EV strategic realignment.</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16. Stockholders' Equity and Noncontrolling Interests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have 2.0 billion shares of preferred stock and 5.0 billion shares of common stock authorized for issuance. We had no shares of preferred stock issued and outstanding at June 30, 2026 and December 31, 2025. We had 877 million and 904 million shares of common stock issued and outstanding at June 30, 2026 and December 31, 2025.</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color w:val="000000"/>
          <w:sz w:val="20"/>
        </w:rPr>
        <w:t>Common Stock</w:t>
      </w:r>
      <w:r>
        <w:rPr>
          <w:color w:val="000000"/>
        </w:rPr>
        <w:t xml:space="preserve"> </w:t>
      </w:r>
      <w:r>
        <w:rPr>
          <w:rFonts w:ascii="Times New Roman;serif" w:hAnsi="Times New Roman;serif"/>
          <w:b w:val="false"/>
          <w:color w:val="000000"/>
          <w:sz w:val="20"/>
        </w:rPr>
        <w:t>Holders of our common stock are entitled to dividends at the sole discretion of our Board of Directors. Our dividends declared per common share were $0.18 and $0.36 for the three and six months ended June 30, 2026 and $0.15 and $0.27 for the three and six months ended June 30, 2025. Our total dividends paid on common stock were $160 million and $324 million for the three and six months ended June 30, 2026 and $144 million and $260 million for the three and six months ended June 30, 2025.</w:t>
      </w:r>
    </w:p>
    <w:p>
      <w:pPr>
        <w:pStyle w:val="TextBody"/>
        <w:bidi w:val="0"/>
        <w:spacing w:before="0" w:after="0"/>
        <w:ind w:left="0" w:right="0" w:firstLine="180"/>
        <w:jc w:val="both"/>
        <w:rPr/>
      </w:pPr>
      <w:r>
        <w:rPr/>
      </w:r>
    </w:p>
    <w:p>
      <w:pPr>
        <w:pStyle w:val="TextBody"/>
        <w:bidi w:val="0"/>
        <w:spacing w:lineRule="auto" w:line="268" w:before="0" w:after="0"/>
        <w:ind w:left="0" w:right="0" w:firstLine="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February 2025, we executed an accelerated share repurchase (ASR) program to repurchase an aggregate amount of $2.0 billion of our outstanding common stock. Pursuant to the agreements, we advanced $2.0 billion and received and immediately retired approximately 33 million shares of our common stock with a value of $1.6 billion in the three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ended March 31, 2025. The remaining ASR settled in the three months ended June 30, 2025. In total, we received and retired 43 million shares from the program.</w:t>
      </w:r>
    </w:p>
    <w:p>
      <w:pPr>
        <w:pStyle w:val="TextBody"/>
        <w:bidi w:val="0"/>
        <w:spacing w:before="0" w:after="0"/>
        <w:ind w:left="0" w:right="0" w:firstLine="18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January 2026, our Board of Directors increased the capacity under our existing share repurchase program by $6.0 billion to an aggregate of $6.3 billion, with no expiration date.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2026, we repurchased 36 million outstanding shares of our common stock for $2.8 billion, and in the six months ended June 30, 2025, we repurchased an insignificant amount of shares in addition to those received under the ASR program.</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color w:val="000000"/>
          <w:sz w:val="20"/>
        </w:rPr>
        <w:t>Cruise Common and Preferred Shares</w:t>
      </w:r>
      <w:r>
        <w:rPr>
          <w:color w:val="000000"/>
        </w:rPr>
        <w:t xml:space="preserve"> </w:t>
      </w:r>
      <w:r>
        <w:rPr>
          <w:rFonts w:ascii="Times New Roman;serif" w:hAnsi="Times New Roman;serif"/>
          <w:b w:val="false"/>
          <w:color w:val="000000"/>
          <w:sz w:val="20"/>
        </w:rPr>
        <w:t xml:space="preserve">In February 2025, we acquired all of the Cruise common shares and Cruise Class F and Class G Preferred Shares held by noncontrolling shareholders for an insignificant amount. We have completed the process of compensating the former Cruise shareholders. </w:t>
      </w:r>
    </w:p>
    <w:p>
      <w:pPr>
        <w:pStyle w:val="TextBody"/>
        <w:bidi w:val="0"/>
        <w:spacing w:before="0" w:after="0"/>
        <w:ind w:left="0" w:right="0" w:firstLine="72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net income attributable to stockholders and transfers to the noncontrolling interest in Cruise and other subsidiaries were $1.9 billion and $5.2 billion, which includes a $538 million increase in equity attributable to us, primarily due to the redemption of Cruise preferred shares in February 2025.</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significant components of Accumulated other comprehensive loss: </w:t>
      </w:r>
    </w:p>
    <w:tbl>
      <w:tblPr>
        <w:tblW w:w="10205" w:type="dxa"/>
        <w:jc w:val="left"/>
        <w:tblInd w:w="0" w:type="dxa"/>
        <w:tblLayout w:type="fixed"/>
        <w:tblCellMar>
          <w:top w:w="28" w:type="dxa"/>
          <w:left w:w="28" w:type="dxa"/>
          <w:bottom w:w="28" w:type="dxa"/>
          <w:right w:w="28" w:type="dxa"/>
        </w:tblCellMar>
      </w:tblPr>
      <w:tblGrid>
        <w:gridCol w:w="1858"/>
        <w:gridCol w:w="1497"/>
        <w:gridCol w:w="1501"/>
        <w:gridCol w:w="221"/>
        <w:gridCol w:w="690"/>
        <w:gridCol w:w="114"/>
        <w:gridCol w:w="109"/>
        <w:gridCol w:w="109"/>
        <w:gridCol w:w="109"/>
        <w:gridCol w:w="221"/>
        <w:gridCol w:w="690"/>
        <w:gridCol w:w="114"/>
        <w:gridCol w:w="109"/>
        <w:gridCol w:w="109"/>
        <w:gridCol w:w="109"/>
        <w:gridCol w:w="109"/>
        <w:gridCol w:w="109"/>
        <w:gridCol w:w="221"/>
        <w:gridCol w:w="690"/>
        <w:gridCol w:w="114"/>
        <w:gridCol w:w="109"/>
        <w:gridCol w:w="109"/>
        <w:gridCol w:w="109"/>
        <w:gridCol w:w="220"/>
        <w:gridCol w:w="689"/>
        <w:gridCol w:w="166"/>
      </w:tblGrid>
      <w:tr>
        <w:trPr/>
        <w:tc>
          <w:tcPr>
            <w:tcW w:w="185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Currency Translation Adjustments</w:t>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and noncontrolling interests, net of reclassification adjustment and tax(a)(b)(c)</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Defined Benefit Plans</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and noncontrolling interests before reclassification adjustment, net of tax(a)(c)</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net of tax(c)</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and noncontrolling interests, net of reclassification adjustment and tax(a)(c)</w:t>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period(d)</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Unrealized Gain (Loss) on Cash Flow Hedges</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and noncontrolling interest before reclassification adjustment, net of tax(a)(c)</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net of tax(c)</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tax(a)(c)</w:t>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(a)The noncontrolling interests were insignificant in the three and six months ended June 30, 2026 and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 reclassification adjustment was insignificant in the three and six months ended June 30, 2026 and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(c)The income tax effect was insignificant in the three and six months ended June 30, 2026 and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(d)Primarily consists of unamortized actuarial loss on our defined benefit plans. Refer to Note 2. Significant Accounting Policies of our 2025 Form 10-K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Earnings Per Share</w:t>
      </w:r>
    </w:p>
    <w:tbl>
      <w:tblPr>
        <w:tblW w:w="10205" w:type="dxa"/>
        <w:jc w:val="left"/>
        <w:tblInd w:w="0" w:type="dxa"/>
        <w:tblLayout w:type="fixed"/>
        <w:tblCellMar>
          <w:top w:w="28" w:type="dxa"/>
          <w:left w:w="28" w:type="dxa"/>
          <w:bottom w:w="28" w:type="dxa"/>
          <w:right w:w="28" w:type="dxa"/>
        </w:tblCellMar>
      </w:tblPr>
      <w:tblGrid>
        <w:gridCol w:w="1805"/>
        <w:gridCol w:w="1486"/>
        <w:gridCol w:w="1498"/>
        <w:gridCol w:w="246"/>
        <w:gridCol w:w="722"/>
        <w:gridCol w:w="127"/>
        <w:gridCol w:w="109"/>
        <w:gridCol w:w="109"/>
        <w:gridCol w:w="109"/>
        <w:gridCol w:w="246"/>
        <w:gridCol w:w="722"/>
        <w:gridCol w:w="127"/>
        <w:gridCol w:w="109"/>
        <w:gridCol w:w="109"/>
        <w:gridCol w:w="109"/>
        <w:gridCol w:w="246"/>
        <w:gridCol w:w="722"/>
        <w:gridCol w:w="127"/>
        <w:gridCol w:w="109"/>
        <w:gridCol w:w="109"/>
        <w:gridCol w:w="109"/>
        <w:gridCol w:w="245"/>
        <w:gridCol w:w="717"/>
        <w:gridCol w:w="188"/>
      </w:tblGrid>
      <w:tr>
        <w:trPr/>
        <w:tc>
          <w:tcPr>
            <w:tcW w:w="1805"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stockholders</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Adjustments(a)</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 diluted</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awards under stock incentive plans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diluted</w:t>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securities(b)</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(a)Includes a $593 million return from the preferred shareholders related to the redemption of Cruise preferred shares from noncontrolling interest holders in the six months ended June 30,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(b)Potentially dilutive securities attributable to Performance Stock Units (PSUs) and Restricted Stock Units (RSUs) at June 30, 2026 and outstanding stock options, PSUs, and RSUs at June 30, 2025 were excluded from the computation of diluted earnings per share (EPS) because the securities would have had an antidilutive effect.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18. Segment Reporting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decision-maker, who is Chair and Chief Executive Officer, analyzes the results of our business through the following reportable segments: GMNA, GMI, and GM Financial. Our chief operating decision-maker evaluates the operating results and performance of our Automotive operations through earnings before interest and income taxes (EBIT)-adjusted, which is presented net of noncontrolling interests. Our chief operating decision-maker evaluates GM Financial through earnings before income taxes-adjusted (EBT-adjusted) because interest income and interest expense are an integral part of its operational and financial performance. These financial metrics are used to view operating trends, perform analytical comparisons and benchmark performance between periods and among geographic regions, and to monitor budget-to-actual variances on a monthly basis. To manage operations and make decisions regarding resource allocations, our chief operating decision-maker is regularly provided and reviews expense information at a consolidated, functional level for our global purchasing and supply chain, manufacturing, and engineering functions. Warranty and quality metrics are also viewed on a consolidated basis. Currently, a focus is being placed on driving an efficient, consolidated fixed cost structure and managing overall global headcount. Vehicle-level profitability metrics are also reviewed during the planning stage and throughout a program's life cycle on a forecasted basis, and not on an actual basis. Each segment has a manager responsible for executing our strategic initiatives.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GMNA meets the demands of customers in North America and GMI primarily meets the demands of customers outside North America with vehicles developed, manufactured, and/or marketed under the Buick, Cadillac, Chevrolet, and GMC brands.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also have equity ownership stakes in entities that meet the demands of customers in other countries, primarily China, with vehicles developed, manufactured, and/or marketed under the Baojun, Buick, Cadillac, Chevrolet, and Wuling brands. Our Cruise business was pursuing the development and commercialization of autonomous vehicle (AV) technology until, in December 2024, we announced plans to refocus our autonomous driving strategy on personal vehicles and no longer fund Cruise's robotaxi development work. We have combined the GM and Cruise ongoing personal autonomous technical efforts in our GMNA segment. We provide automotive financing services through our GM Financial segment.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Our automotive interest income and interest expense, corporate expenditures, legacy costs from the Opel/Vauxhall Business (primarily pension costs), and certain revenues and expenses that are not part of a reportable segment are recorded centrally in Corporate. Corporate assets primarily consist of cash and cash equivalents, marketable debt securities, and intersegment balances. All intersegment balances and transactions have been eliminated in consolidation.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key financial information by segment:</w:t>
      </w:r>
    </w:p>
    <w:tbl>
      <w:tblPr>
        <w:tblW w:w="9543" w:type="dxa"/>
        <w:jc w:val="left"/>
        <w:tblInd w:w="0" w:type="dxa"/>
        <w:tblLayout w:type="fixed"/>
        <w:tblCellMar>
          <w:top w:w="28" w:type="dxa"/>
          <w:left w:w="28" w:type="dxa"/>
          <w:bottom w:w="28" w:type="dxa"/>
          <w:right w:w="28" w:type="dxa"/>
        </w:tblCellMar>
      </w:tblPr>
      <w:tblGrid>
        <w:gridCol w:w="1240"/>
        <w:gridCol w:w="1085"/>
        <w:gridCol w:w="1095"/>
        <w:gridCol w:w="109"/>
        <w:gridCol w:w="109"/>
        <w:gridCol w:w="109"/>
        <w:gridCol w:w="109"/>
        <w:gridCol w:w="109"/>
        <w:gridCol w:w="109"/>
        <w:gridCol w:w="181"/>
        <w:gridCol w:w="541"/>
        <w:gridCol w:w="109"/>
        <w:gridCol w:w="109"/>
        <w:gridCol w:w="109"/>
        <w:gridCol w:w="109"/>
        <w:gridCol w:w="181"/>
        <w:gridCol w:w="466"/>
        <w:gridCol w:w="109"/>
        <w:gridCol w:w="109"/>
        <w:gridCol w:w="109"/>
        <w:gridCol w:w="109"/>
        <w:gridCol w:w="109"/>
        <w:gridCol w:w="109"/>
        <w:gridCol w:w="222"/>
        <w:gridCol w:w="573"/>
        <w:gridCol w:w="134"/>
        <w:gridCol w:w="109"/>
        <w:gridCol w:w="109"/>
        <w:gridCol w:w="109"/>
        <w:gridCol w:w="362"/>
        <w:gridCol w:w="1084"/>
        <w:gridCol w:w="308"/>
      </w:tblGrid>
      <w:tr>
        <w:trPr/>
        <w:tc>
          <w:tcPr>
            <w:tcW w:w="12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8"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At and For the Three Months Ended June 30, 2026</w:t>
            </w:r>
          </w:p>
        </w:tc>
        <w:tc>
          <w:tcPr>
            <w:tcW w:w="2081" w:type="dxa"/>
            <w:gridSpan w:val="6"/>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47,870 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Segment expenses and other items(a)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Earnings (loss) before interest and taxes-adjusted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605 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4,241 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(2,456)</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3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1,568 </w:t>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8" w:type="dxa"/>
            <w:gridSpan w:val="11"/>
            <w:tcBorders/>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8" w:type="dxa"/>
            <w:gridSpan w:val="11"/>
            <w:tcBorders/>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8" w:type="dxa"/>
            <w:gridSpan w:val="11"/>
            <w:tcBorders/>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8" w:type="dxa"/>
            <w:gridSpan w:val="11"/>
            <w:tcBorders/>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8" w:type="dxa"/>
            <w:gridSpan w:val="11"/>
            <w:tcBorders/>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2"/>
        <w:gridCol w:w="559"/>
        <w:gridCol w:w="384"/>
        <w:gridCol w:w="181"/>
        <w:gridCol w:w="616"/>
        <w:gridCol w:w="109"/>
        <w:gridCol w:w="109"/>
        <w:gridCol w:w="109"/>
        <w:gridCol w:w="109"/>
        <w:gridCol w:w="181"/>
        <w:gridCol w:w="541"/>
        <w:gridCol w:w="109"/>
        <w:gridCol w:w="109"/>
        <w:gridCol w:w="109"/>
        <w:gridCol w:w="109"/>
        <w:gridCol w:w="109"/>
        <w:gridCol w:w="109"/>
        <w:gridCol w:w="182"/>
        <w:gridCol w:w="620"/>
        <w:gridCol w:w="109"/>
        <w:gridCol w:w="109"/>
        <w:gridCol w:w="109"/>
        <w:gridCol w:w="109"/>
        <w:gridCol w:w="223"/>
        <w:gridCol w:w="761"/>
        <w:gridCol w:w="134"/>
        <w:gridCol w:w="109"/>
        <w:gridCol w:w="109"/>
        <w:gridCol w:w="109"/>
        <w:gridCol w:w="181"/>
        <w:gridCol w:w="541"/>
        <w:gridCol w:w="109"/>
        <w:gridCol w:w="109"/>
        <w:gridCol w:w="109"/>
        <w:gridCol w:w="109"/>
        <w:gridCol w:w="181"/>
        <w:gridCol w:w="597"/>
        <w:gridCol w:w="109"/>
        <w:gridCol w:w="109"/>
        <w:gridCol w:w="109"/>
        <w:gridCol w:w="109"/>
        <w:gridCol w:w="181"/>
        <w:gridCol w:w="616"/>
        <w:gridCol w:w="159"/>
      </w:tblGrid>
      <w:tr>
        <w:trPr/>
        <w:tc>
          <w:tcPr>
            <w:tcW w:w="64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47,870 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48,026 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net assets of nonconsolidated affiliates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Goodwill and intangibles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assets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324,717 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282,742 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Expenditures for property</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Impairment charges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income (loss)(c)</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pPr>
      <w:r>
        <w:rPr>
          <w:rFonts w:ascii="Times New Roman;serif" w:hAnsi="Times New Roman;serif"/>
          <w:b w:val="false"/>
          <w:color w:val="000000"/>
          <w:sz w:val="14"/>
          <w:shd w:fill="FFFFFF" w:val="clear"/>
        </w:rPr>
        <w:t>(a)</w:t>
      </w:r>
      <w:r>
        <w:rPr>
          <w:rFonts w:ascii="Times New Roman;serif" w:hAnsi="Times New Roman;serif"/>
          <w:b w:val="false"/>
          <w:color w:val="000000"/>
          <w:sz w:val="14"/>
        </w:rPr>
        <w:t>Segment expenses and other items for GMNA and GMI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(b)Consists of charges for EV strategic realignment, inclusive of a net non-cash charge of $493 million associated with compliance-related assets, and China restructuring actions in GMNA.</w:t>
      </w:r>
    </w:p>
    <w:p>
      <w:pPr>
        <w:pStyle w:val="TextBody"/>
        <w:bidi w:val="0"/>
        <w:spacing w:lineRule="auto" w:line="288" w:before="0" w:after="0"/>
        <w:ind w:left="0" w:right="0" w:hanging="360"/>
        <w:jc w:val="both"/>
        <w:rPr/>
      </w:pPr>
      <w:r>
        <w:rPr>
          <w:rFonts w:ascii="Times New Roman;serif" w:hAnsi="Times New Roman;serif"/>
          <w:b w:val="false"/>
          <w:color w:val="000000"/>
          <w:sz w:val="14"/>
        </w:rPr>
        <w:t>(c)Equity income (loss) in GMNA includes impacts of impairment charges for EV strategic realignment and Equity income (loss) associated with our Automotive China JVs includes impacts of our portion of restructuring charges. Equity income (loss) related to Ultium Cells Holdings LLC is presented in Automotive and other cost of sales as this entity has historically been integral to the operations of our business by providing battery cells for our EVs. Refer t</w:t>
      </w:r>
      <w:r>
        <w:rPr>
          <w:rFonts w:ascii="Times New Roman;serif" w:hAnsi="Times New Roman;serif"/>
          <w:b w:val="false"/>
          <w:color w:val="000000"/>
          <w:sz w:val="14"/>
          <w:shd w:fill="FFFFFF" w:val="clear"/>
        </w:rPr>
        <w:t xml:space="preserve">o </w:t>
      </w:r>
      <w:r>
        <w:rPr>
          <w:rFonts w:ascii="Times New Roman;serif" w:hAnsi="Times New Roman;serif"/>
          <w:b w:val="false"/>
          <w:color w:val="000000"/>
          <w:sz w:val="14"/>
        </w:rPr>
        <w:t>Note 7</w:t>
      </w:r>
      <w:r>
        <w:rPr>
          <w:color w:val="000000"/>
          <w:shd w:fill="FFFFFF" w:val="clear"/>
        </w:rPr>
        <w:t xml:space="preserve"> </w:t>
      </w:r>
      <w:r>
        <w:rPr>
          <w:rFonts w:ascii="Times New Roman;serif" w:hAnsi="Times New Roman;serif"/>
          <w:b w:val="false"/>
          <w:color w:val="000000"/>
          <w:sz w:val="14"/>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tbl>
      <w:tblPr>
        <w:tblW w:w="10205" w:type="dxa"/>
        <w:jc w:val="left"/>
        <w:tblInd w:w="0" w:type="dxa"/>
        <w:tblLayout w:type="fixed"/>
        <w:tblCellMar>
          <w:top w:w="28" w:type="dxa"/>
          <w:left w:w="28" w:type="dxa"/>
          <w:bottom w:w="28" w:type="dxa"/>
          <w:right w:w="28" w:type="dxa"/>
        </w:tblCellMar>
      </w:tblPr>
      <w:tblGrid>
        <w:gridCol w:w="1140"/>
        <w:gridCol w:w="933"/>
        <w:gridCol w:w="942"/>
        <w:gridCol w:w="109"/>
        <w:gridCol w:w="109"/>
        <w:gridCol w:w="181"/>
        <w:gridCol w:w="541"/>
        <w:gridCol w:w="109"/>
        <w:gridCol w:w="109"/>
        <w:gridCol w:w="181"/>
        <w:gridCol w:w="466"/>
        <w:gridCol w:w="109"/>
        <w:gridCol w:w="109"/>
        <w:gridCol w:w="181"/>
        <w:gridCol w:w="406"/>
        <w:gridCol w:w="109"/>
        <w:gridCol w:w="109"/>
        <w:gridCol w:w="109"/>
        <w:gridCol w:w="109"/>
        <w:gridCol w:w="215"/>
        <w:gridCol w:w="555"/>
        <w:gridCol w:w="129"/>
        <w:gridCol w:w="109"/>
        <w:gridCol w:w="109"/>
        <w:gridCol w:w="109"/>
        <w:gridCol w:w="340"/>
        <w:gridCol w:w="1017"/>
        <w:gridCol w:w="204"/>
        <w:gridCol w:w="109"/>
        <w:gridCol w:w="109"/>
        <w:gridCol w:w="109"/>
        <w:gridCol w:w="109"/>
        <w:gridCol w:w="109"/>
        <w:gridCol w:w="109"/>
        <w:gridCol w:w="109"/>
        <w:gridCol w:w="109"/>
        <w:gridCol w:w="109"/>
        <w:gridCol w:w="109"/>
        <w:gridCol w:w="109"/>
        <w:gridCol w:w="158"/>
      </w:tblGrid>
      <w:tr>
        <w:trPr/>
        <w:tc>
          <w:tcPr>
            <w:tcW w:w="11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At and For the Three Months Ended June 30, 2025</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4,255 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47,067 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Segment expenses and other items(a)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(3,551)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Earnings (loss) before interest and taxes-adjusted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704 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3,323 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2,375 </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bl>
    <w:tbl>
      <w:tblPr>
        <w:tblW w:w="10298" w:type="dxa"/>
        <w:jc w:val="left"/>
        <w:tblInd w:w="0" w:type="dxa"/>
        <w:tblLayout w:type="fixed"/>
        <w:tblCellMar>
          <w:top w:w="28" w:type="dxa"/>
          <w:left w:w="28" w:type="dxa"/>
          <w:bottom w:w="28" w:type="dxa"/>
          <w:right w:w="28" w:type="dxa"/>
        </w:tblCellMar>
      </w:tblPr>
      <w:tblGrid>
        <w:gridCol w:w="489"/>
        <w:gridCol w:w="424"/>
        <w:gridCol w:w="183"/>
        <w:gridCol w:w="181"/>
        <w:gridCol w:w="616"/>
        <w:gridCol w:w="109"/>
        <w:gridCol w:w="109"/>
        <w:gridCol w:w="109"/>
        <w:gridCol w:w="109"/>
        <w:gridCol w:w="181"/>
        <w:gridCol w:w="541"/>
        <w:gridCol w:w="109"/>
        <w:gridCol w:w="109"/>
        <w:gridCol w:w="109"/>
        <w:gridCol w:w="109"/>
        <w:gridCol w:w="181"/>
        <w:gridCol w:w="406"/>
        <w:gridCol w:w="109"/>
        <w:gridCol w:w="109"/>
        <w:gridCol w:w="109"/>
        <w:gridCol w:w="109"/>
        <w:gridCol w:w="181"/>
        <w:gridCol w:w="616"/>
        <w:gridCol w:w="109"/>
        <w:gridCol w:w="109"/>
        <w:gridCol w:w="109"/>
        <w:gridCol w:w="109"/>
        <w:gridCol w:w="181"/>
        <w:gridCol w:w="616"/>
        <w:gridCol w:w="109"/>
        <w:gridCol w:w="109"/>
        <w:gridCol w:w="109"/>
        <w:gridCol w:w="109"/>
        <w:gridCol w:w="181"/>
        <w:gridCol w:w="541"/>
        <w:gridCol w:w="109"/>
        <w:gridCol w:w="109"/>
        <w:gridCol w:w="109"/>
        <w:gridCol w:w="109"/>
        <w:gridCol w:w="181"/>
        <w:gridCol w:w="596"/>
        <w:gridCol w:w="109"/>
        <w:gridCol w:w="109"/>
        <w:gridCol w:w="109"/>
        <w:gridCol w:w="109"/>
        <w:gridCol w:w="181"/>
        <w:gridCol w:w="61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Cruise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net assets of nonconsolidated affiliates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Goodwill and intangibles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assets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Expenditures for property</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Impairment charges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income (loss)(c)</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 xml:space="preserve">(a)Segment expenses and other items for GMNA and GMI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(b)Consists of charges for EV strategic realignment and Cruise restructuring in GMNA and restructuring actions in GMI.</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(c)Equity income (loss) related to Ultium Cells Holdings LLC is presented in Automotive and other cost of sales as this entity has historically been integral to the operations of our business by providing battery cells for our EVs. Refer to Note 7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tbl>
      <w:tblPr>
        <w:tblW w:w="9543" w:type="dxa"/>
        <w:jc w:val="left"/>
        <w:tblInd w:w="0" w:type="dxa"/>
        <w:tblLayout w:type="fixed"/>
        <w:tblCellMar>
          <w:top w:w="28" w:type="dxa"/>
          <w:left w:w="28" w:type="dxa"/>
          <w:bottom w:w="28" w:type="dxa"/>
          <w:right w:w="28" w:type="dxa"/>
        </w:tblCellMar>
      </w:tblPr>
      <w:tblGrid>
        <w:gridCol w:w="1240"/>
        <w:gridCol w:w="1085"/>
        <w:gridCol w:w="1095"/>
        <w:gridCol w:w="109"/>
        <w:gridCol w:w="109"/>
        <w:gridCol w:w="109"/>
        <w:gridCol w:w="109"/>
        <w:gridCol w:w="109"/>
        <w:gridCol w:w="109"/>
        <w:gridCol w:w="181"/>
        <w:gridCol w:w="541"/>
        <w:gridCol w:w="109"/>
        <w:gridCol w:w="109"/>
        <w:gridCol w:w="109"/>
        <w:gridCol w:w="109"/>
        <w:gridCol w:w="181"/>
        <w:gridCol w:w="466"/>
        <w:gridCol w:w="109"/>
        <w:gridCol w:w="109"/>
        <w:gridCol w:w="109"/>
        <w:gridCol w:w="109"/>
        <w:gridCol w:w="109"/>
        <w:gridCol w:w="109"/>
        <w:gridCol w:w="222"/>
        <w:gridCol w:w="573"/>
        <w:gridCol w:w="134"/>
        <w:gridCol w:w="109"/>
        <w:gridCol w:w="109"/>
        <w:gridCol w:w="109"/>
        <w:gridCol w:w="362"/>
        <w:gridCol w:w="1084"/>
        <w:gridCol w:w="308"/>
      </w:tblGrid>
      <w:tr>
        <w:trPr/>
        <w:tc>
          <w:tcPr>
            <w:tcW w:w="12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8"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2026</w:t>
            </w:r>
          </w:p>
        </w:tc>
        <w:tc>
          <w:tcPr>
            <w:tcW w:w="2081" w:type="dxa"/>
            <w:gridSpan w:val="6"/>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8,543 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91,406 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Segment expenses and other items(a)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Earnings (loss) before interest and taxes-adjusted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8,714 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(3,455)</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(517)</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126 </w:t>
            </w:r>
          </w:p>
        </w:tc>
        <w:tc>
          <w:tcPr>
            <w:tcW w:w="3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4,915 </w:t>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4"/>
        <w:gridCol w:w="489"/>
        <w:gridCol w:w="484"/>
        <w:gridCol w:w="181"/>
        <w:gridCol w:w="541"/>
        <w:gridCol w:w="109"/>
        <w:gridCol w:w="109"/>
        <w:gridCol w:w="109"/>
        <w:gridCol w:w="109"/>
        <w:gridCol w:w="181"/>
        <w:gridCol w:w="466"/>
        <w:gridCol w:w="109"/>
        <w:gridCol w:w="109"/>
        <w:gridCol w:w="109"/>
        <w:gridCol w:w="109"/>
        <w:gridCol w:w="109"/>
        <w:gridCol w:w="109"/>
        <w:gridCol w:w="211"/>
        <w:gridCol w:w="544"/>
        <w:gridCol w:w="127"/>
        <w:gridCol w:w="109"/>
        <w:gridCol w:w="109"/>
        <w:gridCol w:w="109"/>
        <w:gridCol w:w="320"/>
        <w:gridCol w:w="959"/>
        <w:gridCol w:w="193"/>
        <w:gridCol w:w="109"/>
        <w:gridCol w:w="109"/>
        <w:gridCol w:w="109"/>
        <w:gridCol w:w="187"/>
        <w:gridCol w:w="420"/>
        <w:gridCol w:w="114"/>
        <w:gridCol w:w="109"/>
        <w:gridCol w:w="109"/>
        <w:gridCol w:w="109"/>
        <w:gridCol w:w="230"/>
        <w:gridCol w:w="516"/>
        <w:gridCol w:w="140"/>
        <w:gridCol w:w="109"/>
        <w:gridCol w:w="109"/>
        <w:gridCol w:w="109"/>
        <w:gridCol w:w="181"/>
        <w:gridCol w:w="541"/>
        <w:gridCol w:w="158"/>
      </w:tblGrid>
      <w:tr>
        <w:trPr/>
        <w:tc>
          <w:tcPr>
            <w:tcW w:w="62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8,543 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91,406 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91,650 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income (loss)(c)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 xml:space="preserve">(a)Segment expenses and other items for GMNA and GMI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(b)Consists of charges for EV strategic realignment, inclusive of a net non-cash charge of $493 million associated with compliance-related assets, in GMNA and China restructuring actions in GMNA and GMI.</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(c)Equity income (loss) in GMNA includes impacts of impairment charges for EV strategic realignment and Equity income (loss) associated with our Automotive China JVs includes impacts of our portion of restructuring charges. Equity income (loss) related to Ultium Cells Holdings LLC is presented in Automotive and other cost of sales as this entity has historically been integral to the operations of our business by providing battery cells for our EVs. Refer to Note 7 for additional information.</w:t>
      </w:r>
    </w:p>
    <w:tbl>
      <w:tblPr>
        <w:tblW w:w="10205" w:type="dxa"/>
        <w:jc w:val="left"/>
        <w:tblInd w:w="0" w:type="dxa"/>
        <w:tblLayout w:type="fixed"/>
        <w:tblCellMar>
          <w:top w:w="28" w:type="dxa"/>
          <w:left w:w="28" w:type="dxa"/>
          <w:bottom w:w="28" w:type="dxa"/>
          <w:right w:w="28" w:type="dxa"/>
        </w:tblCellMar>
      </w:tblPr>
      <w:tblGrid>
        <w:gridCol w:w="1194"/>
        <w:gridCol w:w="1016"/>
        <w:gridCol w:w="1025"/>
        <w:gridCol w:w="109"/>
        <w:gridCol w:w="109"/>
        <w:gridCol w:w="109"/>
        <w:gridCol w:w="109"/>
        <w:gridCol w:w="109"/>
        <w:gridCol w:w="109"/>
        <w:gridCol w:w="181"/>
        <w:gridCol w:w="541"/>
        <w:gridCol w:w="109"/>
        <w:gridCol w:w="109"/>
        <w:gridCol w:w="109"/>
        <w:gridCol w:w="109"/>
        <w:gridCol w:w="181"/>
        <w:gridCol w:w="466"/>
        <w:gridCol w:w="109"/>
        <w:gridCol w:w="109"/>
        <w:gridCol w:w="109"/>
        <w:gridCol w:w="109"/>
        <w:gridCol w:w="181"/>
        <w:gridCol w:w="417"/>
        <w:gridCol w:w="109"/>
        <w:gridCol w:w="109"/>
        <w:gridCol w:w="109"/>
        <w:gridCol w:w="109"/>
        <w:gridCol w:w="218"/>
        <w:gridCol w:w="564"/>
        <w:gridCol w:w="132"/>
        <w:gridCol w:w="109"/>
        <w:gridCol w:w="109"/>
        <w:gridCol w:w="109"/>
        <w:gridCol w:w="109"/>
        <w:gridCol w:w="348"/>
        <w:gridCol w:w="1042"/>
        <w:gridCol w:w="301"/>
      </w:tblGrid>
      <w:tr>
        <w:trPr/>
        <w:tc>
          <w:tcPr>
            <w:tcW w:w="119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5"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2025</w:t>
            </w:r>
          </w:p>
        </w:tc>
        <w:tc>
          <w:tcPr>
            <w:tcW w:w="1691" w:type="dxa"/>
            <w:gridSpan w:val="3"/>
            <w:tcBorders/>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8,419 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91,046 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Segment expenses and other items(a)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(7,030)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Earnings (loss) before interest and taxes-adjusted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7,051 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Automotive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5,946 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368" w:type="dxa"/>
            <w:gridSpan w:val="13"/>
            <w:tcBorders/>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368" w:type="dxa"/>
            <w:gridSpan w:val="13"/>
            <w:tcBorders/>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368" w:type="dxa"/>
            <w:gridSpan w:val="13"/>
            <w:tcBorders/>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368" w:type="dxa"/>
            <w:gridSpan w:val="13"/>
            <w:tcBorders/>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368" w:type="dxa"/>
            <w:gridSpan w:val="13"/>
            <w:tcBorders/>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3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50"/>
        <w:gridCol w:w="339"/>
        <w:gridCol w:w="320"/>
        <w:gridCol w:w="181"/>
        <w:gridCol w:w="541"/>
        <w:gridCol w:w="109"/>
        <w:gridCol w:w="109"/>
        <w:gridCol w:w="109"/>
        <w:gridCol w:w="109"/>
        <w:gridCol w:w="181"/>
        <w:gridCol w:w="466"/>
        <w:gridCol w:w="109"/>
        <w:gridCol w:w="109"/>
        <w:gridCol w:w="109"/>
        <w:gridCol w:w="109"/>
        <w:gridCol w:w="181"/>
        <w:gridCol w:w="406"/>
        <w:gridCol w:w="109"/>
        <w:gridCol w:w="109"/>
        <w:gridCol w:w="109"/>
        <w:gridCol w:w="109"/>
        <w:gridCol w:w="194"/>
        <w:gridCol w:w="501"/>
        <w:gridCol w:w="117"/>
        <w:gridCol w:w="109"/>
        <w:gridCol w:w="109"/>
        <w:gridCol w:w="109"/>
        <w:gridCol w:w="244"/>
        <w:gridCol w:w="732"/>
        <w:gridCol w:w="147"/>
        <w:gridCol w:w="109"/>
        <w:gridCol w:w="109"/>
        <w:gridCol w:w="109"/>
        <w:gridCol w:w="187"/>
        <w:gridCol w:w="420"/>
        <w:gridCol w:w="114"/>
        <w:gridCol w:w="109"/>
        <w:gridCol w:w="109"/>
        <w:gridCol w:w="109"/>
        <w:gridCol w:w="230"/>
        <w:gridCol w:w="516"/>
        <w:gridCol w:w="140"/>
        <w:gridCol w:w="109"/>
        <w:gridCol w:w="109"/>
        <w:gridCol w:w="109"/>
        <w:gridCol w:w="181"/>
        <w:gridCol w:w="541"/>
        <w:gridCol w:w="160"/>
      </w:tblGrid>
      <w:tr>
        <w:trPr/>
        <w:tc>
          <w:tcPr>
            <w:tcW w:w="55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Cruise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GM 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 and revenue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8,419 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91,046 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91,141 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income (loss)(c)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(a)Segment expenses and other items for GMNA and GMI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ongoing costs incurred related to the wind down of Cruise robotaxi activities.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(b)Consists of charges for EV strategic realignment and Cruise restructuring in GMNA and restructuring actions in GMI.</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(c)Equity income (loss) related to Ultium Cells Holdings LLC is presented in Automotive and other cost of sales as this entity has historically been integral to the operations of our business by providing battery cells for our EVs. Refer to Note 7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Basis of Presentation </w:t>
      </w:r>
      <w:r>
        <w:rPr>
          <w:rFonts w:ascii="Times New Roman;serif" w:hAnsi="Times New Roman;serif"/>
          <w:b w:val="false"/>
          <w:color w:val="000000"/>
          <w:sz w:val="20"/>
        </w:rPr>
        <w:t>This Management's Discussion and Analysis of Financial Condition and Results of Operations (MD&amp;A) should be read in conjunction with the accompanying condensed consolidated financial statements and the notes thereto, and the audited consolidated financial statements and notes thereto included in our 2025 Form 10-K.</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this MD&amp;A are not guarantees of future performance and may involve risks and uncertainties that could cause actual results to differ materially from those projected. Refer to the "Forward-Looking Statements" section of this MD&amp;A, Part I, Item 1A. Risk Factors of our 2025 Form 10-K, and Part II, Item 1A. Risk Factors of our Quarterly Report on Form 10-Q for the three months ended March 31, 2026 for a discussion of these risks and uncertainties. Except for per share amounts or as otherwise specified, dollar amounts presented within tables are stated in millions. Certain columns and rows may not add due to rounding.</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Overview </w:t>
      </w:r>
      <w:r>
        <w:rPr>
          <w:rFonts w:ascii="Times New Roman;serif" w:hAnsi="Times New Roman;serif"/>
          <w:b w:val="false"/>
          <w:color w:val="000000"/>
          <w:sz w:val="20"/>
        </w:rPr>
        <w:t>Our vision for the future is a world with zero crashes, zero emissions, and zero congestion. We will adapt to customer preferences while executing our growth-focused strategy to invest in internal combustion engine (ICE) vehicles, EVs, hybrids, personal AV technology, software-enabled services, and other new business opportunities. To support strong margins and cash flow, we continue to prioritize profitable ICE vehicles, such as trucks and SUVs. We plan to execute our strategy with a steadfast commitment to good corporate citizenship through more sustainable operations and a leading health and safety culture.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Our financial performance continues to be driven by the strength of our vehicle portfolio, including high margin full-size pickup trucks and SUVs, strong consumer demand for our products, and the execution of our core business strategy. We remain focused on maintaining an efficient cost structure and pricing discipline. We continue to prioritize driving down costs to improve profitability and are aligning our EV capacity and manufacturing footprint. We are monitoring industry pricing pressures, changing interest rates, inflation, warranty claims, consumer demand trends, geopolitical tensions, and changes to the regulatory environment, including with respect to tariffs, fuel economy standards, and emissions regulations.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2025, the U.S. and other governments implemented new tariffs relevant to GM and its suppliers, including tariffs on vehicles and parts imported into the U.S. The tariff environment remains highly dynamic, and the specific tariffs applicable to goods imported by GM and its suppliers continue to evolve, including with respect to imports under the U.S.-Mexico-Canada Agreement and other trade agreements. We have acted with urgency and discipline to maintain strong positioning within the industry. On February 20, 2026, the U.S. Supreme Court concluded that the International Emergency Economic Powers Act (IEEPA) did not authorize the imposition of tariffs. Because we believe previously paid amounts regarding tariffs imposed under IEEPA are refundable, we recorded a net $0.5 billion favorable adjustment primarily due to previously charged IEEPA tariffs in the three months ended March 31, 2026. Based on the current tariff environment, we estimate that impacts to EBIT-adjusted could range from $2.5 billion to $3.5 billion for the year ending December 31, 2026 and may be subject to change if new tariffs or changes to existing tariffs arise. Refer to Part I, Item 1A. Risk Factors in our 2025 Form 10-K for a full discussion of the risks associated with the global tariff environment.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recorded charges of $7.9 billion in GMNA related to our EV strategic realignment. In the three months ended June 30, 2026, we recorded additional net charges of $2.3 billion, primarily related to $1.3 billion for ongoing commercial negotiations with our supply base and joint venture partners, $1.1 billion of losses on contractual supply agreements, and $0.5 billion associated with compliance-related assets, net of $0.7 billion of recoveries under a cost sharing arrangement. Of these charges, $1.6 billion will have a cash impact when paid. For the six months ended June 30, 2026, net charges were $3.4 billion and, in addition to the charges recorded in the three months ended June 30, 2026, consisted of $1.0 billion of charges for ongoing commercial negotiations with our supply base and joint venture partners. Of these charges, $2.5 billion will have a cash impact when paid. We incurred cash outflows of $4.1 billion related to these charges in the six months ended June 30, 2026. We expect additional charges in the year ending December 31, 2026, and while circumstances may change in the future, we believe we have substantially completed the recognition of material cash charges related to our EV strategic realignment. The charge associated with our compliance-related assets in April 2026 was due to the repeal of the EPA's endangerment finding. At June 30, 2026, the carrying amount of our compliance-related assets was $0.7 billion. The expected future EV-related charges will be reflected as adjustments to our non-GAAP financial measures. Refer to the "Non-GAAP Measures" section of this MD&amp;A for additional information. Our strategic realignment of EV capacity does not impact today's retail portfolio of Chevrolet, GMC, and Cadillac EVs currently in production, and we expect these models to remain available to consumers.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As we continue to assess our performance and the needs of our evolving business, additional restructuring and rationalization actions could be required. These actions could give rise to future asset impairments or other charges, which may have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impact on our operating results. Refer to the "Consolidated Results" and regional sections of this MD&amp;A for additional information.</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face continuing market, operating, and regulatory challenges in several countries across the globe due to, among other factors, competitive pressures, our product portfolio offerings, heightened emissions standards, labor disruptions, foreign exchange volatility, evolving trade policy, automotive industry supply chains, and political uncertainty. Refer to Part I, Item 1A. Risk Factors in our 2025 Form 10-K and Part II, Item 1A. Risk Factors of our Quarterly Report on Form 10-Q for the three months ended March 31, 2026 for a discussion of these challenges.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For the year ending December 31, 2026, we expect Net income attributable to stockholders of between $8.4 billion and $9.8 billion, EBIT-adjusted of between $14.0 billion and $16.0 billion, EPS-diluted of between $8.98 and $10.98, and EPS-diluted-adjusted of between $12.00 and $14.00. Refer to the "Non-GAAP Measures" section of this MD&amp;A for additional information.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expected Net income attributable to stockholders to expected EBIT-adjusted (dollars in billions):</w:t>
      </w:r>
    </w:p>
    <w:tbl>
      <w:tblPr>
        <w:tblW w:w="6052" w:type="dxa"/>
        <w:jc w:val="left"/>
        <w:tblInd w:w="0" w:type="dxa"/>
        <w:tblLayout w:type="fixed"/>
        <w:tblCellMar>
          <w:top w:w="28" w:type="dxa"/>
          <w:left w:w="28" w:type="dxa"/>
          <w:bottom w:w="28" w:type="dxa"/>
          <w:right w:w="28" w:type="dxa"/>
        </w:tblCellMar>
      </w:tblPr>
      <w:tblGrid>
        <w:gridCol w:w="1207"/>
        <w:gridCol w:w="1060"/>
        <w:gridCol w:w="1063"/>
        <w:gridCol w:w="109"/>
        <w:gridCol w:w="109"/>
        <w:gridCol w:w="732"/>
        <w:gridCol w:w="732"/>
        <w:gridCol w:w="1040"/>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Year Ending December 31, 2026</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$ 8.4-9.8</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2.2-2.8</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$ 14.0-16.0</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(a)Refer to the reconciliation of Net income (loss) attributable to stockholders to EBIT-adjusted within this MD&amp;A for adjustment details. These expected financial results do not include the potential impact of future adjustments related to special items.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The following table reconciles expected EPS-diluted to expected EPS-diluted-adjusted</w:t>
      </w:r>
      <w:r>
        <w:rPr>
          <w:rFonts w:ascii="Times New Roman;serif" w:hAnsi="Times New Roman;serif"/>
          <w:b w:val="false"/>
          <w:color w:val="000000"/>
          <w:sz w:val="18"/>
        </w:rPr>
        <w:t>:</w:t>
      </w:r>
    </w:p>
    <w:tbl>
      <w:tblPr>
        <w:tblW w:w="5706" w:type="dxa"/>
        <w:jc w:val="left"/>
        <w:tblInd w:w="0" w:type="dxa"/>
        <w:tblLayout w:type="fixed"/>
        <w:tblCellMar>
          <w:top w:w="28" w:type="dxa"/>
          <w:left w:w="28" w:type="dxa"/>
          <w:bottom w:w="28" w:type="dxa"/>
          <w:right w:w="28" w:type="dxa"/>
        </w:tblCellMar>
      </w:tblPr>
      <w:tblGrid>
        <w:gridCol w:w="1080"/>
        <w:gridCol w:w="950"/>
        <w:gridCol w:w="954"/>
        <w:gridCol w:w="109"/>
        <w:gridCol w:w="109"/>
        <w:gridCol w:w="732"/>
        <w:gridCol w:w="732"/>
        <w:gridCol w:w="1040"/>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Year Ending December 31, 2026</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$ 8.98-10.98</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EPS-diluted-adjusted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$ 12.00-14.00</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(a)Refer to the reconciliation of diluted earnings per common share to EPS-diluted-adjusted within this MD&amp;A for adjustment details. These expected financial results do not include the potential impact of future adjustments related to special items.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GMNA </w:t>
      </w:r>
      <w:r>
        <w:rPr>
          <w:rFonts w:ascii="Times New Roman;serif" w:hAnsi="Times New Roman;serif"/>
          <w:b w:val="false"/>
          <w:color w:val="000000"/>
          <w:sz w:val="20"/>
        </w:rPr>
        <w:t>Industry sales in North America were 10.0 million units in the six months ended June 30, 2026, representing a decrease of 2.6% compared to the corresponding period in 2025. U.S. industry sales were 8.1 million units in the six months ended June 30, 2026, representing a decrease of 3.4% compared to the corresponding period in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Our total vehicle sales in the U.S., our largest market in North America, were 1.3 million units for a market share of 16.7% in the six months ended June 30, 2026, representing a decrease of 0.6 percentage points compared to the corresponding period in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achieved solid margins in the six months ended June 30, 2026 driven by the strength of our product portfolio and ongoing cost discipline. However, the evolving tariff and policy landscape could continue to have a material impact on our profitability going forward. We remain focused on improving our EV profitability while maintaining our focus on cost. In addition, our outlook is dependent on continued supply chain availability, the resiliency of the U.S. economy, and overall economic conditions, including the imposition of tariffs, less available offsets and deductions, or other trade restrictions by the U.S. or its trading partners. Looking ahead, our top priority is earning 8.0-10.0% annualized EBIT-adjusted margins in GMNA on a sustained basis.</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GMI </w:t>
      </w:r>
      <w:r>
        <w:rPr>
          <w:rFonts w:ascii="Times New Roman;serif" w:hAnsi="Times New Roman;serif"/>
          <w:b w:val="false"/>
          <w:color w:val="000000"/>
          <w:sz w:val="20"/>
        </w:rPr>
        <w:t>Industry sales in China were 10.3 million units in the six months ended June 30, 2026, representing a decrease of 16.6% compared to the corresponding period in 2025. Our total vehicle sales in China were 0.7 million units for a market share of 6.8% in the six months ended June 30, 2026, representing a decrease of 0.4 percentage points compared to the corresponding period in 2025. Our Automotive China JVs generated equity income of $0.2 billion in the six months ended June 30, 2026, which includes income of $0.1 billion related to the previously announced restructuring of SAIC General Motors Corp., Ltd. (SGM). We continue to focus on enhancing the competitiveness of our products in the Chinese market and executing restructuring plans. Additional restructuring charges may be incurred going forward.</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Outside of China, industry sales were 13.8 million units in the six months ended June 30, 2026, representing an increase of 4.0% compared to the corresponding period in 2025. Our total vehicle sales outside of China were 0.4 million units for a market share of 3.1% in the six months ended June 30, 2026, representing an increase of 0.1 percentage points compared to the corresponding period in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Vehicle Sales </w:t>
      </w:r>
      <w:r>
        <w:rPr>
          <w:rFonts w:ascii="Times New Roman;serif" w:hAnsi="Times New Roman;serif"/>
          <w:b w:val="false"/>
          <w:color w:val="000000"/>
          <w:sz w:val="20"/>
        </w:rPr>
        <w:t>The principal factors that determine consumer vehicle preferences in the markets in which we operate include overall vehicle design, price, quality, available options, safety, reliability, fuel economy or range, and functionality. Market leadership in individual countries in which we compete varies widely.</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We present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six months ended June 30, 2026, 26.8% of our wholesale vehicle sales volume was generated outside the U.S. The following table summarizes wholesale vehicle sales by our Automotive operations (vehicles in thousands): </w:t>
      </w:r>
    </w:p>
    <w:tbl>
      <w:tblPr>
        <w:tblW w:w="9624" w:type="dxa"/>
        <w:jc w:val="left"/>
        <w:tblInd w:w="0" w:type="dxa"/>
        <w:tblLayout w:type="fixed"/>
        <w:tblCellMar>
          <w:top w:w="28" w:type="dxa"/>
          <w:left w:w="28" w:type="dxa"/>
          <w:bottom w:w="28" w:type="dxa"/>
          <w:right w:w="28" w:type="dxa"/>
        </w:tblCellMar>
      </w:tblPr>
      <w:tblGrid>
        <w:gridCol w:w="255"/>
        <w:gridCol w:w="225"/>
        <w:gridCol w:w="226"/>
        <w:gridCol w:w="233"/>
        <w:gridCol w:w="233"/>
        <w:gridCol w:w="109"/>
        <w:gridCol w:w="109"/>
        <w:gridCol w:w="109"/>
        <w:gridCol w:w="109"/>
        <w:gridCol w:w="307"/>
        <w:gridCol w:w="309"/>
        <w:gridCol w:w="271"/>
        <w:gridCol w:w="109"/>
        <w:gridCol w:w="109"/>
        <w:gridCol w:w="109"/>
        <w:gridCol w:w="233"/>
        <w:gridCol w:w="233"/>
        <w:gridCol w:w="109"/>
        <w:gridCol w:w="109"/>
        <w:gridCol w:w="109"/>
        <w:gridCol w:w="109"/>
        <w:gridCol w:w="307"/>
        <w:gridCol w:w="309"/>
        <w:gridCol w:w="271"/>
        <w:gridCol w:w="109"/>
        <w:gridCol w:w="109"/>
        <w:gridCol w:w="109"/>
        <w:gridCol w:w="109"/>
        <w:gridCol w:w="109"/>
        <w:gridCol w:w="109"/>
        <w:gridCol w:w="109"/>
        <w:gridCol w:w="308"/>
        <w:gridCol w:w="308"/>
        <w:gridCol w:w="109"/>
        <w:gridCol w:w="109"/>
        <w:gridCol w:w="109"/>
        <w:gridCol w:w="109"/>
        <w:gridCol w:w="307"/>
        <w:gridCol w:w="309"/>
        <w:gridCol w:w="271"/>
        <w:gridCol w:w="109"/>
        <w:gridCol w:w="109"/>
        <w:gridCol w:w="109"/>
        <w:gridCol w:w="308"/>
        <w:gridCol w:w="308"/>
        <w:gridCol w:w="109"/>
        <w:gridCol w:w="109"/>
        <w:gridCol w:w="109"/>
        <w:gridCol w:w="109"/>
        <w:gridCol w:w="307"/>
        <w:gridCol w:w="309"/>
        <w:gridCol w:w="31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GMNA</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GMI</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including but not limited to courtesy transportation vehicles previously used by dealers that were sold to the end consumer. Total vehicle sales data includes all sales by joint ventures on a total vehicle basis, not based on our percentage ownership interest in the joint venture, including vehicle sales of non-GM trademarked vehicles,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industry and GM total vehicle sales and our related competitive position by geographic region (vehicles in thousands):</w:t>
      </w:r>
    </w:p>
    <w:tbl>
      <w:tblPr>
        <w:tblW w:w="14244" w:type="dxa"/>
        <w:jc w:val="left"/>
        <w:tblInd w:w="0" w:type="dxa"/>
        <w:tblLayout w:type="fixed"/>
        <w:tblCellMar>
          <w:top w:w="28" w:type="dxa"/>
          <w:left w:w="28" w:type="dxa"/>
          <w:bottom w:w="28" w:type="dxa"/>
          <w:right w:w="28" w:type="dxa"/>
        </w:tblCellMar>
      </w:tblPr>
      <w:tblGrid>
        <w:gridCol w:w="547"/>
        <w:gridCol w:w="244"/>
        <w:gridCol w:w="245"/>
        <w:gridCol w:w="323"/>
        <w:gridCol w:w="323"/>
        <w:gridCol w:w="241"/>
        <w:gridCol w:w="109"/>
        <w:gridCol w:w="109"/>
        <w:gridCol w:w="109"/>
        <w:gridCol w:w="277"/>
        <w:gridCol w:w="279"/>
        <w:gridCol w:w="131"/>
        <w:gridCol w:w="109"/>
        <w:gridCol w:w="109"/>
        <w:gridCol w:w="109"/>
        <w:gridCol w:w="254"/>
        <w:gridCol w:w="212"/>
        <w:gridCol w:w="350"/>
        <w:gridCol w:w="109"/>
        <w:gridCol w:w="109"/>
        <w:gridCol w:w="109"/>
        <w:gridCol w:w="323"/>
        <w:gridCol w:w="323"/>
        <w:gridCol w:w="241"/>
        <w:gridCol w:w="109"/>
        <w:gridCol w:w="109"/>
        <w:gridCol w:w="109"/>
        <w:gridCol w:w="277"/>
        <w:gridCol w:w="279"/>
        <w:gridCol w:w="131"/>
        <w:gridCol w:w="109"/>
        <w:gridCol w:w="109"/>
        <w:gridCol w:w="109"/>
        <w:gridCol w:w="254"/>
        <w:gridCol w:w="212"/>
        <w:gridCol w:w="350"/>
        <w:gridCol w:w="109"/>
        <w:gridCol w:w="109"/>
        <w:gridCol w:w="109"/>
        <w:gridCol w:w="323"/>
        <w:gridCol w:w="323"/>
        <w:gridCol w:w="241"/>
        <w:gridCol w:w="109"/>
        <w:gridCol w:w="109"/>
        <w:gridCol w:w="109"/>
        <w:gridCol w:w="278"/>
        <w:gridCol w:w="278"/>
        <w:gridCol w:w="131"/>
        <w:gridCol w:w="109"/>
        <w:gridCol w:w="109"/>
        <w:gridCol w:w="109"/>
        <w:gridCol w:w="254"/>
        <w:gridCol w:w="212"/>
        <w:gridCol w:w="350"/>
        <w:gridCol w:w="109"/>
        <w:gridCol w:w="109"/>
        <w:gridCol w:w="109"/>
        <w:gridCol w:w="323"/>
        <w:gridCol w:w="323"/>
        <w:gridCol w:w="241"/>
        <w:gridCol w:w="109"/>
        <w:gridCol w:w="109"/>
        <w:gridCol w:w="109"/>
        <w:gridCol w:w="556"/>
        <w:gridCol w:w="131"/>
        <w:gridCol w:w="327"/>
        <w:gridCol w:w="466"/>
        <w:gridCol w:w="401"/>
      </w:tblGrid>
      <w:tr>
        <w:trPr/>
        <w:tc>
          <w:tcPr>
            <w:tcW w:w="5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1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4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Industry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Industry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Industry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Industry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Share</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North America</w:t>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North America</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Asia/Pacific, Middle East, and Africa</w:t>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China(a)</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Asia/Pacific, Middle East, and Africa</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South America</w:t>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Brazil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South America</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 GM markets</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Europe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Worldwide(b)</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44,623 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2,988 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United States</w:t>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Trucks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Crossovers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United States</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China(a)</w:t>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SGMS</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SGMW</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(a)Includes sales by the Automotive China JVs: SAIC General Motors Sales Co., Ltd. (SGMS) and SAIC GM Wuling Automobile Co., Ltd. (SGMW).</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(b)Cuba, Iran, North Korea, and Sudan have been subject to broad economic sanctions. Accordingly, these countries are excluded from industry sales data and corresponding calculation of market share.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tbl>
      <w:tblPr>
        <w:tblW w:w="9675" w:type="dxa"/>
        <w:jc w:val="left"/>
        <w:tblInd w:w="0" w:type="dxa"/>
        <w:tblLayout w:type="fixed"/>
        <w:tblCellMar>
          <w:top w:w="28" w:type="dxa"/>
          <w:left w:w="28" w:type="dxa"/>
          <w:bottom w:w="28" w:type="dxa"/>
          <w:right w:w="28" w:type="dxa"/>
        </w:tblCellMar>
      </w:tblPr>
      <w:tblGrid>
        <w:gridCol w:w="1426"/>
        <w:gridCol w:w="1256"/>
        <w:gridCol w:w="1262"/>
        <w:gridCol w:w="275"/>
        <w:gridCol w:w="251"/>
        <w:gridCol w:w="623"/>
        <w:gridCol w:w="134"/>
        <w:gridCol w:w="134"/>
        <w:gridCol w:w="134"/>
        <w:gridCol w:w="275"/>
        <w:gridCol w:w="251"/>
        <w:gridCol w:w="623"/>
        <w:gridCol w:w="109"/>
        <w:gridCol w:w="109"/>
        <w:gridCol w:w="109"/>
        <w:gridCol w:w="274"/>
        <w:gridCol w:w="250"/>
        <w:gridCol w:w="625"/>
        <w:gridCol w:w="117"/>
        <w:gridCol w:w="117"/>
        <w:gridCol w:w="117"/>
        <w:gridCol w:w="260"/>
        <w:gridCol w:w="251"/>
        <w:gridCol w:w="693"/>
      </w:tblGrid>
      <w:tr>
        <w:trPr/>
        <w:tc>
          <w:tcPr>
            <w:tcW w:w="142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GMNA</w:t>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GMI</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fleet sales</w:t>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Fleet sales as a percentage of total vehicle sales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 Financial </w:t>
      </w:r>
      <w:r>
        <w:rPr>
          <w:rFonts w:ascii="Times New Roman;serif" w:hAnsi="Times New Roman;serif"/>
          <w:b w:val="false"/>
          <w:color w:val="000000"/>
          <w:sz w:val="20"/>
        </w:rPr>
        <w:t>We believe that offering a comprehensive suite of financing products will generate incremental sales of our vehicles, drive incremental GM Financial earnings, and help support our sales throughout various economic cycles. GM Financial's penetration of our retail sales in the U.S. was 35% in the six months ended June 30, 2026 and 2025. Penetration levels vary depending on incentive financing programs available and competing third-party financing products in the market. GM Financial's prime loan originations as a percentage of total loan originations in North America were 75% in the six months ended June 30, 2026 and 81% in the corresponding period in 2025. In the six months ended June 30, 2026, GM Financial's revenue consisted of leased vehicle income of 46%, retail finance charge income of 40%, and commercial finance charge income of 6%.</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Financial's leasing program is exposed to residual values, which are heavily dependent on used vehicle prices. The following table summarizes the estimated residual value based on GM Financial's most recent estimates and the number of units included in GM Financial Equipment on operating leases, net by vehicle type (units in thousands):</w:t>
      </w:r>
    </w:p>
    <w:tbl>
      <w:tblPr>
        <w:tblW w:w="8574" w:type="dxa"/>
        <w:jc w:val="left"/>
        <w:tblInd w:w="0" w:type="dxa"/>
        <w:tblLayout w:type="fixed"/>
        <w:tblCellMar>
          <w:top w:w="28" w:type="dxa"/>
          <w:left w:w="28" w:type="dxa"/>
          <w:bottom w:w="28" w:type="dxa"/>
          <w:right w:w="28" w:type="dxa"/>
        </w:tblCellMar>
      </w:tblPr>
      <w:tblGrid>
        <w:gridCol w:w="364"/>
        <w:gridCol w:w="320"/>
        <w:gridCol w:w="322"/>
        <w:gridCol w:w="240"/>
        <w:gridCol w:w="821"/>
        <w:gridCol w:w="124"/>
        <w:gridCol w:w="109"/>
        <w:gridCol w:w="109"/>
        <w:gridCol w:w="109"/>
        <w:gridCol w:w="233"/>
        <w:gridCol w:w="233"/>
        <w:gridCol w:w="161"/>
        <w:gridCol w:w="109"/>
        <w:gridCol w:w="109"/>
        <w:gridCol w:w="109"/>
        <w:gridCol w:w="307"/>
        <w:gridCol w:w="309"/>
        <w:gridCol w:w="508"/>
        <w:gridCol w:w="109"/>
        <w:gridCol w:w="109"/>
        <w:gridCol w:w="109"/>
        <w:gridCol w:w="240"/>
        <w:gridCol w:w="821"/>
        <w:gridCol w:w="124"/>
        <w:gridCol w:w="109"/>
        <w:gridCol w:w="109"/>
        <w:gridCol w:w="109"/>
        <w:gridCol w:w="233"/>
        <w:gridCol w:w="233"/>
        <w:gridCol w:w="161"/>
        <w:gridCol w:w="109"/>
        <w:gridCol w:w="109"/>
        <w:gridCol w:w="109"/>
        <w:gridCol w:w="307"/>
        <w:gridCol w:w="309"/>
        <w:gridCol w:w="569"/>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Residual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Residual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Crossovers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Trucks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SUVs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24,981 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76"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residual values of leased EVs represented 22.9% and 21.1% of total residual values.</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Consolidated Results </w:t>
      </w:r>
      <w:r>
        <w:rPr>
          <w:rFonts w:ascii="Times New Roman;serif" w:hAnsi="Times New Roman;serif"/>
          <w:b w:val="false"/>
          <w:color w:val="000000"/>
          <w:sz w:val="20"/>
        </w:rPr>
        <w:t>We review changes in our results of operations under five categories: Volume, Mix, Price, Cost, and Other. Volume measures the 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expenses; and (3) non-vehicle related activity. Other primarily includes foreign exchange and non-vehicle related automotive revenues as well as equity income or loss from our nonconsolidated affiliates. Refer to the regional sections of this MD&amp;A for additional information.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Total Net Sales and Revenue</w:t>
      </w:r>
    </w:p>
    <w:tbl>
      <w:tblPr>
        <w:tblW w:w="10370" w:type="dxa"/>
        <w:jc w:val="left"/>
        <w:tblInd w:w="0" w:type="dxa"/>
        <w:tblLayout w:type="fixed"/>
        <w:tblCellMar>
          <w:top w:w="28" w:type="dxa"/>
          <w:left w:w="28" w:type="dxa"/>
          <w:bottom w:w="28" w:type="dxa"/>
          <w:right w:w="28" w:type="dxa"/>
        </w:tblCellMar>
      </w:tblPr>
      <w:tblGrid>
        <w:gridCol w:w="448"/>
        <w:gridCol w:w="394"/>
        <w:gridCol w:w="404"/>
        <w:gridCol w:w="196"/>
        <w:gridCol w:w="646"/>
        <w:gridCol w:w="109"/>
        <w:gridCol w:w="109"/>
        <w:gridCol w:w="109"/>
        <w:gridCol w:w="109"/>
        <w:gridCol w:w="196"/>
        <w:gridCol w:w="646"/>
        <w:gridCol w:w="109"/>
        <w:gridCol w:w="109"/>
        <w:gridCol w:w="109"/>
        <w:gridCol w:w="109"/>
        <w:gridCol w:w="243"/>
        <w:gridCol w:w="522"/>
        <w:gridCol w:w="136"/>
        <w:gridCol w:w="109"/>
        <w:gridCol w:w="109"/>
        <w:gridCol w:w="109"/>
        <w:gridCol w:w="240"/>
        <w:gridCol w:w="241"/>
        <w:gridCol w:w="256"/>
        <w:gridCol w:w="109"/>
        <w:gridCol w:w="109"/>
        <w:gridCol w:w="109"/>
        <w:gridCol w:w="109"/>
        <w:gridCol w:w="109"/>
        <w:gridCol w:w="109"/>
        <w:gridCol w:w="196"/>
        <w:gridCol w:w="406"/>
        <w:gridCol w:w="109"/>
        <w:gridCol w:w="109"/>
        <w:gridCol w:w="109"/>
        <w:gridCol w:w="109"/>
        <w:gridCol w:w="196"/>
        <w:gridCol w:w="406"/>
        <w:gridCol w:w="109"/>
        <w:gridCol w:w="109"/>
        <w:gridCol w:w="109"/>
        <w:gridCol w:w="109"/>
        <w:gridCol w:w="196"/>
        <w:gridCol w:w="376"/>
        <w:gridCol w:w="109"/>
        <w:gridCol w:w="109"/>
        <w:gridCol w:w="109"/>
        <w:gridCol w:w="109"/>
        <w:gridCol w:w="196"/>
        <w:gridCol w:w="406"/>
        <w:gridCol w:w="109"/>
        <w:gridCol w:w="154"/>
      </w:tblGrid>
      <w:tr>
        <w:trPr/>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billions)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GMNA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GMI</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Eliminations/reclassifications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 and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tbl>
      <w:tblPr>
        <w:tblW w:w="10340" w:type="dxa"/>
        <w:jc w:val="left"/>
        <w:tblInd w:w="0" w:type="dxa"/>
        <w:tblLayout w:type="fixed"/>
        <w:tblCellMar>
          <w:top w:w="28" w:type="dxa"/>
          <w:left w:w="28" w:type="dxa"/>
          <w:bottom w:w="28" w:type="dxa"/>
          <w:right w:w="28" w:type="dxa"/>
        </w:tblCellMar>
      </w:tblPr>
      <w:tblGrid>
        <w:gridCol w:w="448"/>
        <w:gridCol w:w="394"/>
        <w:gridCol w:w="404"/>
        <w:gridCol w:w="196"/>
        <w:gridCol w:w="646"/>
        <w:gridCol w:w="109"/>
        <w:gridCol w:w="109"/>
        <w:gridCol w:w="109"/>
        <w:gridCol w:w="109"/>
        <w:gridCol w:w="196"/>
        <w:gridCol w:w="646"/>
        <w:gridCol w:w="109"/>
        <w:gridCol w:w="109"/>
        <w:gridCol w:w="109"/>
        <w:gridCol w:w="109"/>
        <w:gridCol w:w="238"/>
        <w:gridCol w:w="530"/>
        <w:gridCol w:w="133"/>
        <w:gridCol w:w="109"/>
        <w:gridCol w:w="109"/>
        <w:gridCol w:w="109"/>
        <w:gridCol w:w="232"/>
        <w:gridCol w:w="234"/>
        <w:gridCol w:w="256"/>
        <w:gridCol w:w="109"/>
        <w:gridCol w:w="109"/>
        <w:gridCol w:w="109"/>
        <w:gridCol w:w="109"/>
        <w:gridCol w:w="109"/>
        <w:gridCol w:w="109"/>
        <w:gridCol w:w="196"/>
        <w:gridCol w:w="391"/>
        <w:gridCol w:w="109"/>
        <w:gridCol w:w="109"/>
        <w:gridCol w:w="109"/>
        <w:gridCol w:w="109"/>
        <w:gridCol w:w="196"/>
        <w:gridCol w:w="406"/>
        <w:gridCol w:w="109"/>
        <w:gridCol w:w="109"/>
        <w:gridCol w:w="109"/>
        <w:gridCol w:w="109"/>
        <w:gridCol w:w="196"/>
        <w:gridCol w:w="376"/>
        <w:gridCol w:w="109"/>
        <w:gridCol w:w="109"/>
        <w:gridCol w:w="109"/>
        <w:gridCol w:w="109"/>
        <w:gridCol w:w="196"/>
        <w:gridCol w:w="406"/>
        <w:gridCol w:w="109"/>
        <w:gridCol w:w="154"/>
      </w:tblGrid>
      <w:tr>
        <w:trPr/>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54" w:type="dxa"/>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billions)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GMNA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GMI</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Automotive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Cruise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 Financial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Eliminations/reclassifications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 and revenue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Refer to the regional sections of this MD&amp;A for additional information on Volume, Mix, Price, and Other.</w:t>
      </w:r>
    </w:p>
    <w:p>
      <w:pPr>
        <w:pStyle w:val="TextBody"/>
        <w:bidi w:val="0"/>
        <w:spacing w:before="0" w:after="0"/>
        <w:ind w:left="0" w:right="0" w:firstLine="180"/>
        <w:jc w:val="both"/>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Automotive and Other Cost of Sales</w:t>
      </w:r>
    </w:p>
    <w:tbl>
      <w:tblPr>
        <w:tblW w:w="10205" w:type="dxa"/>
        <w:jc w:val="left"/>
        <w:tblInd w:w="0" w:type="dxa"/>
        <w:tblLayout w:type="fixed"/>
        <w:tblCellMar>
          <w:top w:w="28" w:type="dxa"/>
          <w:left w:w="28" w:type="dxa"/>
          <w:bottom w:w="28" w:type="dxa"/>
          <w:right w:w="28" w:type="dxa"/>
        </w:tblCellMar>
      </w:tblPr>
      <w:tblGrid>
        <w:gridCol w:w="392"/>
        <w:gridCol w:w="345"/>
        <w:gridCol w:w="351"/>
        <w:gridCol w:w="197"/>
        <w:gridCol w:w="651"/>
        <w:gridCol w:w="109"/>
        <w:gridCol w:w="109"/>
        <w:gridCol w:w="109"/>
        <w:gridCol w:w="109"/>
        <w:gridCol w:w="197"/>
        <w:gridCol w:w="651"/>
        <w:gridCol w:w="109"/>
        <w:gridCol w:w="109"/>
        <w:gridCol w:w="109"/>
        <w:gridCol w:w="109"/>
        <w:gridCol w:w="205"/>
        <w:gridCol w:w="628"/>
        <w:gridCol w:w="114"/>
        <w:gridCol w:w="109"/>
        <w:gridCol w:w="109"/>
        <w:gridCol w:w="109"/>
        <w:gridCol w:w="240"/>
        <w:gridCol w:w="243"/>
        <w:gridCol w:w="256"/>
        <w:gridCol w:w="109"/>
        <w:gridCol w:w="109"/>
        <w:gridCol w:w="109"/>
        <w:gridCol w:w="109"/>
        <w:gridCol w:w="109"/>
        <w:gridCol w:w="109"/>
        <w:gridCol w:w="196"/>
        <w:gridCol w:w="407"/>
        <w:gridCol w:w="109"/>
        <w:gridCol w:w="109"/>
        <w:gridCol w:w="109"/>
        <w:gridCol w:w="109"/>
        <w:gridCol w:w="196"/>
        <w:gridCol w:w="406"/>
        <w:gridCol w:w="109"/>
        <w:gridCol w:w="109"/>
        <w:gridCol w:w="109"/>
        <w:gridCol w:w="109"/>
        <w:gridCol w:w="196"/>
        <w:gridCol w:w="407"/>
        <w:gridCol w:w="109"/>
        <w:gridCol w:w="109"/>
        <w:gridCol w:w="109"/>
        <w:gridCol w:w="109"/>
        <w:gridCol w:w="196"/>
        <w:gridCol w:w="407"/>
        <w:gridCol w:w="163"/>
      </w:tblGrid>
      <w:tr>
        <w:trPr/>
        <w:tc>
          <w:tcPr>
            <w:tcW w:w="3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r>
      <w:tr>
        <w:trPr/>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088" w:type="dxa"/>
            <w:gridSpan w:val="3"/>
            <w:tcBorders/>
            <w:tcMar>
              <w:top w:w="0" w:type="dxa"/>
              <w:left w:w="0" w:type="dxa"/>
              <w:bottom w:w="0" w:type="dxa"/>
              <w:right w:w="0" w:type="dxa"/>
            </w:tcMar>
            <w:vAlign w:val="center"/>
          </w:tcPr>
          <w:p>
            <w:pPr>
              <w:pStyle w:val="TableContents"/>
              <w:bidi w:val="0"/>
              <w:spacing w:before="0" w:after="0"/>
              <w:ind w:left="0" w:right="0" w:hanging="180"/>
              <w:jc w:val="left"/>
              <w:rPr/>
            </w:pPr>
            <w:r>
              <w:rPr/>
            </w:r>
          </w:p>
        </w:tc>
        <w:tc>
          <w:tcPr>
            <w:tcW w:w="351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billions)</w:t>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GMNA</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GMI</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automotive and other cost of sales</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1088"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tbl>
      <w:tblPr>
        <w:tblW w:w="10205" w:type="dxa"/>
        <w:jc w:val="left"/>
        <w:tblInd w:w="0" w:type="dxa"/>
        <w:tblLayout w:type="fixed"/>
        <w:tblCellMar>
          <w:top w:w="28" w:type="dxa"/>
          <w:left w:w="28" w:type="dxa"/>
          <w:bottom w:w="28" w:type="dxa"/>
          <w:right w:w="28" w:type="dxa"/>
        </w:tblCellMar>
      </w:tblPr>
      <w:tblGrid>
        <w:gridCol w:w="394"/>
        <w:gridCol w:w="347"/>
        <w:gridCol w:w="354"/>
        <w:gridCol w:w="197"/>
        <w:gridCol w:w="651"/>
        <w:gridCol w:w="109"/>
        <w:gridCol w:w="109"/>
        <w:gridCol w:w="109"/>
        <w:gridCol w:w="109"/>
        <w:gridCol w:w="197"/>
        <w:gridCol w:w="651"/>
        <w:gridCol w:w="109"/>
        <w:gridCol w:w="109"/>
        <w:gridCol w:w="109"/>
        <w:gridCol w:w="109"/>
        <w:gridCol w:w="206"/>
        <w:gridCol w:w="631"/>
        <w:gridCol w:w="114"/>
        <w:gridCol w:w="109"/>
        <w:gridCol w:w="109"/>
        <w:gridCol w:w="109"/>
        <w:gridCol w:w="240"/>
        <w:gridCol w:w="243"/>
        <w:gridCol w:w="256"/>
        <w:gridCol w:w="109"/>
        <w:gridCol w:w="109"/>
        <w:gridCol w:w="109"/>
        <w:gridCol w:w="109"/>
        <w:gridCol w:w="109"/>
        <w:gridCol w:w="109"/>
        <w:gridCol w:w="196"/>
        <w:gridCol w:w="393"/>
        <w:gridCol w:w="109"/>
        <w:gridCol w:w="109"/>
        <w:gridCol w:w="109"/>
        <w:gridCol w:w="109"/>
        <w:gridCol w:w="196"/>
        <w:gridCol w:w="406"/>
        <w:gridCol w:w="109"/>
        <w:gridCol w:w="109"/>
        <w:gridCol w:w="109"/>
        <w:gridCol w:w="109"/>
        <w:gridCol w:w="196"/>
        <w:gridCol w:w="408"/>
        <w:gridCol w:w="109"/>
        <w:gridCol w:w="109"/>
        <w:gridCol w:w="109"/>
        <w:gridCol w:w="109"/>
        <w:gridCol w:w="196"/>
        <w:gridCol w:w="408"/>
        <w:gridCol w:w="164"/>
      </w:tblGrid>
      <w:tr>
        <w:trP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billions)</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GMNA</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GMI</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Cruise</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automotive and other cost of sales</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June 30, 2026, increased Cost was primarily due to: (1) charges of $1.9 billion due to the EV strategic realignment; (2) decreased Ultium Cells Holdings LLC equity earnings of $0.4 billion; (3) increased engineering costs of $0.2 billion; and (4) increased manufacturing costs of $0.2 billion; partially offset by (5) decreased net realizable value inventory adjustments, primarily EV-related, of $0.6 billion; (6) decreased warranty-related costs of $0.5 billion; and (7) decreased emissions costs of $0.2 billion. In the three months ended June 30, 2026, unfavorable Other was primarily due to net foreign currency changes in the Mexican peso.</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2026, increased Cost was primarily due to: (1) charges of $3.0 billion due to the EV strategic realignment; (2) decreased Ultium Cells Holdings LLC equity earnings of $0.8 billion; (3) increased material and freight costs of $0.3 billion; and (4) increased parts and accessories costs of $0.2 billion; partially offset by (5) decreased net realizable value inventory adjustments, primarily EV-related, of $0.9 billion; (6) decreased warranty-related costs of $0.8 billion; and (7) decreased emissions costs of $0.4 billion. In the six months ended June 30, 2026, unfavorable Other was primarily due to net foreign currency changes in the Mexican peso.</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Refer to the regional sections of this MD&amp;A for additional information on Volume and Mix.</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Automotive and Other Selling, General, and Administrative Expense</w:t>
      </w:r>
    </w:p>
    <w:tbl>
      <w:tblPr>
        <w:tblW w:w="10647" w:type="dxa"/>
        <w:jc w:val="left"/>
        <w:tblInd w:w="0" w:type="dxa"/>
        <w:tblLayout w:type="fixed"/>
        <w:tblCellMar>
          <w:top w:w="28" w:type="dxa"/>
          <w:left w:w="28" w:type="dxa"/>
          <w:bottom w:w="28" w:type="dxa"/>
          <w:right w:w="28" w:type="dxa"/>
        </w:tblCellMar>
      </w:tblPr>
      <w:tblGrid>
        <w:gridCol w:w="468"/>
        <w:gridCol w:w="411"/>
        <w:gridCol w:w="412"/>
        <w:gridCol w:w="211"/>
        <w:gridCol w:w="616"/>
        <w:gridCol w:w="109"/>
        <w:gridCol w:w="109"/>
        <w:gridCol w:w="109"/>
        <w:gridCol w:w="109"/>
        <w:gridCol w:w="211"/>
        <w:gridCol w:w="616"/>
        <w:gridCol w:w="109"/>
        <w:gridCol w:w="109"/>
        <w:gridCol w:w="109"/>
        <w:gridCol w:w="109"/>
        <w:gridCol w:w="232"/>
        <w:gridCol w:w="413"/>
        <w:gridCol w:w="121"/>
        <w:gridCol w:w="109"/>
        <w:gridCol w:w="109"/>
        <w:gridCol w:w="109"/>
        <w:gridCol w:w="210"/>
        <w:gridCol w:w="211"/>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481"/>
        <w:gridCol w:w="109"/>
        <w:gridCol w:w="109"/>
        <w:gridCol w:w="109"/>
        <w:gridCol w:w="109"/>
        <w:gridCol w:w="210"/>
        <w:gridCol w:w="211"/>
        <w:gridCol w:w="316"/>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and other selling, general, and administrative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Interest Income and Other Non-operating Income, net</w:t>
      </w:r>
    </w:p>
    <w:tbl>
      <w:tblPr>
        <w:tblW w:w="10277" w:type="dxa"/>
        <w:jc w:val="left"/>
        <w:tblInd w:w="0" w:type="dxa"/>
        <w:tblLayout w:type="fixed"/>
        <w:tblCellMar>
          <w:top w:w="28" w:type="dxa"/>
          <w:left w:w="28" w:type="dxa"/>
          <w:bottom w:w="28" w:type="dxa"/>
          <w:right w:w="28" w:type="dxa"/>
        </w:tblCellMar>
      </w:tblPr>
      <w:tblGrid>
        <w:gridCol w:w="462"/>
        <w:gridCol w:w="406"/>
        <w:gridCol w:w="408"/>
        <w:gridCol w:w="211"/>
        <w:gridCol w:w="466"/>
        <w:gridCol w:w="109"/>
        <w:gridCol w:w="109"/>
        <w:gridCol w:w="109"/>
        <w:gridCol w:w="109"/>
        <w:gridCol w:w="211"/>
        <w:gridCol w:w="466"/>
        <w:gridCol w:w="109"/>
        <w:gridCol w:w="109"/>
        <w:gridCol w:w="109"/>
        <w:gridCol w:w="109"/>
        <w:gridCol w:w="211"/>
        <w:gridCol w:w="481"/>
        <w:gridCol w:w="109"/>
        <w:gridCol w:w="109"/>
        <w:gridCol w:w="109"/>
        <w:gridCol w:w="109"/>
        <w:gridCol w:w="263"/>
        <w:gridCol w:w="263"/>
        <w:gridCol w:w="271"/>
        <w:gridCol w:w="109"/>
        <w:gridCol w:w="109"/>
        <w:gridCol w:w="109"/>
        <w:gridCol w:w="109"/>
        <w:gridCol w:w="109"/>
        <w:gridCol w:w="109"/>
        <w:gridCol w:w="211"/>
        <w:gridCol w:w="466"/>
        <w:gridCol w:w="109"/>
        <w:gridCol w:w="109"/>
        <w:gridCol w:w="109"/>
        <w:gridCol w:w="109"/>
        <w:gridCol w:w="211"/>
        <w:gridCol w:w="466"/>
        <w:gridCol w:w="109"/>
        <w:gridCol w:w="109"/>
        <w:gridCol w:w="109"/>
        <w:gridCol w:w="109"/>
        <w:gridCol w:w="211"/>
        <w:gridCol w:w="481"/>
        <w:gridCol w:w="109"/>
        <w:gridCol w:w="109"/>
        <w:gridCol w:w="109"/>
        <w:gridCol w:w="109"/>
        <w:gridCol w:w="263"/>
        <w:gridCol w:w="263"/>
        <w:gridCol w:w="316"/>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Favorable/ (Unfavorable)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Favorable/ (Unfavorable)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non-operating income,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Income Tax Expense</w:t>
      </w:r>
    </w:p>
    <w:tbl>
      <w:tblPr>
        <w:tblW w:w="10205" w:type="dxa"/>
        <w:jc w:val="left"/>
        <w:tblInd w:w="0" w:type="dxa"/>
        <w:tblLayout w:type="fixed"/>
        <w:tblCellMar>
          <w:top w:w="28" w:type="dxa"/>
          <w:left w:w="28" w:type="dxa"/>
          <w:bottom w:w="28" w:type="dxa"/>
          <w:right w:w="28" w:type="dxa"/>
        </w:tblCellMar>
      </w:tblPr>
      <w:tblGrid>
        <w:gridCol w:w="320"/>
        <w:gridCol w:w="280"/>
        <w:gridCol w:w="282"/>
        <w:gridCol w:w="215"/>
        <w:gridCol w:w="475"/>
        <w:gridCol w:w="111"/>
        <w:gridCol w:w="109"/>
        <w:gridCol w:w="109"/>
        <w:gridCol w:w="109"/>
        <w:gridCol w:w="215"/>
        <w:gridCol w:w="475"/>
        <w:gridCol w:w="111"/>
        <w:gridCol w:w="109"/>
        <w:gridCol w:w="109"/>
        <w:gridCol w:w="109"/>
        <w:gridCol w:w="235"/>
        <w:gridCol w:w="520"/>
        <w:gridCol w:w="121"/>
        <w:gridCol w:w="109"/>
        <w:gridCol w:w="109"/>
        <w:gridCol w:w="109"/>
        <w:gridCol w:w="255"/>
        <w:gridCol w:w="256"/>
        <w:gridCol w:w="271"/>
        <w:gridCol w:w="109"/>
        <w:gridCol w:w="109"/>
        <w:gridCol w:w="109"/>
        <w:gridCol w:w="109"/>
        <w:gridCol w:w="109"/>
        <w:gridCol w:w="109"/>
        <w:gridCol w:w="215"/>
        <w:gridCol w:w="475"/>
        <w:gridCol w:w="111"/>
        <w:gridCol w:w="109"/>
        <w:gridCol w:w="109"/>
        <w:gridCol w:w="109"/>
        <w:gridCol w:w="211"/>
        <w:gridCol w:w="616"/>
        <w:gridCol w:w="109"/>
        <w:gridCol w:w="109"/>
        <w:gridCol w:w="109"/>
        <w:gridCol w:w="109"/>
        <w:gridCol w:w="235"/>
        <w:gridCol w:w="520"/>
        <w:gridCol w:w="121"/>
        <w:gridCol w:w="109"/>
        <w:gridCol w:w="109"/>
        <w:gridCol w:w="109"/>
        <w:gridCol w:w="255"/>
        <w:gridCol w:w="256"/>
        <w:gridCol w:w="323"/>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w:t>
            </w:r>
          </w:p>
        </w:tc>
      </w:tr>
      <w:tr>
        <w:trPr/>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 the three and six months ended June 30, 2026, Income tax expense decreased primarily due to lower pre-tax income.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our effective tax rate was 13.7% and 17.4% and our effective tax rate-adjusted (ETR-adjusted) was 17.6% and 18.3%. We expect our ETR-adjusted to be between 20% and 21% for the year ending December 31, 2026. Refer to the "Non-GAAP Measures" section of this MD&amp;A for additional information.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Refer to Note 14 to our condensed consolidated financial statements for additional information related to Income tax expense.</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GM North America </w:t>
      </w:r>
    </w:p>
    <w:tbl>
      <w:tblPr>
        <w:tblW w:w="12240" w:type="dxa"/>
        <w:jc w:val="left"/>
        <w:tblInd w:w="0" w:type="dxa"/>
        <w:tblLayout w:type="fixed"/>
        <w:tblCellMar>
          <w:top w:w="28" w:type="dxa"/>
          <w:left w:w="28" w:type="dxa"/>
          <w:bottom w:w="28" w:type="dxa"/>
          <w:right w:w="28" w:type="dxa"/>
        </w:tblCellMar>
      </w:tblPr>
      <w:tblGrid>
        <w:gridCol w:w="817"/>
        <w:gridCol w:w="244"/>
        <w:gridCol w:w="245"/>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55"/>
        <w:gridCol w:w="256"/>
        <w:gridCol w:w="271"/>
        <w:gridCol w:w="109"/>
        <w:gridCol w:w="109"/>
        <w:gridCol w:w="109"/>
        <w:gridCol w:w="109"/>
        <w:gridCol w:w="109"/>
        <w:gridCol w:w="109"/>
        <w:gridCol w:w="211"/>
        <w:gridCol w:w="406"/>
        <w:gridCol w:w="109"/>
        <w:gridCol w:w="109"/>
        <w:gridCol w:w="109"/>
        <w:gridCol w:w="109"/>
        <w:gridCol w:w="211"/>
        <w:gridCol w:w="421"/>
        <w:gridCol w:w="109"/>
        <w:gridCol w:w="109"/>
        <w:gridCol w:w="109"/>
        <w:gridCol w:w="109"/>
        <w:gridCol w:w="211"/>
        <w:gridCol w:w="406"/>
        <w:gridCol w:w="109"/>
        <w:gridCol w:w="109"/>
        <w:gridCol w:w="109"/>
        <w:gridCol w:w="109"/>
        <w:gridCol w:w="211"/>
        <w:gridCol w:w="406"/>
        <w:gridCol w:w="109"/>
        <w:gridCol w:w="109"/>
        <w:gridCol w:w="109"/>
        <w:gridCol w:w="109"/>
        <w:gridCol w:w="211"/>
        <w:gridCol w:w="421"/>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billions)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 and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(Vehicles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vehicle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bl>
    <w:tbl>
      <w:tblPr>
        <w:tblW w:w="12240" w:type="dxa"/>
        <w:jc w:val="left"/>
        <w:tblInd w:w="0" w:type="dxa"/>
        <w:tblLayout w:type="fixed"/>
        <w:tblCellMar>
          <w:top w:w="28" w:type="dxa"/>
          <w:left w:w="28" w:type="dxa"/>
          <w:bottom w:w="28" w:type="dxa"/>
          <w:right w:w="28" w:type="dxa"/>
        </w:tblCellMar>
      </w:tblPr>
      <w:tblGrid>
        <w:gridCol w:w="817"/>
        <w:gridCol w:w="244"/>
        <w:gridCol w:w="245"/>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54"/>
        <w:gridCol w:w="257"/>
        <w:gridCol w:w="271"/>
        <w:gridCol w:w="109"/>
        <w:gridCol w:w="109"/>
        <w:gridCol w:w="109"/>
        <w:gridCol w:w="109"/>
        <w:gridCol w:w="109"/>
        <w:gridCol w:w="109"/>
        <w:gridCol w:w="211"/>
        <w:gridCol w:w="421"/>
        <w:gridCol w:w="109"/>
        <w:gridCol w:w="109"/>
        <w:gridCol w:w="109"/>
        <w:gridCol w:w="109"/>
        <w:gridCol w:w="211"/>
        <w:gridCol w:w="421"/>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billions)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 and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(Vehicles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vehicle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GMNA Total Net Sales and Revenue </w:t>
      </w:r>
      <w:r>
        <w:rPr>
          <w:rFonts w:ascii="Times New Roman;serif" w:hAnsi="Times New Roman;serif"/>
          <w:b w:val="false"/>
          <w:color w:val="000000"/>
          <w:sz w:val="20"/>
        </w:rPr>
        <w:t>In the three months ended June 30, 2026, Total net sales and revenue increased primarily due to: (1) favorable Price as a result of lean dealer inventory levels due to strong demand for our products; and (2) favorable Other due to increased revenue of software-enabled services and subscriptions and net foreign currency changes; partially offset by (3) unfavorable Mix associated with decreased sales of crossover vehicles, including EVs, and increased sales of cars and full-size SUVs, partially offset by decreased sales of mid-size pickup trucks and vans.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2026, Total net sales and revenue decreased primarily due to: (1) decreased net wholesale volumes due to decreased sales of crossover vehicles, including EVs, and mid-size pickup trucks and vans, partially offset by increased sales of full-size pickup trucks; and (2) unfavorable Mix associated with increased sales of full-size pickup trucks and decreased sales of crossover vehicles and full-size SUVs; partially offset by (3) favorable Price as a result of lean dealer inventory levels due to strong demand for our products; and (4) favorable Other due to increased revenue of software-enabled services and subscriptions and net foreign currency changes.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GMNA EBIT-Adjusted</w:t>
      </w:r>
      <w:r>
        <w:rPr>
          <w:color w:val="000000"/>
        </w:rPr>
        <w:t xml:space="preserve"> </w:t>
      </w:r>
      <w:r>
        <w:rPr>
          <w:rFonts w:ascii="Times New Roman;serif" w:hAnsi="Times New Roman;serif"/>
          <w:b w:val="false"/>
          <w:color w:val="000000"/>
          <w:sz w:val="20"/>
        </w:rPr>
        <w:t>In the three months ended June 30, 2026, EBIT-adjusted increased primarily due to: (1) favorable Price; (2) favorable Cost primarily due to decreased net realizable value inventory adjustments, primarily EV-related, of $0.5 billion and decreased warranty-related costs of $0.5 billion, partially offset by decreased Ultium Cells Holdings LLC equity earnings of $0.4 billion and increased engineering costs of $0.2 billion; and (3) favorable Mix associated with decreased sales of crossover vehicles, including EVs, and increased sales of full-size pick-up trucks; partially offset by (4) unfavorable Other due to net foreign currency changes.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2026, EBIT-adjusted increased primarily due to: (1) favorable Cost primarily due to decreased warranty-related costs of $0.9 billion, decreased net realizable value inventory adjustments, primarily EV-related, of $0.8 billion, and decreased emissions costs of $0.4 billion, partially offset by decreased Ultium Cells Holdings LLC equity earnings of $0.8 billion, increased engineering costs of $0.3 billion, and increased material and freight costs of $0.2 billion; (2) favorable Price; and (3) favorable Mix associated with decreased sales of crossover vehicles, including EVs, and increased sales of full-size pickup trucks; and (4) favorable Other due to net foreign currency changes and favorable revaluation of investments; partially offset by (5) decreased net wholesale volumes.</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GM International</w:t>
      </w:r>
    </w:p>
    <w:tbl>
      <w:tblPr>
        <w:tblW w:w="11895" w:type="dxa"/>
        <w:jc w:val="left"/>
        <w:tblInd w:w="0" w:type="dxa"/>
        <w:tblLayout w:type="fixed"/>
        <w:tblCellMar>
          <w:top w:w="28" w:type="dxa"/>
          <w:left w:w="28" w:type="dxa"/>
          <w:bottom w:w="28" w:type="dxa"/>
          <w:right w:w="28" w:type="dxa"/>
        </w:tblCellMar>
      </w:tblPr>
      <w:tblGrid>
        <w:gridCol w:w="817"/>
        <w:gridCol w:w="244"/>
        <w:gridCol w:w="245"/>
        <w:gridCol w:w="211"/>
        <w:gridCol w:w="616"/>
        <w:gridCol w:w="271"/>
        <w:gridCol w:w="109"/>
        <w:gridCol w:w="109"/>
        <w:gridCol w:w="109"/>
        <w:gridCol w:w="211"/>
        <w:gridCol w:w="616"/>
        <w:gridCol w:w="271"/>
        <w:gridCol w:w="109"/>
        <w:gridCol w:w="109"/>
        <w:gridCol w:w="109"/>
        <w:gridCol w:w="211"/>
        <w:gridCol w:w="466"/>
        <w:gridCol w:w="271"/>
        <w:gridCol w:w="109"/>
        <w:gridCol w:w="109"/>
        <w:gridCol w:w="109"/>
        <w:gridCol w:w="262"/>
        <w:gridCol w:w="264"/>
        <w:gridCol w:w="271"/>
        <w:gridCol w:w="109"/>
        <w:gridCol w:w="109"/>
        <w:gridCol w:w="109"/>
        <w:gridCol w:w="109"/>
        <w:gridCol w:w="109"/>
        <w:gridCol w:w="109"/>
        <w:gridCol w:w="211"/>
        <w:gridCol w:w="406"/>
        <w:gridCol w:w="109"/>
        <w:gridCol w:w="109"/>
        <w:gridCol w:w="109"/>
        <w:gridCol w:w="109"/>
        <w:gridCol w:w="211"/>
        <w:gridCol w:w="421"/>
        <w:gridCol w:w="109"/>
        <w:gridCol w:w="109"/>
        <w:gridCol w:w="109"/>
        <w:gridCol w:w="109"/>
        <w:gridCol w:w="211"/>
        <w:gridCol w:w="406"/>
        <w:gridCol w:w="109"/>
        <w:gridCol w:w="109"/>
        <w:gridCol w:w="109"/>
        <w:gridCol w:w="109"/>
        <w:gridCol w:w="211"/>
        <w:gridCol w:w="421"/>
        <w:gridCol w:w="109"/>
        <w:gridCol w:w="109"/>
        <w:gridCol w:w="109"/>
        <w:gridCol w:w="109"/>
        <w:gridCol w:w="211"/>
        <w:gridCol w:w="406"/>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billions)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 and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Equity income (loss) — Automotive China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EBIT-adjusted — excluding Equity income (loss)(a)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(Vehicles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vehicle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(a)Excludes adjustments related to Automotive China JVs restructuring recorded in GMI. </w:t>
      </w:r>
    </w:p>
    <w:tbl>
      <w:tblPr>
        <w:tblW w:w="11880" w:type="dxa"/>
        <w:jc w:val="left"/>
        <w:tblInd w:w="0" w:type="dxa"/>
        <w:tblLayout w:type="fixed"/>
        <w:tblCellMar>
          <w:top w:w="28" w:type="dxa"/>
          <w:left w:w="28" w:type="dxa"/>
          <w:bottom w:w="28" w:type="dxa"/>
          <w:right w:w="28" w:type="dxa"/>
        </w:tblCellMar>
      </w:tblPr>
      <w:tblGrid>
        <w:gridCol w:w="817"/>
        <w:gridCol w:w="244"/>
        <w:gridCol w:w="245"/>
        <w:gridCol w:w="211"/>
        <w:gridCol w:w="616"/>
        <w:gridCol w:w="271"/>
        <w:gridCol w:w="109"/>
        <w:gridCol w:w="109"/>
        <w:gridCol w:w="109"/>
        <w:gridCol w:w="211"/>
        <w:gridCol w:w="616"/>
        <w:gridCol w:w="271"/>
        <w:gridCol w:w="109"/>
        <w:gridCol w:w="109"/>
        <w:gridCol w:w="109"/>
        <w:gridCol w:w="211"/>
        <w:gridCol w:w="466"/>
        <w:gridCol w:w="271"/>
        <w:gridCol w:w="109"/>
        <w:gridCol w:w="109"/>
        <w:gridCol w:w="109"/>
        <w:gridCol w:w="255"/>
        <w:gridCol w:w="256"/>
        <w:gridCol w:w="271"/>
        <w:gridCol w:w="109"/>
        <w:gridCol w:w="109"/>
        <w:gridCol w:w="109"/>
        <w:gridCol w:w="109"/>
        <w:gridCol w:w="109"/>
        <w:gridCol w:w="109"/>
        <w:gridCol w:w="211"/>
        <w:gridCol w:w="406"/>
        <w:gridCol w:w="109"/>
        <w:gridCol w:w="109"/>
        <w:gridCol w:w="109"/>
        <w:gridCol w:w="109"/>
        <w:gridCol w:w="211"/>
        <w:gridCol w:w="421"/>
        <w:gridCol w:w="109"/>
        <w:gridCol w:w="109"/>
        <w:gridCol w:w="109"/>
        <w:gridCol w:w="109"/>
        <w:gridCol w:w="211"/>
        <w:gridCol w:w="406"/>
        <w:gridCol w:w="109"/>
        <w:gridCol w:w="109"/>
        <w:gridCol w:w="109"/>
        <w:gridCol w:w="109"/>
        <w:gridCol w:w="211"/>
        <w:gridCol w:w="421"/>
        <w:gridCol w:w="109"/>
        <w:gridCol w:w="109"/>
        <w:gridCol w:w="109"/>
        <w:gridCol w:w="109"/>
        <w:gridCol w:w="211"/>
        <w:gridCol w:w="406"/>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Favorable/ (Unfavorable)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 Due To</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(Dollars in billions)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 and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Equity income (loss) — Automotive China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EBIT-adjusted — excluding Equity income (loss)(a)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(Vehicles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vehicle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(a)Excludes adjustments related to Automotive China JVs restructuring recorded in GMI.</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vehicle sales of our Automotive China JVs are not recorded in Total net sales and revenue. The results of our joint ventures are recorded in Equity income (loss), which is included in EBIT-adjusted above.</w:t>
      </w:r>
    </w:p>
    <w:p>
      <w:pPr>
        <w:pStyle w:val="TextBody"/>
        <w:bidi w:val="0"/>
        <w:spacing w:before="0" w:after="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GMI Total Net Sales and Revenue </w:t>
      </w:r>
      <w:r>
        <w:rPr>
          <w:rFonts w:ascii="Times New Roman;serif" w:hAnsi="Times New Roman;serif"/>
          <w:b w:val="false"/>
          <w:color w:val="000000"/>
          <w:sz w:val="20"/>
        </w:rPr>
        <w:t>In the three months ended June 30, 2026, Total net sales a</w:t>
      </w:r>
      <w:r>
        <w:rPr>
          <w:rFonts w:ascii="Times New Roman;serif" w:hAnsi="Times New Roman;serif"/>
          <w:b w:val="false"/>
          <w:color w:val="000000"/>
          <w:sz w:val="20"/>
          <w:shd w:fill="FFFFFF" w:val="clear"/>
        </w:rPr>
        <w:t>nd reven</w:t>
      </w:r>
      <w:r>
        <w:rPr>
          <w:rFonts w:ascii="Times New Roman;serif" w:hAnsi="Times New Roman;serif"/>
          <w:b w:val="false"/>
          <w:color w:val="000000"/>
          <w:sz w:val="20"/>
        </w:rPr>
        <w:t>ue increased primarily due to: (1) increased net wholesale volumes in Brazil primarily due to increased sales of passenger cars and crossovers, partially offset by decreased volumes in the Middle East; (2) favorable Price across multiple vehicle lines in Argentina and the Middle East; and (3) favorable Other primarily due to net foreign currency changes in the Brazilian real, partially offset by changes in the Argentine peso; partially offset by (4) unfavorable Mix in Brazil and the Middle East.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2026, Total net sales and revenue increased primarily due to: (1) increased net wholesale volumes in Brazil primarily due to increased sales of passenger cars and crossovers, partially offset by decreased volumes in the Middle East; (2) favorable Price across multiple vehicle lines in Argentina and the Middle East; and (3) favorable Other primarily due to net foreign currency changes in the Brazilian real and Colombian peso, partially offset by changes in the Argentine peso; partially offset by (4) unfavorable Mix in Brazil and the Middle East.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GMI EBIT-Adjusted </w:t>
      </w:r>
      <w:r>
        <w:rPr>
          <w:rFonts w:ascii="Times New Roman;serif" w:hAnsi="Times New Roman;serif"/>
          <w:b w:val="false"/>
          <w:color w:val="000000"/>
          <w:sz w:val="20"/>
        </w:rPr>
        <w:t>In the three months ended June 30, 2026, EBIT-adjusted decreased primarily due to: (1) unfavorable Mix; and (2) unfavorable Cost primarily due to increased material and logistics costs in Brazil and Argentina; partially offset by (3) increased net wholesale volumes in Brazil, partially offset by decreased volumes in the Middle East; (4) favorable Price; and (5) favorable Other primarily due to net foreign currency changes in the Brazilian real.</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In the six months ended June 30, 2026, EBIT-adjusted increased primarily due to: (1) increased net wholesale volumes in Brazil, partially offset by decreased volumes in the Middle East; (2) favorable Price; and (3) favorable Other primarily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foreign currency changes in the Brazilian real, partially offset by the Argentine peso; partially offset by (4) unfavorable Mix; and (5) unfavorable Cost primarily due to increased material and logistics costs in Brazil and Argentina.</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certain key operational and financial data for the Automotive China JVs (vehicles in thousands):</w:t>
      </w:r>
    </w:p>
    <w:tbl>
      <w:tblPr>
        <w:tblW w:w="10205" w:type="dxa"/>
        <w:jc w:val="left"/>
        <w:tblInd w:w="0" w:type="dxa"/>
        <w:tblLayout w:type="fixed"/>
        <w:tblCellMar>
          <w:top w:w="28" w:type="dxa"/>
          <w:left w:w="28" w:type="dxa"/>
          <w:bottom w:w="28" w:type="dxa"/>
          <w:right w:w="28" w:type="dxa"/>
        </w:tblCellMar>
      </w:tblPr>
      <w:tblGrid>
        <w:gridCol w:w="1756"/>
        <w:gridCol w:w="1547"/>
        <w:gridCol w:w="1552"/>
        <w:gridCol w:w="239"/>
        <w:gridCol w:w="700"/>
        <w:gridCol w:w="123"/>
        <w:gridCol w:w="109"/>
        <w:gridCol w:w="109"/>
        <w:gridCol w:w="109"/>
        <w:gridCol w:w="239"/>
        <w:gridCol w:w="700"/>
        <w:gridCol w:w="123"/>
        <w:gridCol w:w="109"/>
        <w:gridCol w:w="109"/>
        <w:gridCol w:w="109"/>
        <w:gridCol w:w="222"/>
        <w:gridCol w:w="760"/>
        <w:gridCol w:w="114"/>
        <w:gridCol w:w="109"/>
        <w:gridCol w:w="109"/>
        <w:gridCol w:w="109"/>
        <w:gridCol w:w="221"/>
        <w:gridCol w:w="758"/>
        <w:gridCol w:w="170"/>
      </w:tblGrid>
      <w:tr>
        <w:trPr/>
        <w:tc>
          <w:tcPr>
            <w:tcW w:w="1756"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vehicle sales, including vehicles exported to markets outside of China</w:t>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 and revenue</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GM Financial</w:t>
      </w:r>
    </w:p>
    <w:tbl>
      <w:tblPr>
        <w:tblW w:w="11639" w:type="dxa"/>
        <w:jc w:val="left"/>
        <w:tblInd w:w="0" w:type="dxa"/>
        <w:tblLayout w:type="fixed"/>
        <w:tblCellMar>
          <w:top w:w="28" w:type="dxa"/>
          <w:left w:w="28" w:type="dxa"/>
          <w:bottom w:w="28" w:type="dxa"/>
          <w:right w:w="28" w:type="dxa"/>
        </w:tblCellMar>
      </w:tblPr>
      <w:tblGrid>
        <w:gridCol w:w="757"/>
        <w:gridCol w:w="244"/>
        <w:gridCol w:w="245"/>
        <w:gridCol w:w="211"/>
        <w:gridCol w:w="616"/>
        <w:gridCol w:w="271"/>
        <w:gridCol w:w="109"/>
        <w:gridCol w:w="109"/>
        <w:gridCol w:w="109"/>
        <w:gridCol w:w="211"/>
        <w:gridCol w:w="616"/>
        <w:gridCol w:w="271"/>
        <w:gridCol w:w="109"/>
        <w:gridCol w:w="109"/>
        <w:gridCol w:w="109"/>
        <w:gridCol w:w="211"/>
        <w:gridCol w:w="421"/>
        <w:gridCol w:w="271"/>
        <w:gridCol w:w="109"/>
        <w:gridCol w:w="109"/>
        <w:gridCol w:w="109"/>
        <w:gridCol w:w="262"/>
        <w:gridCol w:w="264"/>
        <w:gridCol w:w="271"/>
        <w:gridCol w:w="109"/>
        <w:gridCol w:w="109"/>
        <w:gridCol w:w="109"/>
        <w:gridCol w:w="109"/>
        <w:gridCol w:w="109"/>
        <w:gridCol w:w="109"/>
        <w:gridCol w:w="211"/>
        <w:gridCol w:w="616"/>
        <w:gridCol w:w="271"/>
        <w:gridCol w:w="109"/>
        <w:gridCol w:w="109"/>
        <w:gridCol w:w="109"/>
        <w:gridCol w:w="211"/>
        <w:gridCol w:w="616"/>
        <w:gridCol w:w="271"/>
        <w:gridCol w:w="109"/>
        <w:gridCol w:w="109"/>
        <w:gridCol w:w="109"/>
        <w:gridCol w:w="211"/>
        <w:gridCol w:w="466"/>
        <w:gridCol w:w="271"/>
        <w:gridCol w:w="109"/>
        <w:gridCol w:w="109"/>
        <w:gridCol w:w="109"/>
        <w:gridCol w:w="210"/>
        <w:gridCol w:w="211"/>
        <w:gridCol w:w="316"/>
      </w:tblGrid>
      <w:tr>
        <w:trPr/>
        <w:tc>
          <w:tcPr>
            <w:tcW w:w="7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7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loan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EBT-adjusted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debt outstanding (dollars in billions)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rate of interest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 Financial Revenue </w:t>
      </w:r>
      <w:r>
        <w:rPr>
          <w:rFonts w:ascii="Times New Roman;serif" w:hAnsi="Times New Roman;serif"/>
          <w:b w:val="false"/>
          <w:color w:val="000000"/>
          <w:sz w:val="20"/>
        </w:rPr>
        <w:t>In the three months ended June 30, 2026, total revenue increased by an insignificant amount.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2026, total revenue increased primarily due to: (1) increased other income of $0.1 billion primarily due to growth in the insurance and vehicle protection businesses; and (2) increased leased vehicle income of $0.1 billion primarily due to an increase in the average balance of the leased vehicles portfolio; partially offset by (3) decreased finance charge income of $0.1 billion primarily due to a decrease in the average balance of the finance receivables portfolio.</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GM Financial EBT-Adjusted </w:t>
      </w:r>
      <w:r>
        <w:rPr>
          <w:rFonts w:ascii="Times New Roman;serif" w:hAnsi="Times New Roman;serif"/>
          <w:b w:val="false"/>
          <w:color w:val="000000"/>
          <w:sz w:val="20"/>
        </w:rPr>
        <w:t xml:space="preserve">In the three months ended June 30, 2026, EBT-adjusted decreased primarily due to: (1) increased operating expenses of $0.1 billion primarily due to growth in the insurance and vehicle protection businesses and related claims losses; and (2) increased leased vehicle expenses of $0.1 billion primarily due to increased depreciation expense; partially offset by (3) decreased interest expense of $0.1 billion primarily due to a decrease in the average debt outstanding and a lower effective rate of interest on GM Financial debt.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2026, EBT-adjusted decreased primarily due to: (1) increased leased vehicle expenses of $0.2 billion primarily due to increased depreciation expense on EVs; (2) increased operating expenses of $0.2 billion primarily due to growth in the insurance and vehicle protection businesses and related claims losses; and (3) decreased finance charge income of $0.1 billion primarily due to a decrease in the average balance of the finance receivables portfolio; partially offset by (4) increased other income of $0.1 billion primarily due to growth in the insurance and vehicle protection businesses; (5) decreased interest expense of $0.2 billion primarily due to a decrease in the average debt outstanding and a lower effective rate of interest on GM Financial debt; and (6) increased leased vehicle income of $0.1 billion primarily due to an increase in the average balance of the leased vehicles portfolio.</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Liquidity and Capital Resources </w:t>
      </w:r>
      <w:r>
        <w:rPr>
          <w:rFonts w:ascii="Times New Roman;serif" w:hAnsi="Times New Roman;serif"/>
          <w:b w:val="false"/>
          <w:color w:val="000000"/>
          <w:sz w:val="20"/>
        </w:rPr>
        <w:t>We believe our current levels of cash, cash equivalents, marketable debt securities, available borrowing capacity under our credit facilities, and other liquidity actions currently available to us are sufficient to meet our liquidity requirements in the short- and long-term.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Our known current material uses of cash include, among other possible demands: (1) capital spending and our investments in our battery cell manufacturing joint ventures of approximately $10.0 billion to $12.0 billion in 2026; (2) payments for engineering and product development activities, including the development of AV technology and software-enabled services; (3) payments associated with previously announced EV-related cash charges, warranty claims, vehicle recalls, and any other recall-related contingencies; (4) payments to service debt and other long-term obligations, including discretionary and mandatory contributions to our pension plans; (5) dividend payments on our common stock that are declared by our Board of Directors; and (6) payments to purchase shares of our common stock authorized by our Board of Directors. Our material future uses of cash, which may vary from time to time based on market conditions and other factors, are focused on the three objectives of our capital allocation program: (1) grow our business at an average target return on invested capital-adjusted (ROIC-adjusted) rate of 20% or greater; (2) maintain a strong investment-grade balance sheet, including a target average automotive cash balance of $18.0 billion; and (3) after the first two objectives are met, return available cash to stockholders. Our senior management evaluates our capital allocation program on an ongoing basis and recommends any modifications to the program to our Board of Directors not less than once annually.</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recorded charges of $7.9 billion in GMNA related to our EV strategic realignment. These charges included non-cash impairment and other charges of $3.2 billion and cash related charges of $4.7 billion, primarily consisting of supplier commercial settlements, contract cancellation fees, battery cell JV settlements, and other charges that will have a cash impact when paid. The non-cash impairment charges include the cost of writing down EV-related tooling and equipment to its nominal salvage value. We incurred cash outflows of $0.4 billion related to these charges in the year ended December 31, 2025. In the six months ended June 30, 2026, we recorded additional net charges of $3.4 billion, primarily related to $2.4 billion for ongoing commercial negotiations with our supply base and joint venture partners, $1.1 billion of losses on contractual supply agreements, and $0.5 billion associated with compliance-related assets, net of $0.7 billion of recoveries under a cost sharing arrangement. We incurred cash outflows of $4.1 billion related to these charges in the six months ended June 30, 2026. We expect to recognize additional charges in the year ending December 31, 2026, and while circumstances may change in the future, we believe we have substantially completed the recognition of material cash charges related to our EV strategic realignment.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have entered, and plan to continue to enter, into offtake agreements that generally obligate us to purchase defined quantities of output. These arrangements could have a short-term adverse impact on our cash and increase our inventory. We also continue to monitor and evaluate opportunities to strengthen our competitive position over the long term while maintaining a strong investment-grade balance sheet. These actions may include opportunistic payments to reduce our long-term obligations, and the possibility of acquisitions, dispositions, and investments with joint venture partners, as well as strategic alliances that we believe would generate significant advantages and substantially strengthen our business.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Our liquidity plans are subject to a number of risks and uncertainties, including those described in the "Forward-Looking Statements" section of this MD&amp;A, Part I, Item 1A. Risk Factors of our 2025 Form 10-K, and Part II, Item 1A. Risk Factors of our Quarterly Report on Form 10-Q for the three months ended March 31, 2026, some of which are outside of our control.</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January 2026, our Board of Directors increased the capacity under our existing share repurchase program by $6.0 billion to an aggregate of $6.3 billion, with no expiration date. In the six months ended June 30, 2026, we repurchased 36 million outstanding shares of our common stock for $2.8 billion. As of June 30, 2026, we have $3.5 billion in capacity remaining under our share repurchase program.</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2026, we paid dividends of $0.3 billion to holders of our common stock. In January 2026, our Board of Directors approved an increase in the quarterly common stock dividend of $0.03 to $0.18 per share beginning with the quarterly dividend declared in January 2026.</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Cruise related cash expenditures. The presentation of Automotive liquidity and GM Financial liquidity presented below includes the impact of cash transactions amongst the sectors that are ultimately eliminated in consolidation. The Cruise restructuring activities were substantially complete as of December 31, 2025. Net cash used in operating activities by Cruise was $0.7 billion in the three months ended June 30, 2025.</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Automotive Liquidity</w:t>
      </w:r>
      <w:r>
        <w:rPr>
          <w:color w:val="000000"/>
        </w:rPr>
        <w:t xml:space="preserve"> </w:t>
      </w:r>
      <w:r>
        <w:rPr>
          <w:rFonts w:ascii="Times New Roman;serif" w:hAnsi="Times New Roman;serif"/>
          <w:b w:val="false"/>
          <w:color w:val="000000"/>
          <w:sz w:val="20"/>
        </w:rPr>
        <w:t>Total available liquidity includes cash, cash equivalents, marketable debt securities, and funds available under credit facilities. The 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2025. Refer to Part II, Item 7. MD&amp;A of our 2025 Form 10-K.</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 March 2026, we renewed our 364-day, $2.0 billion revolving credit facility allocated for the exclusive use of GM Financial, which now matures March 22, 2027.</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rPr>
        <w:t>We use credit facilities as a mechanism to provide additional flexibility in managing our global liquidity. Our Automotive borrowing capacity under credit facilities totaled $14.4 billion at June 30, 2026 and December 31, 2025, which consisted primarily of two credit facilities. Total Automotive borrowing capacity under our credit facilities does not include our 364-day, $2.0 billion</w:t>
      </w:r>
      <w:r>
        <w:rPr>
          <w:color w:val="000000"/>
          <w:shd w:fill="FFFFFF" w:val="clear"/>
        </w:rPr>
        <w:t xml:space="preserve"> </w:t>
      </w:r>
      <w:r>
        <w:rPr>
          <w:rFonts w:ascii="Times New Roman;serif" w:hAnsi="Times New Roman;serif"/>
          <w:b w:val="false"/>
          <w:color w:val="000000"/>
          <w:sz w:val="20"/>
        </w:rPr>
        <w:t>facility allocated for exclusive use of GM Financial. We did not have any borrowings against our primary facilities, but had letters of credit outstanding under our sub-facility of $0.5 billion at June 30, 2026 and December 31,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If available capacity permits, GM Financial continues to have access to our automotive credit facilities. GM Financial did not have borrowings outstanding against any of these facilities at June 30, 2026 and December 31, 2025. We had intercompany loans from GM Financial of $0.4 billion at June 30, 2026 and December 31, 2025, which primarily consisted of commercial loans to dealers we consolidate. We did not have intercompany loans to GM Financial at June 30, 2026 and December 31, 2025. Refer to Note 4 to our condensed consolidated financial statements for additional information.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Several of our loan facilities, including our credit facilities, require compliance with certain financial and operational covenants as well as regular reporting to lenders. We have reviewed our covenants in effect as of June 30, 2026 and determined we are in compliance and expect to remain in compliance in the future.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Financial's Board of Directors declared and paid dividends of $0.9 billion on its common stock in the six months ended June 30, 2026. Future dividends from GM Financial will depend on several factors including business and economic conditions, its financial condition, earnings, liquidity requirements, and leverage ratio.</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Automotive available liquidity (dollars in billions):</w:t>
      </w:r>
    </w:p>
    <w:tbl>
      <w:tblPr>
        <w:tblW w:w="8484" w:type="dxa"/>
        <w:jc w:val="left"/>
        <w:tblInd w:w="0" w:type="dxa"/>
        <w:tblLayout w:type="fixed"/>
        <w:tblCellMar>
          <w:top w:w="28" w:type="dxa"/>
          <w:left w:w="28" w:type="dxa"/>
          <w:bottom w:w="28" w:type="dxa"/>
          <w:right w:w="28" w:type="dxa"/>
        </w:tblCellMar>
      </w:tblPr>
      <w:tblGrid>
        <w:gridCol w:w="1988"/>
        <w:gridCol w:w="1749"/>
        <w:gridCol w:w="1752"/>
        <w:gridCol w:w="285"/>
        <w:gridCol w:w="692"/>
        <w:gridCol w:w="147"/>
        <w:gridCol w:w="109"/>
        <w:gridCol w:w="109"/>
        <w:gridCol w:w="109"/>
        <w:gridCol w:w="372"/>
        <w:gridCol w:w="901"/>
        <w:gridCol w:w="271"/>
      </w:tblGrid>
      <w:tr>
        <w:trPr/>
        <w:tc>
          <w:tcPr>
            <w:tcW w:w="1988"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cash and cash equivalents</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cash, cash equivalents, and marketable debt securities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under credit facilities(a)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Automotive available liquidity</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(a)We had letters of credit outstanding under our sub-facility of $0.5 billion at June 30, 2026 and December 31, 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changes in our Automotive available liquidity (dollars in billions): </w:t>
      </w:r>
    </w:p>
    <w:tbl>
      <w:tblPr>
        <w:tblW w:w="6493" w:type="dxa"/>
        <w:jc w:val="center"/>
        <w:tblInd w:w="0" w:type="dxa"/>
        <w:tblLayout w:type="fixed"/>
        <w:tblCellMar>
          <w:top w:w="28" w:type="dxa"/>
          <w:left w:w="28" w:type="dxa"/>
          <w:bottom w:w="28" w:type="dxa"/>
          <w:right w:w="28" w:type="dxa"/>
        </w:tblCellMar>
      </w:tblPr>
      <w:tblGrid>
        <w:gridCol w:w="1439"/>
        <w:gridCol w:w="1263"/>
        <w:gridCol w:w="1272"/>
        <w:gridCol w:w="628"/>
        <w:gridCol w:w="1433"/>
        <w:gridCol w:w="458"/>
      </w:tblGrid>
      <w:tr>
        <w:trPr/>
        <w:tc>
          <w:tcPr>
            <w:tcW w:w="143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and dividends paid</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purchase option</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nonconsolidated affiliates</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 in Automotive available liquidity</w:t>
            </w:r>
          </w:p>
        </w:tc>
        <w:tc>
          <w:tcPr>
            <w:tcW w:w="6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Automotive Cash Flow (dollars in billions)</w:t>
      </w:r>
    </w:p>
    <w:tbl>
      <w:tblPr>
        <w:tblW w:w="9165" w:type="dxa"/>
        <w:jc w:val="center"/>
        <w:tblInd w:w="0" w:type="dxa"/>
        <w:tblLayout w:type="fixed"/>
        <w:tblCellMar>
          <w:top w:w="28" w:type="dxa"/>
          <w:left w:w="28" w:type="dxa"/>
          <w:bottom w:w="28" w:type="dxa"/>
          <w:right w:w="28" w:type="dxa"/>
        </w:tblCellMar>
      </w:tblPr>
      <w:tblGrid>
        <w:gridCol w:w="1962"/>
        <w:gridCol w:w="1722"/>
        <w:gridCol w:w="1731"/>
        <w:gridCol w:w="327"/>
        <w:gridCol w:w="629"/>
        <w:gridCol w:w="169"/>
        <w:gridCol w:w="109"/>
        <w:gridCol w:w="109"/>
        <w:gridCol w:w="109"/>
        <w:gridCol w:w="327"/>
        <w:gridCol w:w="629"/>
        <w:gridCol w:w="169"/>
        <w:gridCol w:w="109"/>
        <w:gridCol w:w="109"/>
        <w:gridCol w:w="109"/>
        <w:gridCol w:w="211"/>
        <w:gridCol w:w="481"/>
        <w:gridCol w:w="154"/>
      </w:tblGrid>
      <w:tr>
        <w:trPr/>
        <w:tc>
          <w:tcPr>
            <w:tcW w:w="196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 charges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OPEB activities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 and income taxes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Other(a)</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automotive cash provided by (used in) operating activities(b)</w:t>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(a)Includes $0.9 billion and $0.7 billion in dividends received from GM Financial in the six months ended June 30, 2026 and 2025; $1.0 billion in dividends received from our nonconsolidated affiliates in the six months ended June 30, 2025; and changes in other assets and liabilities in the six months ended June 30, 2026 and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(b)Includes $(0.1) billion and $(2.6) billion in the six months ended June 30, 2026 and 2025, which are eliminated within the condensed consolidated statements of cash flows. Amounts eliminated primarily relate to purchases of, and collections on, wholesale finance receivables provided by GM Financial to our dealers and dividends issued by GM Financial to us.</w:t>
      </w:r>
    </w:p>
    <w:tbl>
      <w:tblPr>
        <w:tblW w:w="9075" w:type="dxa"/>
        <w:jc w:val="left"/>
        <w:tblInd w:w="0" w:type="dxa"/>
        <w:tblLayout w:type="fixed"/>
        <w:tblCellMar>
          <w:top w:w="28" w:type="dxa"/>
          <w:left w:w="28" w:type="dxa"/>
          <w:bottom w:w="28" w:type="dxa"/>
          <w:right w:w="28" w:type="dxa"/>
        </w:tblCellMar>
      </w:tblPr>
      <w:tblGrid>
        <w:gridCol w:w="1957"/>
        <w:gridCol w:w="1717"/>
        <w:gridCol w:w="1726"/>
        <w:gridCol w:w="296"/>
        <w:gridCol w:w="676"/>
        <w:gridCol w:w="153"/>
        <w:gridCol w:w="109"/>
        <w:gridCol w:w="109"/>
        <w:gridCol w:w="109"/>
        <w:gridCol w:w="296"/>
        <w:gridCol w:w="676"/>
        <w:gridCol w:w="153"/>
        <w:gridCol w:w="109"/>
        <w:gridCol w:w="109"/>
        <w:gridCol w:w="109"/>
        <w:gridCol w:w="211"/>
        <w:gridCol w:w="406"/>
        <w:gridCol w:w="154"/>
      </w:tblGrid>
      <w:tr>
        <w:trPr/>
        <w:tc>
          <w:tcPr>
            <w:tcW w:w="195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liquidations of marketable securities, net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Other(a)</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automotive cash provided by (used in) investing activities(b)</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(a)Includes $0.1 billion loan repayments from Ultium Cells LLC in the </w:t>
      </w:r>
      <w:r>
        <w:rPr>
          <w:rFonts w:ascii="Times New Roman;serif" w:hAnsi="Times New Roman;serif"/>
          <w:b w:val="false"/>
          <w:color w:val="000000"/>
          <w:sz w:val="18"/>
          <w:shd w:fill="FFFFFF" w:val="clear"/>
        </w:rPr>
        <w:t>six months ended June 30, 2026</w:t>
      </w:r>
      <w:r>
        <w:rPr>
          <w:color w:val="000000"/>
        </w:rPr>
        <w:t xml:space="preserve"> </w:t>
      </w:r>
      <w:r>
        <w:rPr>
          <w:rFonts w:ascii="Times New Roman;serif" w:hAnsi="Times New Roman;serif"/>
          <w:b w:val="false"/>
          <w:color w:val="000000"/>
          <w:sz w:val="18"/>
        </w:rPr>
        <w:t>and $(1.8) billion term loan to Ultium Cells LLC in the six months ended June 30, 2025</w:t>
      </w:r>
      <w:r>
        <w:rPr>
          <w:rFonts w:ascii="Times New Roman;serif" w:hAnsi="Times New Roman;serif"/>
          <w:b w:val="false"/>
          <w:color w:val="000000"/>
          <w:sz w:val="18"/>
          <w:shd w:fill="FFFFFF" w:val="clear"/>
        </w:rPr>
        <w:t>;</w:t>
      </w:r>
      <w:r>
        <w:rPr>
          <w:color w:val="000000"/>
        </w:rPr>
        <w:t xml:space="preserve"> </w:t>
      </w:r>
      <w:r>
        <w:rPr>
          <w:rFonts w:ascii="Times New Roman;serif" w:hAnsi="Times New Roman;serif"/>
          <w:b w:val="false"/>
          <w:color w:val="000000"/>
          <w:sz w:val="18"/>
        </w:rPr>
        <w:t>$(0.2) billion and</w:t>
      </w:r>
      <w:r>
        <w:rPr>
          <w:color w:val="000000"/>
          <w:shd w:fill="FFFFFF" w:val="clear"/>
        </w:rPr>
        <w:t xml:space="preserve"> </w:t>
      </w:r>
      <w:r>
        <w:rPr>
          <w:rFonts w:ascii="Times New Roman;serif" w:hAnsi="Times New Roman;serif"/>
          <w:b w:val="false"/>
          <w:color w:val="000000"/>
          <w:sz w:val="18"/>
          <w:shd w:fill="FFFFFF" w:val="clear"/>
        </w:rPr>
        <w:t xml:space="preserve">$(0.5) billion of GM's investment in nonconsolidated affiliates in the six months ended June 30, 2026 and 2025; and $(0.9) billion of funding to wind down Cruise robotaxi operations in the </w:t>
      </w:r>
      <w:r>
        <w:rPr>
          <w:rFonts w:ascii="Times New Roman;serif" w:hAnsi="Times New Roman;serif"/>
          <w:b w:val="false"/>
          <w:color w:val="000000"/>
          <w:sz w:val="18"/>
        </w:rPr>
        <w:t>six months ended June 30, 2025.</w:t>
      </w:r>
    </w:p>
    <w:p>
      <w:pPr>
        <w:pStyle w:val="TextBody"/>
        <w:bidi w:val="0"/>
        <w:spacing w:lineRule="auto" w:line="288" w:before="0" w:after="0"/>
        <w:ind w:left="0" w:right="0" w:hanging="360"/>
        <w:jc w:val="both"/>
        <w:rPr/>
      </w:pPr>
      <w:r>
        <w:rPr>
          <w:rFonts w:ascii="Times New Roman;serif" w:hAnsi="Times New Roman;serif"/>
          <w:b w:val="false"/>
          <w:color w:val="000000"/>
          <w:sz w:val="18"/>
        </w:rPr>
        <w:t>(b)Includes $(0.9) billion of funding to wind down Cruise robotaxi operations in the six months ended June 30,</w:t>
      </w:r>
      <w:r>
        <w:rPr>
          <w:color w:val="000000"/>
          <w:shd w:fill="FFFFFF" w:val="clear"/>
        </w:rPr>
        <w:t xml:space="preserve"> </w:t>
      </w:r>
      <w:r>
        <w:rPr>
          <w:rFonts w:ascii="Times New Roman;serif" w:hAnsi="Times New Roman;serif"/>
          <w:b w:val="false"/>
          <w:color w:val="000000"/>
          <w:sz w:val="18"/>
          <w:shd w:fill="FFFFFF" w:val="clear"/>
        </w:rPr>
        <w:t>2025</w:t>
      </w:r>
      <w:r>
        <w:rPr>
          <w:rFonts w:ascii="Times New Roman;serif" w:hAnsi="Times New Roman;serif"/>
          <w:b w:val="false"/>
          <w:color w:val="000000"/>
          <w:sz w:val="18"/>
        </w:rPr>
        <w:t xml:space="preserve">, which is eliminated within the condensed consolidated statements of cash flows. </w:t>
      </w:r>
    </w:p>
    <w:tbl>
      <w:tblPr>
        <w:tblW w:w="8940" w:type="dxa"/>
        <w:jc w:val="left"/>
        <w:tblInd w:w="0" w:type="dxa"/>
        <w:tblLayout w:type="fixed"/>
        <w:tblCellMar>
          <w:top w:w="28" w:type="dxa"/>
          <w:left w:w="28" w:type="dxa"/>
          <w:bottom w:w="28" w:type="dxa"/>
          <w:right w:w="28" w:type="dxa"/>
        </w:tblCellMar>
      </w:tblPr>
      <w:tblGrid>
        <w:gridCol w:w="1877"/>
        <w:gridCol w:w="1654"/>
        <w:gridCol w:w="1659"/>
        <w:gridCol w:w="296"/>
        <w:gridCol w:w="676"/>
        <w:gridCol w:w="153"/>
        <w:gridCol w:w="109"/>
        <w:gridCol w:w="109"/>
        <w:gridCol w:w="109"/>
        <w:gridCol w:w="296"/>
        <w:gridCol w:w="676"/>
        <w:gridCol w:w="153"/>
        <w:gridCol w:w="109"/>
        <w:gridCol w:w="109"/>
        <w:gridCol w:w="109"/>
        <w:gridCol w:w="211"/>
        <w:gridCol w:w="481"/>
        <w:gridCol w:w="154"/>
      </w:tblGrid>
      <w:tr>
        <w:trPr/>
        <w:tc>
          <w:tcPr>
            <w:tcW w:w="187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(payments) from short-term debt</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senior unsecured notes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Other(a) </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automotive cash provided by (used in) financing activities</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pPr>
      <w:r>
        <w:rPr>
          <w:rFonts w:ascii="Times New Roman;serif" w:hAnsi="Times New Roman;serif"/>
          <w:b w:val="false"/>
          <w:color w:val="000000"/>
          <w:sz w:val="18"/>
        </w:rPr>
        <w:t xml:space="preserve">(a)Includes $(2.8) billion for payments to purchase common stock and $(0.4) billion for dividends to noncontrolling interests in the six months ended June 30, 2026; $(0.3) billion for dividends paid in the six months ended June 30, 2026 and </w:t>
      </w:r>
      <w:r>
        <w:rPr>
          <w:rFonts w:ascii="Times New Roman;serif" w:hAnsi="Times New Roman;serif"/>
          <w:b w:val="false"/>
          <w:color w:val="000000"/>
          <w:sz w:val="18"/>
          <w:shd w:fill="FFFFFF" w:val="clear"/>
        </w:rPr>
        <w:t xml:space="preserve">2025; and </w:t>
      </w:r>
      <w:r>
        <w:rPr>
          <w:rFonts w:ascii="Times New Roman;serif" w:hAnsi="Times New Roman;serif"/>
          <w:b w:val="false"/>
          <w:color w:val="000000"/>
          <w:sz w:val="18"/>
        </w:rPr>
        <w:t xml:space="preserve">$(2.0) billion in payments related to the ASR in the six months ended June 30, </w:t>
      </w:r>
      <w:r>
        <w:rPr>
          <w:rFonts w:ascii="Times New Roman;serif" w:hAnsi="Times New Roman;serif"/>
          <w:b w:val="false"/>
          <w:color w:val="000000"/>
          <w:sz w:val="18"/>
          <w:shd w:fill="FFFFFF" w:val="clear"/>
        </w:rPr>
        <w:t>2025.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i/>
          <w:color w:val="000000"/>
          <w:sz w:val="20"/>
        </w:rPr>
        <w:t xml:space="preserve">Adjusted Automotive Free Cash Flow </w:t>
      </w:r>
      <w:r>
        <w:rPr>
          <w:rFonts w:ascii="Times New Roman;serif" w:hAnsi="Times New Roman;serif"/>
          <w:b w:val="false"/>
          <w:color w:val="000000"/>
          <w:sz w:val="20"/>
        </w:rPr>
        <w:t>We measure adjusted automotive free cash flow as automotive operating cash flow from operations less capital expenditures adjusted for management actions. In the six months ended June 30, 2026, net automotive cash provided by operating activities was $5.6 billion, capital expenditures were $3.4 billion, and adjustments for management actions were $4.1 billion. In the six months ended June 30, 2025, net automotive cash provided by operating activities was $7.1 billion, capital expenditures were $3.9 billion, and adjustments for management actions were $0.5 billion.</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pPr>
      <w:r>
        <w:rPr>
          <w:rFonts w:ascii="Times New Roman;serif" w:hAnsi="Times New Roman;serif"/>
          <w:b w:val="false"/>
          <w:i/>
          <w:color w:val="000000"/>
          <w:sz w:val="20"/>
        </w:rPr>
        <w:t xml:space="preserve">Status of Credit Ratings </w:t>
      </w:r>
      <w:r>
        <w:rPr>
          <w:rFonts w:ascii="Times New Roman;serif" w:hAnsi="Times New Roman;serif"/>
          <w:b w:val="false"/>
          <w:color w:val="000000"/>
          <w:sz w:val="20"/>
        </w:rPr>
        <w:t>We receive ratings from four independent credit rating agencies: DBRS Limited, Fitch Ratings, Moody's Investor Service, and Standard &amp; Poor's. All four credit rating agencies currently rate our corporate credit at investment grade. As of July 15, 2026, all credit ratings remained unchanged since December 31, 2025.</w:t>
      </w:r>
    </w:p>
    <w:tbl>
      <w:tblPr>
        <w:tblW w:w="267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Automotive Financing – GM Financial Liquidity </w:t>
      </w:r>
      <w:r>
        <w:rPr>
          <w:rFonts w:ascii="Times New Roman;serif" w:hAnsi="Times New Roman;serif"/>
          <w:b w:val="false"/>
          <w:color w:val="000000"/>
          <w:sz w:val="20"/>
        </w:rPr>
        <w:t>GM Financial's primary sources of cash are finance charge income, leasing income, and proceeds from 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GM Financial's available liquidity (dollars in billions): </w:t>
      </w:r>
    </w:p>
    <w:tbl>
      <w:tblPr>
        <w:tblW w:w="8649" w:type="dxa"/>
        <w:jc w:val="left"/>
        <w:tblInd w:w="0" w:type="dxa"/>
        <w:tblLayout w:type="fixed"/>
        <w:tblCellMar>
          <w:top w:w="28" w:type="dxa"/>
          <w:left w:w="28" w:type="dxa"/>
          <w:bottom w:w="28" w:type="dxa"/>
          <w:right w:w="28" w:type="dxa"/>
        </w:tblCellMar>
      </w:tblPr>
      <w:tblGrid>
        <w:gridCol w:w="2046"/>
        <w:gridCol w:w="1801"/>
        <w:gridCol w:w="1807"/>
        <w:gridCol w:w="285"/>
        <w:gridCol w:w="692"/>
        <w:gridCol w:w="147"/>
        <w:gridCol w:w="109"/>
        <w:gridCol w:w="109"/>
        <w:gridCol w:w="109"/>
        <w:gridCol w:w="372"/>
        <w:gridCol w:w="901"/>
        <w:gridCol w:w="271"/>
      </w:tblGrid>
      <w:tr>
        <w:trPr/>
        <w:tc>
          <w:tcPr>
            <w:tcW w:w="20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debt securities</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capacity under secured credit facilities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under committed unsecured credit facilities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under revolving credit facility, exclusive to GM Financial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GM Financial available liquidity</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Financial's available liquidity varies quarterly based on factors including near-term debt issuances and maturities, as well as changes in its earning assets. GM Financial generally targets liquidity levels to support at least six months of GM Financial's expected net cash outflows, including new originations, without access to new debt financing transactions or other capital markets activity. At June 30, 2026, available liquidity exceeded GM Financial's liquidity targets.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GM Financial Cash Flow (dollars in billions)</w:t>
      </w:r>
    </w:p>
    <w:tbl>
      <w:tblPr>
        <w:tblW w:w="8189" w:type="dxa"/>
        <w:jc w:val="left"/>
        <w:tblInd w:w="0" w:type="dxa"/>
        <w:tblLayout w:type="fixed"/>
        <w:tblCellMar>
          <w:top w:w="28" w:type="dxa"/>
          <w:left w:w="28" w:type="dxa"/>
          <w:bottom w:w="28" w:type="dxa"/>
          <w:right w:w="28" w:type="dxa"/>
        </w:tblCellMar>
      </w:tblPr>
      <w:tblGrid>
        <w:gridCol w:w="1606"/>
        <w:gridCol w:w="1411"/>
        <w:gridCol w:w="1422"/>
        <w:gridCol w:w="296"/>
        <w:gridCol w:w="676"/>
        <w:gridCol w:w="153"/>
        <w:gridCol w:w="109"/>
        <w:gridCol w:w="109"/>
        <w:gridCol w:w="109"/>
        <w:gridCol w:w="296"/>
        <w:gridCol w:w="676"/>
        <w:gridCol w:w="153"/>
        <w:gridCol w:w="109"/>
        <w:gridCol w:w="109"/>
        <w:gridCol w:w="109"/>
        <w:gridCol w:w="211"/>
        <w:gridCol w:w="481"/>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activities(a)</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activities(b)</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(a)Includes $1.0 billion and $3.7 billion in the six months ended June 30, 2026 and 2025 primarily driven by purchases of, and collections on, wholesale finance receivables and collection of intercompany loans to Cruise, which are eliminated within the condensed consolidated statements of cash flows.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(b)Includes $(0.9) billion and $(0.7) billion in the six months ended June 30, 2026 and 2025 for dividends to GM, which are eliminated within the condensed consolidated statements of cash flows.</w:t>
      </w:r>
    </w:p>
    <w:tbl>
      <w:tblPr>
        <w:tblW w:w="8039" w:type="dxa"/>
        <w:jc w:val="center"/>
        <w:tblInd w:w="0" w:type="dxa"/>
        <w:tblLayout w:type="fixed"/>
        <w:tblCellMar>
          <w:top w:w="28" w:type="dxa"/>
          <w:left w:w="28" w:type="dxa"/>
          <w:bottom w:w="28" w:type="dxa"/>
          <w:right w:w="28" w:type="dxa"/>
        </w:tblCellMar>
      </w:tblPr>
      <w:tblGrid>
        <w:gridCol w:w="1554"/>
        <w:gridCol w:w="1364"/>
        <w:gridCol w:w="1371"/>
        <w:gridCol w:w="327"/>
        <w:gridCol w:w="629"/>
        <w:gridCol w:w="169"/>
        <w:gridCol w:w="109"/>
        <w:gridCol w:w="109"/>
        <w:gridCol w:w="109"/>
        <w:gridCol w:w="327"/>
        <w:gridCol w:w="629"/>
        <w:gridCol w:w="169"/>
        <w:gridCol w:w="109"/>
        <w:gridCol w:w="109"/>
        <w:gridCol w:w="109"/>
        <w:gridCol w:w="211"/>
        <w:gridCol w:w="481"/>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and amortization of loan and leasing fees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loan losses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income</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i/>
          <w:color w:val="000000"/>
          <w:sz w:val="20"/>
        </w:rPr>
        <w:t xml:space="preserve">Credit Facilities </w:t>
      </w:r>
      <w:r>
        <w:rPr>
          <w:rFonts w:ascii="Times New Roman;serif" w:hAnsi="Times New Roman;serif"/>
          <w:b w:val="false"/>
          <w:color w:val="000000"/>
          <w:sz w:val="20"/>
        </w:rPr>
        <w:t xml:space="preserve">In the normal course of business, in addition to using its available cash, GM Financial utilizes borrowings under its credit facilities, which may be secured or unsecured, and GM Financial repays these borrowings as appropriate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its cash management strategy. At June 30, 2026, secured and unsecured credit facilities totaled $27.9 billion and $4.1 billion, with advances outstanding of $3.9 billion and $2.8 billion.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GM Financial did not have any borrowings outstanding against our credit facility designated for their exclusive use or the remainder of our revolving credit facilities at June 30, 2026 and December 31, 2025. Refer to the "Automotive Liquidity" section of this MD&amp;A for additional details.</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Critical Accounting Estimates </w:t>
      </w:r>
      <w:r>
        <w:rPr>
          <w:rFonts w:ascii="Times New Roman;serif" w:hAnsi="Times New Roman;serif"/>
          <w:b w:val="false"/>
          <w:color w:val="000000"/>
          <w:sz w:val="20"/>
        </w:rPr>
        <w:t>The condensed consolidated financial statements are prepared in conformity with U.S. GAAP, which 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Non-GAAP Measures </w:t>
      </w:r>
      <w:r>
        <w:rPr>
          <w:rFonts w:ascii="Times New Roman;serif" w:hAnsi="Times New Roman;serif"/>
          <w:b w:val="false"/>
          <w:color w:val="000000"/>
          <w:sz w:val="20"/>
        </w:rPr>
        <w:t xml:space="preserve">We use both GAAP and non-GAAP financial measures for operational and financial decision making, and to assess Company and segment business performance. Our non-GAAP measures include: EBIT-adjusted, presented net of noncontrolling interests; EBT-adjusted for our GM Financial segment; EPS-diluted-adjusted; ETR-adjusted;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 xml:space="preserve">EBIT-adjusted </w:t>
      </w:r>
      <w:r>
        <w:rPr>
          <w:rFonts w:ascii="Times New Roman;serif" w:hAnsi="Times New Roman;serif"/>
          <w:b w:val="false"/>
          <w:i/>
          <w:color w:val="000000"/>
          <w:sz w:val="20"/>
        </w:rPr>
        <w:t xml:space="preserve">(Most comparable GAAP measure: Net income attributable to stockholders) </w:t>
      </w:r>
      <w:r>
        <w:rPr>
          <w:rFonts w:ascii="Times New Roman;serif" w:hAnsi="Times New Roman;serif"/>
          <w:b w:val="false"/>
          <w:color w:val="000000"/>
          <w:sz w:val="20"/>
        </w:rPr>
        <w:t xml:space="preserve">EBIT-adjusted is presented net of noncontrolling interests and 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an integral part of its financial performance.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EPS-diluted-adjusted</w:t>
      </w:r>
      <w:r>
        <w:rPr>
          <w:color w:val="000000"/>
        </w:rPr>
        <w:t xml:space="preserve"> </w:t>
      </w:r>
      <w:r>
        <w:rPr>
          <w:rFonts w:ascii="Times New Roman;serif" w:hAnsi="Times New Roman;serif"/>
          <w:b w:val="false"/>
          <w:i/>
          <w:color w:val="000000"/>
          <w:sz w:val="20"/>
        </w:rPr>
        <w:t xml:space="preserve">(Most comparable GAAP measure: Diluted earnings per common share) </w:t>
      </w:r>
      <w:r>
        <w:rPr>
          <w:rFonts w:ascii="Times New Roman;serif" w:hAnsi="Times New Roman;serif"/>
          <w:b w:val="false"/>
          <w:color w:val="000000"/>
          <w:sz w:val="20"/>
        </w:rPr>
        <w:t xml:space="preserve">EPS-diluted-adjusted is used by management and can be 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ETR-adjusted</w:t>
      </w:r>
      <w:r>
        <w:rPr>
          <w:color w:val="000000"/>
        </w:rPr>
        <w:t xml:space="preserve"> </w:t>
      </w:r>
      <w:r>
        <w:rPr>
          <w:rFonts w:ascii="Times New Roman;serif" w:hAnsi="Times New Roman;serif"/>
          <w:b w:val="false"/>
          <w:i/>
          <w:color w:val="000000"/>
          <w:sz w:val="20"/>
        </w:rPr>
        <w:t>(Most comparable GAAP measure: Effective tax rate)</w:t>
      </w:r>
      <w:r>
        <w:rPr>
          <w:color w:val="000000"/>
        </w:rPr>
        <w:t xml:space="preserve"> </w:t>
      </w:r>
      <w:r>
        <w:rPr>
          <w:rFonts w:ascii="Times New Roman;serif" w:hAnsi="Times New Roman;serif"/>
          <w:b w:val="false"/>
          <w:color w:val="000000"/>
          <w:sz w:val="20"/>
        </w:rPr>
        <w:t xml:space="preserve">ETR-adjusted is used by management and can be used by investors to review the 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cannot provide an expected effective tax rate without unreasonable efforts because the U.S. GAAP measure may include significant adjustments that are difficult to predict. </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ROIC-adjusted</w:t>
      </w:r>
      <w:r>
        <w:rPr>
          <w:color w:val="000000"/>
        </w:rPr>
        <w:t xml:space="preserve"> </w:t>
      </w:r>
      <w:r>
        <w:rPr>
          <w:rFonts w:ascii="Times New Roman;serif" w:hAnsi="Times New Roman;serif"/>
          <w:b w:val="false"/>
          <w:i/>
          <w:color w:val="000000"/>
          <w:sz w:val="20"/>
        </w:rPr>
        <w:t>(Most comparable GAAP measure: Return on equity)</w:t>
      </w:r>
      <w:r>
        <w:rPr>
          <w:color w:val="000000"/>
        </w:rPr>
        <w:t xml:space="preserve"> </w:t>
      </w:r>
      <w:r>
        <w:rPr>
          <w:rFonts w:ascii="Times New Roman;serif" w:hAnsi="Times New Roman;serif"/>
          <w:b w:val="false"/>
          <w:color w:val="000000"/>
          <w:sz w:val="20"/>
        </w:rPr>
        <w:t>ROIC-adjusted is used by management and can be used by investors to review our investment and capital allocation decisions. We define ROIC-adjusted as EBIT-adjusted for the trailing four quarters divided by ROIC-adjusted average net assets, which is the average equity balances adjusted for average automotive debt and interest liabilities, exclusive of finance leases; average automotive net pension and OPEB liabilities; and average automotive net income tax assets during the same period.</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i/>
          <w:color w:val="000000"/>
          <w:sz w:val="20"/>
        </w:rPr>
        <w:t>Adjusted automotive free cash flow</w:t>
      </w:r>
      <w:r>
        <w:rPr>
          <w:color w:val="000000"/>
        </w:rPr>
        <w:t xml:space="preserve"> </w:t>
      </w:r>
      <w:r>
        <w:rPr>
          <w:rFonts w:ascii="Times New Roman;serif" w:hAnsi="Times New Roman;serif"/>
          <w:b w:val="false"/>
          <w:i/>
          <w:color w:val="000000"/>
          <w:sz w:val="20"/>
        </w:rPr>
        <w:t>(Most comparable GAAP measure: Net automotive cash provided by operating activities)</w:t>
      </w:r>
      <w:r>
        <w:rPr>
          <w:color w:val="000000"/>
        </w:rPr>
        <w:t xml:space="preserve"> </w:t>
      </w:r>
      <w:r>
        <w:rPr>
          <w:rFonts w:ascii="Times New Roman;serif" w:hAnsi="Times New Roman;serif"/>
          <w:b w:val="false"/>
          <w:color w:val="000000"/>
          <w:sz w:val="20"/>
        </w:rPr>
        <w:t>Adjusted automotive free 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(loss) attributable to stockholders to EBIT-adjusted:</w:t>
      </w:r>
    </w:p>
    <w:tbl>
      <w:tblPr>
        <w:tblW w:w="11218" w:type="dxa"/>
        <w:jc w:val="center"/>
        <w:tblInd w:w="0" w:type="dxa"/>
        <w:tblLayout w:type="fixed"/>
        <w:tblCellMar>
          <w:top w:w="28" w:type="dxa"/>
          <w:left w:w="28" w:type="dxa"/>
          <w:bottom w:w="28" w:type="dxa"/>
          <w:right w:w="28" w:type="dxa"/>
        </w:tblCellMar>
      </w:tblPr>
      <w:tblGrid>
        <w:gridCol w:w="629"/>
        <w:gridCol w:w="368"/>
        <w:gridCol w:w="36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11"/>
        <w:gridCol w:w="631"/>
        <w:gridCol w:w="109"/>
        <w:gridCol w:w="109"/>
        <w:gridCol w:w="109"/>
        <w:gridCol w:w="109"/>
        <w:gridCol w:w="211"/>
        <w:gridCol w:w="616"/>
        <w:gridCol w:w="109"/>
        <w:gridCol w:w="109"/>
        <w:gridCol w:w="109"/>
        <w:gridCol w:w="109"/>
        <w:gridCol w:w="211"/>
        <w:gridCol w:w="61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stockholders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EV strategic realignment(a)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China restructuring actions(b)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Legal matters(c)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Cruise restructuring(d)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GMI exit costs(e)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Headquarters relocation(f)</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Separation costs(g)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Buick dealer strategy(h)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(a)These adjustments were excluded because they relate to our strategic realignment of our EV capacity and manufacturing footprint, including Ultium's strategic realignment.</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(b)These adjustments were excluded because they relate to restructuring activities associated with our operations in China, including an other-than-temporary impairment and restructuring charges recorded in equity earnings associated with our Automotive China JVs.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(c)These adjustments were excluded because they relate to investigations and litigation associated with our former OnStar Smart Driver product and an indemnification charge for a European-wide Takata related recall.</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(d)These adjustments were excluded because they relate to restructuring charges resulting from the plan to combine the Cruise and GM technical efforts to advance autonomous and assisted driving. The adjustments primarily consist of non-cash restructuring charges, supplier-related charges, and employee separation costs.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(e)These adjustments were excluded because they primarily relate to the wind down of our manufacturing operations in Colombia and Ecuador.</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(f)These adjustments were excluded because they relate to the GM headquarters relocation, primarily consisting of accelerated depreciation and other relocation expenditures.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(g)These adjustments were excluded because they relate to employee separation charges.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(h)These adjustments were excluded because they relate to strategic activities to transition certain Buick dealers out of our dealer network as part of Buick’s EV strategy.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left"/>
        <w:rPr/>
      </w:pPr>
      <w:r>
        <w:rPr>
          <w:rFonts w:ascii="Times New Roman;serif" w:hAnsi="Times New Roman;serif"/>
          <w:b w:val="false"/>
          <w:color w:val="000000"/>
          <w:sz w:val="20"/>
        </w:rPr>
        <w:t>The following table reconciles diluted earnin</w:t>
      </w:r>
      <w:r>
        <w:rPr>
          <w:rFonts w:ascii="Times New Roman;serif" w:hAnsi="Times New Roman;serif"/>
          <w:b w:val="false"/>
          <w:color w:val="000000"/>
          <w:sz w:val="20"/>
          <w:shd w:fill="FFFFFF" w:val="clear"/>
        </w:rPr>
        <w:t>gs pe</w:t>
      </w:r>
      <w:r>
        <w:rPr>
          <w:rFonts w:ascii="Times New Roman;serif" w:hAnsi="Times New Roman;serif"/>
          <w:b w:val="false"/>
          <w:color w:val="000000"/>
          <w:sz w:val="20"/>
        </w:rPr>
        <w:t xml:space="preserve">r common share to EPS-diluted-adjusted: </w:t>
      </w:r>
    </w:p>
    <w:tbl>
      <w:tblPr>
        <w:tblW w:w="11248" w:type="dxa"/>
        <w:jc w:val="center"/>
        <w:tblInd w:w="0" w:type="dxa"/>
        <w:tblLayout w:type="fixed"/>
        <w:tblCellMar>
          <w:top w:w="28" w:type="dxa"/>
          <w:left w:w="28" w:type="dxa"/>
          <w:bottom w:w="28" w:type="dxa"/>
          <w:right w:w="28" w:type="dxa"/>
        </w:tblCellMar>
      </w:tblPr>
      <w:tblGrid>
        <w:gridCol w:w="1135"/>
        <w:gridCol w:w="447"/>
        <w:gridCol w:w="264"/>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on adjustments(b)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from preferred shareholders(c)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EPS-diluted-adjusted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(a)Refer to the reconciliation of Net income (loss) attributable to stockholders to EBIT-adjusted within this section of MD&amp;A for adjustment details.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 tax effect of each adjustment is determined based on the tax laws and valuation allowance status of the jurisdiction to which the adjustment relates.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(c)This adjustment consists of a return from the preferred shareholders related to the redemption of Cruise preferred shares from noncontrolling interest holders in the six months ended June 30, 2025.</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our effective tax rate to ETR-adjusted: </w:t>
      </w:r>
    </w:p>
    <w:tbl>
      <w:tblPr>
        <w:tblW w:w="15530" w:type="dxa"/>
        <w:jc w:val="center"/>
        <w:tblInd w:w="0" w:type="dxa"/>
        <w:tblLayout w:type="fixed"/>
        <w:tblCellMar>
          <w:top w:w="28" w:type="dxa"/>
          <w:left w:w="28" w:type="dxa"/>
          <w:bottom w:w="28" w:type="dxa"/>
          <w:right w:w="28" w:type="dxa"/>
        </w:tblCellMar>
      </w:tblPr>
      <w:tblGrid>
        <w:gridCol w:w="543"/>
        <w:gridCol w:w="429"/>
        <w:gridCol w:w="274"/>
        <w:gridCol w:w="211"/>
        <w:gridCol w:w="616"/>
        <w:gridCol w:w="109"/>
        <w:gridCol w:w="109"/>
        <w:gridCol w:w="109"/>
        <w:gridCol w:w="109"/>
        <w:gridCol w:w="211"/>
        <w:gridCol w:w="466"/>
        <w:gridCol w:w="109"/>
        <w:gridCol w:w="109"/>
        <w:gridCol w:w="109"/>
        <w:gridCol w:w="109"/>
        <w:gridCol w:w="255"/>
        <w:gridCol w:w="256"/>
        <w:gridCol w:w="351"/>
        <w:gridCol w:w="109"/>
        <w:gridCol w:w="109"/>
        <w:gridCol w:w="109"/>
        <w:gridCol w:w="211"/>
        <w:gridCol w:w="616"/>
        <w:gridCol w:w="109"/>
        <w:gridCol w:w="109"/>
        <w:gridCol w:w="109"/>
        <w:gridCol w:w="109"/>
        <w:gridCol w:w="211"/>
        <w:gridCol w:w="466"/>
        <w:gridCol w:w="109"/>
        <w:gridCol w:w="109"/>
        <w:gridCol w:w="109"/>
        <w:gridCol w:w="109"/>
        <w:gridCol w:w="255"/>
        <w:gridCol w:w="256"/>
        <w:gridCol w:w="351"/>
        <w:gridCol w:w="109"/>
        <w:gridCol w:w="109"/>
        <w:gridCol w:w="109"/>
        <w:gridCol w:w="211"/>
        <w:gridCol w:w="616"/>
        <w:gridCol w:w="109"/>
        <w:gridCol w:w="109"/>
        <w:gridCol w:w="109"/>
        <w:gridCol w:w="109"/>
        <w:gridCol w:w="211"/>
        <w:gridCol w:w="616"/>
        <w:gridCol w:w="109"/>
        <w:gridCol w:w="109"/>
        <w:gridCol w:w="109"/>
        <w:gridCol w:w="109"/>
        <w:gridCol w:w="255"/>
        <w:gridCol w:w="256"/>
        <w:gridCol w:w="351"/>
        <w:gridCol w:w="109"/>
        <w:gridCol w:w="109"/>
        <w:gridCol w:w="109"/>
        <w:gridCol w:w="211"/>
        <w:gridCol w:w="616"/>
        <w:gridCol w:w="109"/>
        <w:gridCol w:w="109"/>
        <w:gridCol w:w="109"/>
        <w:gridCol w:w="109"/>
        <w:gridCol w:w="211"/>
        <w:gridCol w:w="616"/>
        <w:gridCol w:w="109"/>
        <w:gridCol w:w="327"/>
        <w:gridCol w:w="511"/>
        <w:gridCol w:w="402"/>
      </w:tblGrid>
      <w:tr>
        <w:trPr/>
        <w:tc>
          <w:tcPr>
            <w:tcW w:w="54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Effective tax rate</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ETR-adjusted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(a)Refer to the reconciliation of Net income (loss) attributable to stockholders to EBIT-adjusted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pStyle w:val="TextBody"/>
        <w:bidi w:val="0"/>
        <w:spacing w:before="0" w:after="0"/>
        <w:ind w:left="0" w:right="0" w:hanging="36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tbl>
      <w:tblPr>
        <w:tblW w:w="6163" w:type="dxa"/>
        <w:jc w:val="center"/>
        <w:tblInd w:w="0" w:type="dxa"/>
        <w:tblLayout w:type="fixed"/>
        <w:tblCellMar>
          <w:top w:w="28" w:type="dxa"/>
          <w:left w:w="28" w:type="dxa"/>
          <w:bottom w:w="28" w:type="dxa"/>
          <w:right w:w="28" w:type="dxa"/>
        </w:tblCellMar>
      </w:tblPr>
      <w:tblGrid>
        <w:gridCol w:w="1207"/>
        <w:gridCol w:w="1060"/>
        <w:gridCol w:w="1063"/>
        <w:gridCol w:w="245"/>
        <w:gridCol w:w="595"/>
        <w:gridCol w:w="315"/>
        <w:gridCol w:w="127"/>
        <w:gridCol w:w="127"/>
        <w:gridCol w:w="127"/>
        <w:gridCol w:w="127"/>
        <w:gridCol w:w="238"/>
        <w:gridCol w:w="576"/>
        <w:gridCol w:w="356"/>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Four Quarters Ended</w:t>
            </w:r>
          </w:p>
        </w:tc>
        <w:tc>
          <w:tcPr>
            <w:tcW w:w="1170" w:type="dxa"/>
            <w:gridSpan w:val="3"/>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stockholders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equity(a)</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(a)Includes equity of noncontrolling interests where the corresponding earnings (loss) are included in Net income attributable to stockholders.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calculation of ROIC-adjusted (dollars in billions):</w:t>
      </w:r>
    </w:p>
    <w:tbl>
      <w:tblPr>
        <w:tblW w:w="9222" w:type="dxa"/>
        <w:jc w:val="left"/>
        <w:tblInd w:w="0" w:type="dxa"/>
        <w:tblLayout w:type="fixed"/>
        <w:tblCellMar>
          <w:top w:w="28" w:type="dxa"/>
          <w:left w:w="28" w:type="dxa"/>
          <w:bottom w:w="28" w:type="dxa"/>
          <w:right w:w="28" w:type="dxa"/>
        </w:tblCellMar>
      </w:tblPr>
      <w:tblGrid>
        <w:gridCol w:w="2392"/>
        <w:gridCol w:w="2102"/>
        <w:gridCol w:w="2106"/>
        <w:gridCol w:w="239"/>
        <w:gridCol w:w="579"/>
        <w:gridCol w:w="307"/>
        <w:gridCol w:w="109"/>
        <w:gridCol w:w="109"/>
        <w:gridCol w:w="109"/>
        <w:gridCol w:w="238"/>
        <w:gridCol w:w="576"/>
        <w:gridCol w:w="356"/>
      </w:tblGrid>
      <w:tr>
        <w:trPr/>
        <w:tc>
          <w:tcPr>
            <w:tcW w:w="2392"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Four Quarters Ended</w:t>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EBIT-adjusted(a)</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equity(b)</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Average automotive debt and interest liabilities (excluding finance leases)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Average automotive net pension and OPEB liability</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Average automotive net income tax asset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ROIC-adjusted average net assets</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ROIC-adjusted</w:t>
            </w:r>
          </w:p>
        </w:tc>
        <w:tc>
          <w:tcPr>
            <w:tcW w:w="81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3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(a)Refer to the reconciliation of Net income (loss) attributable to stockholders to EBIT-adjusted within this section of MD&amp;A.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(b)Includes equity of noncontrolling interests where the corresponding earnings (loss) are included in EBIT-adjusted.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Forward-Looking Statements </w:t>
      </w:r>
      <w:r>
        <w:rPr>
          <w:rFonts w:ascii="Times New Roman;serif" w:hAnsi="Times New Roman;serif"/>
          <w:b w:val="false"/>
          <w:color w:val="000000"/>
          <w:sz w:val="20"/>
        </w:rPr>
        <w:t xml:space="preserve">This report and the other reports filed by us with the SEC from time to time, as well as statements incorporated by reference 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that are able to attract a sufficient number of consumers; (4) our ability to profitably deliver a strategic portfolio of EVs; (5) adoption of EVs by consumers; (6) the success of our current line of ICE vehicles, particularly our full-size ICE SUVs and full-size ICE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refocused AV strategy on personal vehicles; (9) risks associated with climate change, including evolving regulation of GHG emissions, changing consumer preferences and demand, and the potential increased impacts of severe weather events; (10) global automobile market sales volume, which can be volatile; (11) inflationary pressures and persistently high prices and uncertain availability of commodities, raw materials, and other inputs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introduction of new tariffs or changes to announced tariffs directly and indirectly applicable to our industry,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components, and raw materials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 rights are not sufficient to prevent competitors from developing or selling those products or services; (19) our ability to manage risks related to security breaches, cyberattacks, and other disruptions to our information technology systems and networked products, including connected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vehicles; (20) our ability to 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 suppliers; (22) our ability to comply with extensive laws, regulations, and policies applicable to our industry, operations, and products, including those in the One Big Beautiful Bill Act and/or relating to fuel economy, emissions, and AVs; (23) costs and risks associated with litigation, governmental investigations, and other proceedings; (24) the costs and effect on our reputation of product safety recalls and alleged defects in products and services; (25) any additional tax expense or exposure or failure to fully realize available tax incentives; (26) our continued ability to develop captive financing capability through GM Financial; (27) any significant increase in our pension funding requirements; and (28) uncertainties regarding the IEEPA tariff refunds, including the timing and extent of these refunds. A further discussion of these risks, uncertainties, and other factors can be found in Part I, Item 1A. Risk Factors of our 2025 Form 10-K and our subsequent filings with the SEC.</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exposure to market risk since December 31, 2025. For further discussion on market risk, refer to Part II, Item 7A. of our 2025 Form 10-K.</w:t>
      </w:r>
    </w:p>
    <w:p>
      <w:pPr>
        <w:pStyle w:val="TextBody"/>
        <w:bidi w:val="0"/>
        <w:spacing w:before="0" w:after="0"/>
        <w:ind w:left="0" w:right="0" w:firstLine="18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shd w:fill="FFFFFF" w:val="clear"/>
        </w:rPr>
        <w:t xml:space="preserve">Disclosure Controls and Procedures </w:t>
      </w:r>
      <w:r>
        <w:rPr>
          <w:rFonts w:ascii="Times New Roman;serif" w:hAnsi="Times New Roman;serif"/>
          <w:b w:val="false"/>
          <w:color w:val="000000"/>
          <w:sz w:val="20"/>
          <w:shd w:fill="FFFFFF" w:val="clear"/>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shd w:fill="FFFFFF" w:val="clear"/>
        </w:rPr>
        <w:t>Our management, with the participation of our CEO and CFO, evaluated the effectiveness of our disclosure controls and procedures (as defined in Rules 13a-15(e) or 15d-15(e) promulgated under the Exchange Act) as of June 30, 2026 as required by paragraph (b) of Rules 13a-15 or 15d-15. Based on this evaluation, at a reasonable assurance level, our CEO and CFO concluded that our disclosure controls and procedu</w:t>
      </w:r>
      <w:r>
        <w:rPr>
          <w:rFonts w:ascii="Times New Roman;serif" w:hAnsi="Times New Roman;serif"/>
          <w:b w:val="false"/>
          <w:color w:val="000000"/>
          <w:sz w:val="20"/>
        </w:rPr>
        <w:t>res were effective as of June 30, 2026.</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color w:val="000000"/>
          <w:sz w:val="20"/>
        </w:rPr>
        <w:t xml:space="preserve">Changes in Internal Control over Financial Reporting </w:t>
      </w:r>
      <w:r>
        <w:rPr>
          <w:rFonts w:ascii="Times New Roman;serif" w:hAnsi="Times New Roman;serif"/>
          <w:b w:val="false"/>
          <w:color w:val="000000"/>
          <w:sz w:val="20"/>
        </w:rPr>
        <w:t>There have not been any changes in</w:t>
      </w:r>
      <w:r>
        <w:rPr>
          <w:color w:val="000000"/>
          <w:shd w:fill="FFFFFF" w:val="clear"/>
        </w:rPr>
        <w:t xml:space="preserve"> </w:t>
      </w:r>
      <w:r>
        <w:rPr>
          <w:rFonts w:ascii="Times New Roman;serif" w:hAnsi="Times New Roman;serif"/>
          <w:b w:val="false"/>
          <w:color w:val="000000"/>
          <w:sz w:val="20"/>
          <w:shd w:fill="FFFFFF" w:val="clear"/>
        </w:rPr>
        <w:t>our internal control over financial reporting during the three months ended June 30, 2026 that have materially affected, or are r</w:t>
      </w:r>
      <w:r>
        <w:rPr>
          <w:rFonts w:ascii="Times New Roman;serif" w:hAnsi="Times New Roman;serif"/>
          <w:b w:val="false"/>
          <w:color w:val="000000"/>
          <w:sz w:val="20"/>
        </w:rPr>
        <w:t>easonably likely to materially affect, our internal control over financial reporting.</w:t>
      </w:r>
    </w:p>
    <w:p>
      <w:pPr>
        <w:pStyle w:val="TextBody"/>
        <w:bidi w:val="0"/>
        <w:spacing w:before="0" w:after="0"/>
        <w:ind w:left="0" w:right="0" w:firstLine="18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PART II</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Times New Roman;serif" w:hAnsi="Times New Roman;serif"/>
          <w:b w:val="false"/>
          <w:color w:val="000000"/>
          <w:sz w:val="20"/>
          <w:shd w:fill="FFFFFF" w:val="clear"/>
        </w:rPr>
        <w:t>The discussion unde</w:t>
      </w:r>
      <w:r>
        <w:rPr>
          <w:rFonts w:ascii="Times New Roman;serif" w:hAnsi="Times New Roman;serif"/>
          <w:b w:val="false"/>
          <w:color w:val="000000"/>
          <w:sz w:val="20"/>
        </w:rPr>
        <w:t>r Note 13 to our condensed consolidated financial statements is incorporated by reference into this Part II, Item 1.</w:t>
      </w:r>
    </w:p>
    <w:p>
      <w:pPr>
        <w:pStyle w:val="TextBody"/>
        <w:bidi w:val="0"/>
        <w:spacing w:before="0" w:after="0"/>
        <w:ind w:left="0" w:right="0" w:firstLine="18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2025 Form 10-K, other than as set forth in Part II, Item 1A. Risk Factors of our Quarterly Report on Form 10-Q for the three months ended March 31, 2026.</w:t>
      </w:r>
    </w:p>
    <w:p>
      <w:pPr>
        <w:pStyle w:val="TextBody"/>
        <w:bidi w:val="0"/>
        <w:spacing w:before="0" w:after="0"/>
        <w:ind w:left="0" w:right="0" w:firstLine="18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Purchases of Equity Securities </w:t>
      </w:r>
      <w:r>
        <w:rPr>
          <w:rFonts w:ascii="Times New Roman;serif" w:hAnsi="Times New Roman;serif"/>
          <w:b w:val="false"/>
          <w:color w:val="000000"/>
          <w:sz w:val="20"/>
        </w:rPr>
        <w:t>The following table summarizes our purchases of common stock in the three months ended June 30, 2026:</w:t>
      </w:r>
    </w:p>
    <w:tbl>
      <w:tblPr>
        <w:tblW w:w="10205" w:type="dxa"/>
        <w:jc w:val="left"/>
        <w:tblInd w:w="0" w:type="dxa"/>
        <w:tblLayout w:type="fixed"/>
        <w:tblCellMar>
          <w:top w:w="28" w:type="dxa"/>
          <w:left w:w="28" w:type="dxa"/>
          <w:bottom w:w="28" w:type="dxa"/>
          <w:right w:w="28" w:type="dxa"/>
        </w:tblCellMar>
      </w:tblPr>
      <w:tblGrid>
        <w:gridCol w:w="559"/>
        <w:gridCol w:w="492"/>
        <w:gridCol w:w="494"/>
        <w:gridCol w:w="833"/>
        <w:gridCol w:w="518"/>
        <w:gridCol w:w="520"/>
        <w:gridCol w:w="109"/>
        <w:gridCol w:w="109"/>
        <w:gridCol w:w="109"/>
        <w:gridCol w:w="461"/>
        <w:gridCol w:w="1350"/>
        <w:gridCol w:w="239"/>
        <w:gridCol w:w="109"/>
        <w:gridCol w:w="109"/>
        <w:gridCol w:w="109"/>
        <w:gridCol w:w="774"/>
        <w:gridCol w:w="461"/>
        <w:gridCol w:w="462"/>
        <w:gridCol w:w="109"/>
        <w:gridCol w:w="109"/>
        <w:gridCol w:w="109"/>
        <w:gridCol w:w="601"/>
        <w:gridCol w:w="601"/>
        <w:gridCol w:w="859"/>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Price Paid per Share(b)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w:t>
              <w:br/>
              <w:t>Purchased as Part of Publicly</w:t>
              <w:br/>
              <w:t>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w:t>
              <w:br/>
              <w:t>May Yet be Purchased Under the Plans or Programs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April 30, 2026</w:t>
            </w:r>
          </w:p>
        </w:tc>
        <w:tc>
          <w:tcPr>
            <w:tcW w:w="13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1,182,150 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76.67 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1,173,372 </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 billion</w:t>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through May 31, 2026</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8,445,718 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8,349,288 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 billion</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through June 30, 2026</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15,363,725 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15,363,725 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 billion</w:t>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24,991,593 </w:t>
            </w:r>
          </w:p>
        </w:tc>
        <w:tc>
          <w:tcPr>
            <w:tcW w:w="5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24,886,385 </w:t>
            </w:r>
          </w:p>
        </w:tc>
        <w:tc>
          <w:tcPr>
            <w:tcW w:w="4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(a)Shares purchased include shares delivered by employees or directors to us for the payment of taxes resulting from the issuance of common stock upon the vesting of RSUs relating to compensation plans. Refer to our 2025 Form 10-K for additional details on employee stock incentive plans.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 weighted-average price paid per share excludes broker commissions.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5.</w:t>
      </w:r>
      <w:r>
        <w:rPr>
          <w:color w:val="000000"/>
        </w:rPr>
        <w:t xml:space="preserve"> </w:t>
      </w:r>
      <w:r>
        <w:rPr>
          <w:rFonts w:ascii="Times New Roman;serif" w:hAnsi="Times New Roman;serif"/>
          <w:b/>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 of Regulation S-K.</w:t>
      </w:r>
    </w:p>
    <w:p>
      <w:pPr>
        <w:pStyle w:val="TextBody"/>
        <w:bidi w:val="0"/>
        <w:spacing w:before="0" w:after="0"/>
        <w:ind w:left="0" w:right="0" w:firstLine="180"/>
        <w:jc w:val="left"/>
        <w:rPr/>
      </w:pPr>
      <w:r>
        <w:rPr/>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  *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25"/>
        <w:gridCol w:w="286"/>
        <w:gridCol w:w="287"/>
        <w:gridCol w:w="109"/>
        <w:gridCol w:w="109"/>
        <w:gridCol w:w="109"/>
        <w:gridCol w:w="2548"/>
        <w:gridCol w:w="2404"/>
        <w:gridCol w:w="2365"/>
        <w:gridCol w:w="109"/>
        <w:gridCol w:w="109"/>
        <w:gridCol w:w="109"/>
        <w:gridCol w:w="389"/>
        <w:gridCol w:w="389"/>
        <w:gridCol w:w="558"/>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80"/>
                  <w:sz w:val="20"/>
                  <w:u w:val="single"/>
                </w:rPr>
                <w:t xml:space="preserve">Amended and </w:t>
              </w:r>
            </w:hyperlink>
            <w:hyperlink r:id="rId4">
              <w:r>
                <w:rPr>
                  <w:rStyle w:val="InternetLink"/>
                  <w:rFonts w:ascii="Times New Roman;serif" w:hAnsi="Times New Roman;serif"/>
                  <w:b w:val="false"/>
                  <w:color w:val="000080"/>
                  <w:sz w:val="20"/>
                  <w:u w:val="single"/>
                </w:rPr>
                <w:t xml:space="preserve">Restated Certificate of Incorporation of General Motors Company dated </w:t>
              </w:r>
            </w:hyperlink>
            <w:hyperlink r:id="rId5">
              <w:r>
                <w:rPr>
                  <w:rStyle w:val="InternetLink"/>
                  <w:rFonts w:ascii="Times New Roman;serif" w:hAnsi="Times New Roman;serif"/>
                  <w:b w:val="false"/>
                  <w:color w:val="000080"/>
                  <w:sz w:val="20"/>
                  <w:u w:val="single"/>
                </w:rPr>
                <w:t>June</w:t>
              </w:r>
            </w:hyperlink>
            <w:hyperlink r:id="rId6">
              <w:r>
                <w:rPr>
                  <w:rStyle w:val="InternetLink"/>
                  <w:rFonts w:ascii="Times New Roman;serif" w:hAnsi="Times New Roman;serif"/>
                  <w:b w:val="false"/>
                  <w:color w:val="000080"/>
                  <w:sz w:val="20"/>
                  <w:u w:val="single"/>
                </w:rPr>
                <w:t xml:space="preserve"> </w:t>
              </w:r>
            </w:hyperlink>
            <w:hyperlink r:id="rId7">
              <w:r>
                <w:rPr>
                  <w:rStyle w:val="InternetLink"/>
                  <w:rFonts w:ascii="Times New Roman;serif" w:hAnsi="Times New Roman;serif"/>
                  <w:b w:val="false"/>
                  <w:color w:val="000080"/>
                  <w:sz w:val="20"/>
                  <w:u w:val="single"/>
                </w:rPr>
                <w:t>3</w:t>
              </w:r>
            </w:hyperlink>
            <w:hyperlink r:id="rId8">
              <w:r>
                <w:rPr>
                  <w:rStyle w:val="InternetLink"/>
                  <w:rFonts w:ascii="Times New Roman;serif" w:hAnsi="Times New Roman;serif"/>
                  <w:b w:val="false"/>
                  <w:color w:val="000080"/>
                  <w:sz w:val="20"/>
                  <w:u w:val="single"/>
                </w:rPr>
                <w:t>, 20</w:t>
              </w:r>
            </w:hyperlink>
            <w:hyperlink r:id="rId9">
              <w:r>
                <w:rPr>
                  <w:rStyle w:val="InternetLink"/>
                  <w:rFonts w:ascii="Times New Roman;serif" w:hAnsi="Times New Roman;serif"/>
                  <w:b w:val="false"/>
                  <w:color w:val="000080"/>
                  <w:sz w:val="20"/>
                  <w:u w:val="single"/>
                </w:rPr>
                <w:t>25</w:t>
              </w:r>
            </w:hyperlink>
            <w:hyperlink r:id="rId10">
              <w:r>
                <w:rPr>
                  <w:rStyle w:val="InternetLink"/>
                  <w:rFonts w:ascii="Times New Roman;serif" w:hAnsi="Times New Roman;serif"/>
                  <w:b w:val="false"/>
                  <w:color w:val="000080"/>
                  <w:sz w:val="20"/>
                  <w:u w:val="single"/>
                </w:rPr>
                <w:t xml:space="preserve">, incorporated </w:t>
              </w:r>
            </w:hyperlink>
            <w:hyperlink r:id="rId11">
              <w:r>
                <w:rPr>
                  <w:rStyle w:val="InternetLink"/>
                  <w:rFonts w:ascii="Times New Roman;serif" w:hAnsi="Times New Roman;serif"/>
                  <w:b w:val="false"/>
                  <w:color w:val="000080"/>
                  <w:sz w:val="20"/>
                  <w:u w:val="single"/>
                </w:rPr>
                <w:t>by reference to Exhibit 3.</w:t>
              </w:r>
            </w:hyperlink>
            <w:hyperlink r:id="rId12">
              <w:r>
                <w:rPr>
                  <w:rStyle w:val="InternetLink"/>
                  <w:rFonts w:ascii="Times New Roman;serif" w:hAnsi="Times New Roman;serif"/>
                  <w:b w:val="false"/>
                  <w:color w:val="000080"/>
                  <w:sz w:val="20"/>
                  <w:u w:val="single"/>
                </w:rPr>
                <w:t>1</w:t>
              </w:r>
            </w:hyperlink>
            <w:hyperlink r:id="rId13">
              <w:r>
                <w:rPr>
                  <w:rStyle w:val="InternetLink"/>
                  <w:rFonts w:ascii="Times New Roman;serif" w:hAnsi="Times New Roman;serif"/>
                  <w:b w:val="false"/>
                  <w:color w:val="000080"/>
                  <w:sz w:val="20"/>
                  <w:u w:val="single"/>
                </w:rPr>
                <w:t xml:space="preserve"> to the Current Report on Form 8-K of General Motors Company filed </w:t>
              </w:r>
            </w:hyperlink>
            <w:hyperlink r:id="rId14">
              <w:r>
                <w:rPr>
                  <w:rStyle w:val="InternetLink"/>
                  <w:rFonts w:ascii="Times New Roman;serif" w:hAnsi="Times New Roman;serif"/>
                  <w:b w:val="false"/>
                  <w:color w:val="000080"/>
                  <w:sz w:val="20"/>
                  <w:u w:val="single"/>
                </w:rPr>
                <w:t>June</w:t>
              </w:r>
            </w:hyperlink>
            <w:hyperlink r:id="rId15">
              <w:r>
                <w:rPr>
                  <w:rStyle w:val="InternetLink"/>
                  <w:rFonts w:ascii="Times New Roman;serif" w:hAnsi="Times New Roman;serif"/>
                  <w:b w:val="false"/>
                  <w:color w:val="000080"/>
                  <w:sz w:val="20"/>
                  <w:u w:val="single"/>
                </w:rPr>
                <w:t xml:space="preserve"> </w:t>
              </w:r>
            </w:hyperlink>
            <w:hyperlink r:id="rId16">
              <w:r>
                <w:rPr>
                  <w:rStyle w:val="InternetLink"/>
                  <w:rFonts w:ascii="Times New Roman;serif" w:hAnsi="Times New Roman;serif"/>
                  <w:b w:val="false"/>
                  <w:color w:val="000080"/>
                  <w:sz w:val="20"/>
                  <w:u w:val="single"/>
                </w:rPr>
                <w:t>5</w:t>
              </w:r>
            </w:hyperlink>
            <w:hyperlink r:id="rId17">
              <w:r>
                <w:rPr>
                  <w:rStyle w:val="InternetLink"/>
                  <w:rFonts w:ascii="Times New Roman;serif" w:hAnsi="Times New Roman;serif"/>
                  <w:b w:val="false"/>
                  <w:color w:val="000080"/>
                  <w:sz w:val="20"/>
                  <w:u w:val="single"/>
                </w:rPr>
                <w:t>, 20</w:t>
              </w:r>
            </w:hyperlink>
            <w:hyperlink r:id="rId18">
              <w:r>
                <w:rPr>
                  <w:rStyle w:val="InternetLink"/>
                  <w:rFonts w:ascii="Times New Roman;serif" w:hAnsi="Times New Roman;serif"/>
                  <w:b w:val="false"/>
                  <w:color w:val="000080"/>
                  <w:sz w:val="20"/>
                  <w:u w:val="single"/>
                </w:rPr>
                <w:t>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General Motors Company Amended and Restated Bylaws, as amended October 4, 2024, incorporated by reference to Exhibit 3.1 to the Current Report on Form 8-K of General Motors Company filed October 9,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"https://www.sec.gov/Archives/edgar/data/1467858/000146785826000022/gm-20260420.htm" \l "idd7ec7bd38b646a0a19839f0dfb7e9b4_549755815101"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Amendment No. 2 to the General Motors Company 2020 Long-Term Incentive Plan, incorporated by reference to Appendix B of the Definitive Proxy Statement of General Motors Company filed April 20, 2026</w:t>
            </w:r>
            <w:r>
              <w:rPr>
                <w:rStyle w:val="InternetLink"/>
                <w:sz w:val="20"/>
                <w:u w:val="single"/>
                <w:b w:val="false"/>
                <w:rFonts w:ascii="Times New Roman;serif" w:hAnsi="Times New Roman;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x06302026.htm">
              <w:r>
                <w:rPr>
                  <w:rStyle w:val="InternetLink"/>
                  <w:rFonts w:ascii="Times New Roman;serif" w:hAnsi="Times New Roman;serif"/>
                  <w:b w:val="false"/>
                  <w:color w:val="0000FF"/>
                  <w:sz w:val="20"/>
                  <w:u w:val="single"/>
                </w:rPr>
                <w:t>Section 302 Certification of the Chief Executive Officer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2x06302026.htm">
              <w:r>
                <w:rPr>
                  <w:rStyle w:val="InternetLink"/>
                  <w:rFonts w:ascii="Times New Roman;serif" w:hAnsi="Times New Roman;serif"/>
                  <w:b w:val="false"/>
                  <w:color w:val="0000FF"/>
                  <w:sz w:val="20"/>
                  <w:u w:val="single"/>
                </w:rPr>
                <w:t>Section 302 Certification of the Chief Financial Officer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x06302026.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with this Report</w:t>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Company’s Quarterly Report on Form 10-Q for the three months ended June 30, 2026, formatted in Inline Extensible Business Reporting Language (Inline XBRL) includes: (i) the Condensed Consolidated Income Statements, (ii) the Condensed Consolidated Statements of Comprehensive Income, (iii) the Condensed Consolidated Balance Sheets, (iv) the Condensed Consolidated Statements of Cash Flows, (v) the Condensed Consolidated Statements of Equity, and (vi) Notes to the Condensed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three months ended June 30, 2026,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Management contracts or compensatory plans and arrangements.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072256cc4f504880aad37a56122eeb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5"/>
        <w:gridCol w:w="172"/>
        <w:gridCol w:w="173"/>
        <w:gridCol w:w="349"/>
        <w:gridCol w:w="349"/>
        <w:gridCol w:w="352"/>
        <w:gridCol w:w="109"/>
        <w:gridCol w:w="109"/>
        <w:gridCol w:w="109"/>
        <w:gridCol w:w="542"/>
        <w:gridCol w:w="542"/>
        <w:gridCol w:w="542"/>
        <w:gridCol w:w="2155"/>
        <w:gridCol w:w="2041"/>
        <w:gridCol w:w="2089"/>
        <w:gridCol w:w="109"/>
        <w:gridCol w:w="109"/>
        <w:gridCol w:w="159"/>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MOTORS COMPANY (Registrant)</w:t>
            </w:r>
          </w:p>
          <w:p>
            <w:pPr>
              <w:pStyle w:val="TableContents"/>
              <w:bidi w:val="0"/>
              <w:spacing w:before="0" w:after="0"/>
              <w:jc w:val="left"/>
              <w:rPr/>
            </w:pPr>
            <w:r>
              <w:rPr/>
            </w:r>
          </w:p>
          <w:p>
            <w:pPr>
              <w:pStyle w:val="TableContents"/>
              <w:bidi w:val="0"/>
              <w:spacing w:before="0" w:after="0"/>
              <w:jc w:val="left"/>
              <w:rPr/>
            </w:pPr>
            <w:r>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T. HATTO</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T. Hatto, Vice President, Global Business Solutions and Chief Accounting Officer</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Mary T. Barra, certify that: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General Motors Company;</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007"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954"/>
        <w:gridCol w:w="954"/>
        <w:gridCol w:w="95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T. BARRA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T. Barra</w:t>
              <w:br/>
              <w:t>Chair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July 21, 2026</w:t>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Paul A. Jacobson, certify that: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General Motors Company;</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both"/>
        <w:rPr/>
      </w:pPr>
      <w:r>
        <w:rPr/>
      </w:r>
    </w:p>
    <w:tbl>
      <w:tblPr>
        <w:tblW w:w="6536"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463"/>
        <w:gridCol w:w="1463"/>
        <w:gridCol w:w="146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A. JACOBSON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A. Jacobson</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July 21, 2026</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MOTORS COMPANY AND SUBSIDIARIES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General Motors Company (the “Company”) on Form 10-Q for the period ended June 30, 2026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tbl>
      <w:tblPr>
        <w:tblW w:w="6536"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463"/>
        <w:gridCol w:w="1463"/>
        <w:gridCol w:w="146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T. BARRA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T. Barra</w:t>
              <w:br/>
              <w:t>Chair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A. JACOBSON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A. Jacobson</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July 21, 2026</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67858/000146785825000112/amendedandrestatedcharter.htm" TargetMode="External"/><Relationship Id="rId4" Type="http://schemas.openxmlformats.org/officeDocument/2006/relationships/hyperlink" Target="https://www.sec.gov/Archives/edgar/data/1467858/000146785825000112/amendedandrestatedcharter.htm" TargetMode="External"/><Relationship Id="rId5" Type="http://schemas.openxmlformats.org/officeDocument/2006/relationships/hyperlink" Target="https://www.sec.gov/Archives/edgar/data/1467858/000146785825000112/amendedandrestatedcharter.htm" TargetMode="External"/><Relationship Id="rId6" Type="http://schemas.openxmlformats.org/officeDocument/2006/relationships/hyperlink" Target="https://www.sec.gov/Archives/edgar/data/1467858/000146785825000112/amendedandrestatedcharter.htm" TargetMode="External"/><Relationship Id="rId7" Type="http://schemas.openxmlformats.org/officeDocument/2006/relationships/hyperlink" Target="https://www.sec.gov/Archives/edgar/data/1467858/000146785825000112/amendedandrestatedcharter.htm" TargetMode="External"/><Relationship Id="rId8" Type="http://schemas.openxmlformats.org/officeDocument/2006/relationships/hyperlink" Target="https://www.sec.gov/Archives/edgar/data/1467858/000146785825000112/amendedandrestatedcharter.htm" TargetMode="External"/><Relationship Id="rId9" Type="http://schemas.openxmlformats.org/officeDocument/2006/relationships/hyperlink" Target="https://www.sec.gov/Archives/edgar/data/1467858/000146785825000112/amendedandrestatedcharter.htm" TargetMode="External"/><Relationship Id="rId10" Type="http://schemas.openxmlformats.org/officeDocument/2006/relationships/hyperlink" Target="https://www.sec.gov/Archives/edgar/data/1467858/000146785825000112/amendedandrestatedcharter.htm" TargetMode="External"/><Relationship Id="rId11" Type="http://schemas.openxmlformats.org/officeDocument/2006/relationships/hyperlink" Target="https://www.sec.gov/Archives/edgar/data/1467858/000146785825000112/amendedandrestatedcharter.htm" TargetMode="External"/><Relationship Id="rId12" Type="http://schemas.openxmlformats.org/officeDocument/2006/relationships/hyperlink" Target="https://www.sec.gov/Archives/edgar/data/1467858/000146785825000112/amendedandrestatedcharter.htm" TargetMode="External"/><Relationship Id="rId13" Type="http://schemas.openxmlformats.org/officeDocument/2006/relationships/hyperlink" Target="https://www.sec.gov/Archives/edgar/data/1467858/000146785825000112/amendedandrestatedcharter.htm" TargetMode="External"/><Relationship Id="rId14" Type="http://schemas.openxmlformats.org/officeDocument/2006/relationships/hyperlink" Target="https://www.sec.gov/Archives/edgar/data/1467858/000146785825000112/amendedandrestatedcharter.htm" TargetMode="External"/><Relationship Id="rId15" Type="http://schemas.openxmlformats.org/officeDocument/2006/relationships/hyperlink" Target="https://www.sec.gov/Archives/edgar/data/1467858/000146785825000112/amendedandrestatedcharter.htm" TargetMode="External"/><Relationship Id="rId16" Type="http://schemas.openxmlformats.org/officeDocument/2006/relationships/hyperlink" Target="https://www.sec.gov/Archives/edgar/data/1467858/000146785825000112/amendedandrestatedcharter.htm" TargetMode="External"/><Relationship Id="rId17" Type="http://schemas.openxmlformats.org/officeDocument/2006/relationships/hyperlink" Target="https://www.sec.gov/Archives/edgar/data/1467858/000146785825000112/amendedandrestatedcharter.htm" TargetMode="External"/><Relationship Id="rId18" Type="http://schemas.openxmlformats.org/officeDocument/2006/relationships/hyperlink" Target="https://www.sec.gov/Archives/edgar/data/1467858/000146785825000112/amendedandrestatedcharter.htm" TargetMode="External"/><Relationship Id="rId19" Type="http://schemas.openxmlformats.org/officeDocument/2006/relationships/hyperlink" Target="https://www.sec.gov/Archives/edgar/data/1467858/000119312524235250/d895658dex3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28437</Words>
  <Characters>153632</Characters>
  <CharactersWithSpaces>179030</CharactersWithSpaces>
  <Paragraphs>5975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