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34" w:lineRule="exact"/>
        <w:rPr>
          <w:sz w:val="24"/>
          <w:szCs w:val="24"/>
          <w:color w:val="auto"/>
        </w:rPr>
      </w:pPr>
    </w:p>
    <w:p>
      <w:pPr>
        <w:ind w:left="660" w:right="2140" w:hanging="634"/>
        <w:spacing w:after="0" w:line="237"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21" w:lineRule="exact"/>
        <w:rPr>
          <w:sz w:val="24"/>
          <w:szCs w:val="24"/>
          <w:color w:val="auto"/>
        </w:rPr>
      </w:pPr>
    </w:p>
    <w:p>
      <w:pPr>
        <w:ind w:left="660" w:right="2120" w:hanging="634"/>
        <w:spacing w:after="0" w:line="23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5"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171450</wp:posOffset>
            </wp:positionV>
            <wp:extent cx="463740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740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27-0756180</w:t>
            </w:r>
          </w:p>
        </w:tc>
      </w:tr>
      <w:tr>
        <w:trPr>
          <w:trHeight w:val="230"/>
        </w:trPr>
        <w:tc>
          <w:tcPr>
            <w:tcW w:w="4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incorporation or organization)</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4"/>
              </w:rPr>
              <w:t>Identification No.)</w:t>
            </w:r>
          </w:p>
        </w:tc>
      </w:tr>
      <w:tr>
        <w:trPr>
          <w:trHeight w:val="322"/>
        </w:trPr>
        <w:tc>
          <w:tcPr>
            <w:tcW w:w="45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300 Renaissance Center, Detroit, Michigan</w:t>
            </w:r>
          </w:p>
        </w:tc>
        <w:tc>
          <w:tcPr>
            <w:tcW w:w="248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1"/>
        </w:trPr>
        <w:tc>
          <w:tcPr>
            <w:tcW w:w="4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4"/>
              </w:rPr>
              <w:t>(Zip Code)</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7"/>
                <w:szCs w:val="17"/>
                <w:color w:val="auto"/>
                <w:w w:val="91"/>
              </w:rPr>
              <w:t>Title of each class</w:t>
            </w:r>
          </w:p>
        </w:tc>
        <w:tc>
          <w:tcPr>
            <w:tcW w:w="2480" w:type="dxa"/>
            <w:vAlign w:val="bottom"/>
            <w:gridSpan w:val="3"/>
          </w:tcPr>
          <w:p>
            <w:pPr>
              <w:jc w:val="center"/>
              <w:ind w:left="94"/>
              <w:spacing w:after="0"/>
              <w:rPr>
                <w:sz w:val="20"/>
                <w:szCs w:val="20"/>
                <w:color w:val="auto"/>
              </w:rPr>
            </w:pPr>
            <w:r>
              <w:rPr>
                <w:rFonts w:ascii="Arial" w:cs="Arial" w:eastAsia="Arial" w:hAnsi="Arial"/>
                <w:sz w:val="17"/>
                <w:szCs w:val="17"/>
                <w:color w:val="auto"/>
                <w:w w:val="93"/>
              </w:rPr>
              <w:t>Trading Symbol(s)</w:t>
            </w:r>
          </w:p>
        </w:tc>
        <w:tc>
          <w:tcPr>
            <w:tcW w:w="3540" w:type="dxa"/>
            <w:vAlign w:val="bottom"/>
            <w:gridSpan w:val="2"/>
          </w:tcPr>
          <w:p>
            <w:pPr>
              <w:jc w:val="center"/>
              <w:ind w:left="394"/>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35"/>
        </w:trPr>
        <w:tc>
          <w:tcPr>
            <w:tcW w:w="292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Common Stock, $0.01 par value</w:t>
            </w:r>
          </w:p>
        </w:tc>
        <w:tc>
          <w:tcPr>
            <w:tcW w:w="680" w:type="dxa"/>
            <w:vAlign w:val="bottom"/>
          </w:tcPr>
          <w:p>
            <w:pPr>
              <w:spacing w:after="0"/>
              <w:rPr>
                <w:sz w:val="20"/>
                <w:szCs w:val="20"/>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GM</w:t>
            </w:r>
          </w:p>
        </w:tc>
        <w:tc>
          <w:tcPr>
            <w:tcW w:w="4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118" w:lineRule="exact"/>
        <w:rPr>
          <w:sz w:val="24"/>
          <w:szCs w:val="24"/>
          <w:color w:val="auto"/>
        </w:rPr>
      </w:pPr>
    </w:p>
    <w:p>
      <w:pPr>
        <w:jc w:val="both"/>
        <w:ind w:firstLine="121"/>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121"/>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81"/>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1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jc w:val="both"/>
        <w:ind w:firstLine="81"/>
        <w:spacing w:after="0" w:line="22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left="80" w:right="218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19, 2020 there were 1,431,307,600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764540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jc w:val="center"/>
              <w:ind w:left="110"/>
              <w:spacing w:after="0"/>
              <w:rPr>
                <w:sz w:val="20"/>
                <w:szCs w:val="20"/>
                <w:color w:val="auto"/>
              </w:rPr>
            </w:pPr>
            <w:r>
              <w:rPr>
                <w:rFonts w:ascii="Arial" w:cs="Arial" w:eastAsia="Arial" w:hAnsi="Arial"/>
                <w:sz w:val="18"/>
                <w:szCs w:val="18"/>
                <w:b w:val="1"/>
                <w:bCs w:val="1"/>
                <w:color w:val="auto"/>
              </w:rPr>
              <w:t>INDEX</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8"/>
              </w:rPr>
              <w:t>PART I</w:t>
            </w:r>
          </w:p>
        </w:tc>
        <w:tc>
          <w:tcPr>
            <w:tcW w:w="2160" w:type="dxa"/>
            <w:vAlign w:val="bottom"/>
            <w:gridSpan w:val="4"/>
          </w:tcPr>
          <w:p>
            <w:pPr>
              <w:ind w:left="1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10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Condensed Consolidated Financial Statements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Condensed Consolidated Income Statements (Unaudited)</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Condensed Consolidated Statements of Comprehensive Income (Unaudited)</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Condensed Consolidated Balance Sheets (Unaudited)</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Condensed Consolidated Statements of Cash Flows (Unaudited)</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Condensed Consolidated Statements of Equity (Unaudited)</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w:t>
            </w:r>
          </w:p>
        </w:tc>
        <w:tc>
          <w:tcPr>
            <w:tcW w:w="7100" w:type="dxa"/>
            <w:vAlign w:val="bottom"/>
          </w:tcPr>
          <w:p>
            <w:pPr>
              <w:ind w:left="60"/>
              <w:spacing w:after="0"/>
              <w:rPr>
                <w:sz w:val="20"/>
                <w:szCs w:val="20"/>
                <w:color w:val="auto"/>
              </w:rPr>
            </w:pPr>
            <w:r>
              <w:rPr>
                <w:rFonts w:ascii="Arial" w:cs="Arial" w:eastAsia="Arial" w:hAnsi="Arial"/>
                <w:sz w:val="18"/>
                <w:szCs w:val="18"/>
                <w:color w:val="auto"/>
              </w:rPr>
              <w:t>Nature of Operations and Basis of Presentation</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2.</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Significant Accounting Policies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3.</w:t>
            </w:r>
          </w:p>
        </w:tc>
        <w:tc>
          <w:tcPr>
            <w:tcW w:w="7100" w:type="dxa"/>
            <w:vAlign w:val="bottom"/>
          </w:tcPr>
          <w:p>
            <w:pPr>
              <w:ind w:left="60"/>
              <w:spacing w:after="0"/>
              <w:rPr>
                <w:sz w:val="20"/>
                <w:szCs w:val="20"/>
                <w:color w:val="auto"/>
              </w:rPr>
            </w:pPr>
            <w:r>
              <w:rPr>
                <w:rFonts w:ascii="Arial" w:cs="Arial" w:eastAsia="Arial" w:hAnsi="Arial"/>
                <w:sz w:val="18"/>
                <w:szCs w:val="18"/>
                <w:color w:val="auto"/>
              </w:rPr>
              <w:t>Revenue</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4.</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Marketable and Other Securities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5.</w:t>
            </w:r>
          </w:p>
        </w:tc>
        <w:tc>
          <w:tcPr>
            <w:tcW w:w="7100" w:type="dxa"/>
            <w:vAlign w:val="bottom"/>
          </w:tcPr>
          <w:p>
            <w:pPr>
              <w:ind w:left="60"/>
              <w:spacing w:after="0"/>
              <w:rPr>
                <w:sz w:val="20"/>
                <w:szCs w:val="20"/>
                <w:color w:val="auto"/>
              </w:rPr>
            </w:pPr>
            <w:r>
              <w:rPr>
                <w:rFonts w:ascii="Arial" w:cs="Arial" w:eastAsia="Arial" w:hAnsi="Arial"/>
                <w:sz w:val="18"/>
                <w:szCs w:val="18"/>
                <w:color w:val="auto"/>
              </w:rPr>
              <w:t>GM Financial Receivables and Transactions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6.</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Inventories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7.</w:t>
            </w:r>
          </w:p>
        </w:tc>
        <w:tc>
          <w:tcPr>
            <w:tcW w:w="7100" w:type="dxa"/>
            <w:vAlign w:val="bottom"/>
          </w:tcPr>
          <w:p>
            <w:pPr>
              <w:ind w:left="60"/>
              <w:spacing w:after="0"/>
              <w:rPr>
                <w:sz w:val="20"/>
                <w:szCs w:val="20"/>
                <w:color w:val="auto"/>
              </w:rPr>
            </w:pPr>
            <w:r>
              <w:rPr>
                <w:rFonts w:ascii="Arial" w:cs="Arial" w:eastAsia="Arial" w:hAnsi="Arial"/>
                <w:sz w:val="18"/>
                <w:szCs w:val="18"/>
                <w:color w:val="auto"/>
              </w:rPr>
              <w:t>Equipment on Operating Leases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8.</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 in Net Assets of Nonconsolidated Affiliates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9.</w:t>
            </w:r>
          </w:p>
        </w:tc>
        <w:tc>
          <w:tcPr>
            <w:tcW w:w="7100" w:type="dxa"/>
            <w:vAlign w:val="bottom"/>
          </w:tcPr>
          <w:p>
            <w:pPr>
              <w:ind w:left="60"/>
              <w:spacing w:after="0"/>
              <w:rPr>
                <w:sz w:val="20"/>
                <w:szCs w:val="20"/>
                <w:color w:val="auto"/>
              </w:rPr>
            </w:pPr>
            <w:r>
              <w:rPr>
                <w:rFonts w:ascii="Arial" w:cs="Arial" w:eastAsia="Arial" w:hAnsi="Arial"/>
                <w:sz w:val="18"/>
                <w:szCs w:val="18"/>
                <w:color w:val="auto"/>
              </w:rPr>
              <w:t>Goodwill</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10.</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Interest Entities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11.</w:t>
            </w:r>
          </w:p>
        </w:tc>
        <w:tc>
          <w:tcPr>
            <w:tcW w:w="7100" w:type="dxa"/>
            <w:vAlign w:val="bottom"/>
          </w:tcPr>
          <w:p>
            <w:pPr>
              <w:ind w:left="60"/>
              <w:spacing w:after="0"/>
              <w:rPr>
                <w:sz w:val="20"/>
                <w:szCs w:val="20"/>
                <w:color w:val="auto"/>
              </w:rPr>
            </w:pPr>
            <w:r>
              <w:rPr>
                <w:rFonts w:ascii="Arial" w:cs="Arial" w:eastAsia="Arial" w:hAnsi="Arial"/>
                <w:sz w:val="18"/>
                <w:szCs w:val="18"/>
                <w:color w:val="auto"/>
              </w:rPr>
              <w:t>Debt</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12.</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Derivative Financial Instruments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13.</w:t>
            </w:r>
          </w:p>
        </w:tc>
        <w:tc>
          <w:tcPr>
            <w:tcW w:w="7100" w:type="dxa"/>
            <w:vAlign w:val="bottom"/>
          </w:tcPr>
          <w:p>
            <w:pPr>
              <w:ind w:left="60"/>
              <w:spacing w:after="0"/>
              <w:rPr>
                <w:sz w:val="20"/>
                <w:szCs w:val="20"/>
                <w:color w:val="auto"/>
              </w:rPr>
            </w:pPr>
            <w:r>
              <w:rPr>
                <w:rFonts w:ascii="Arial" w:cs="Arial" w:eastAsia="Arial" w:hAnsi="Arial"/>
                <w:sz w:val="18"/>
                <w:szCs w:val="18"/>
                <w:color w:val="auto"/>
              </w:rPr>
              <w:t>Accrued and Other Liabilities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14.</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Pensions and Other Postretirement Benefits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15.</w:t>
            </w:r>
          </w:p>
        </w:tc>
        <w:tc>
          <w:tcPr>
            <w:tcW w:w="710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16.</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Taxes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17.</w:t>
            </w:r>
          </w:p>
        </w:tc>
        <w:tc>
          <w:tcPr>
            <w:tcW w:w="7100" w:type="dxa"/>
            <w:vAlign w:val="bottom"/>
          </w:tcPr>
          <w:p>
            <w:pPr>
              <w:ind w:left="60"/>
              <w:spacing w:after="0"/>
              <w:rPr>
                <w:sz w:val="20"/>
                <w:szCs w:val="20"/>
                <w:color w:val="auto"/>
              </w:rPr>
            </w:pPr>
            <w:r>
              <w:rPr>
                <w:rFonts w:ascii="Arial" w:cs="Arial" w:eastAsia="Arial" w:hAnsi="Arial"/>
                <w:sz w:val="18"/>
                <w:szCs w:val="18"/>
                <w:color w:val="auto"/>
              </w:rPr>
              <w:t>Restructuring and Other Initiatives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18.</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 and Noncontrolling Interests</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Note 19.</w:t>
            </w:r>
          </w:p>
        </w:tc>
        <w:tc>
          <w:tcPr>
            <w:tcW w:w="7100" w:type="dxa"/>
            <w:vAlign w:val="bottom"/>
          </w:tcPr>
          <w:p>
            <w:pPr>
              <w:ind w:left="60"/>
              <w:spacing w:after="0"/>
              <w:rPr>
                <w:sz w:val="20"/>
                <w:szCs w:val="20"/>
                <w:color w:val="auto"/>
              </w:rPr>
            </w:pPr>
            <w:r>
              <w:rPr>
                <w:rFonts w:ascii="Arial" w:cs="Arial" w:eastAsia="Arial" w:hAnsi="Arial"/>
                <w:sz w:val="18"/>
                <w:szCs w:val="18"/>
                <w:color w:val="auto"/>
              </w:rPr>
              <w:t>Earnings Per Share</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20.</w:t>
            </w:r>
          </w:p>
        </w:tc>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Segment Reporting</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rPr>
              <w:t>PART II</w:t>
            </w: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1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Risk Factors</w:t>
            </w:r>
          </w:p>
        </w:tc>
        <w:tc>
          <w:tcPr>
            <w:tcW w:w="71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1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71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140" w:type="dxa"/>
            <w:vAlign w:val="bottom"/>
            <w:gridSpan w:val="3"/>
          </w:tcPr>
          <w:p>
            <w:pPr>
              <w:jc w:val="right"/>
              <w:ind w:righ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8"/>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8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68"/>
        </w:trPr>
        <w:tc>
          <w:tcPr>
            <w:tcW w:w="5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88"/>
              </w:rPr>
              <w:t>September 30, 2019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88"/>
              </w:rPr>
              <w:t>September 30, 2019</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95,503</w:t>
            </w:r>
          </w:p>
        </w:tc>
      </w:tr>
      <w:tr>
        <w:trPr>
          <w:trHeight w:val="213"/>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10,908</w:t>
            </w:r>
          </w:p>
        </w:tc>
      </w:tr>
      <w:tr>
        <w:trPr>
          <w:trHeight w:val="213"/>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net sales and revenue (Note 3)</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106,411</w:t>
            </w:r>
          </w:p>
        </w:tc>
      </w:tr>
      <w:tr>
        <w:trPr>
          <w:trHeight w:val="193"/>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 and other cost of sales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84,730</w:t>
            </w: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GM Financial interest, operating and other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9,437</w:t>
            </w: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 and other selling, general and administrative expense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w:t>
            </w:r>
          </w:p>
        </w:tc>
      </w:tr>
      <w:tr>
        <w:trPr>
          <w:trHeight w:val="20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100,376</w:t>
            </w:r>
          </w:p>
        </w:tc>
      </w:tr>
      <w:tr>
        <w:trPr>
          <w:trHeight w:val="212"/>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(Note 8)</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7,791</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(Note 16)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r>
      <w:tr>
        <w:trPr>
          <w:trHeight w:val="21"/>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w:t>
            </w:r>
          </w:p>
        </w:tc>
      </w:tr>
      <w:tr>
        <w:trPr>
          <w:trHeight w:val="54"/>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200" w:type="dxa"/>
            <w:vAlign w:val="bottom"/>
          </w:tcPr>
          <w:p>
            <w:pPr>
              <w:ind w:left="120"/>
              <w:spacing w:after="0"/>
              <w:rPr>
                <w:sz w:val="20"/>
                <w:szCs w:val="20"/>
                <w:color w:val="auto"/>
              </w:rPr>
            </w:pPr>
            <w:r>
              <w:rPr>
                <w:rFonts w:ascii="Arial" w:cs="Arial" w:eastAsia="Arial" w:hAnsi="Arial"/>
                <w:sz w:val="16"/>
                <w:szCs w:val="16"/>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common shares outstanding – basic</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54"/>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50"/>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Weighted-average common shares outstanding – diluted</w:t>
            </w: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1,439</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5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88"/>
              </w:rPr>
              <w:t>September 30, 2019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88"/>
              </w:rPr>
              <w:t>September 30, 2019</w:t>
            </w:r>
          </w:p>
        </w:tc>
      </w:tr>
      <w:tr>
        <w:trPr>
          <w:trHeight w:val="215"/>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18)</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adjustments and other</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6,881</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3,991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6,968</w:t>
            </w: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7"/>
        </w:trPr>
        <w:tc>
          <w:tcPr>
            <w:tcW w:w="784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19,069</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Marketable debt securities (Note 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and notes receivable,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GM Financial receivables, net (Note 5; Note 10 at VIEs)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26,601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(Note 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 (Note 4; Note 10 at VIEs)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GM Financial receivables, net (Note 5; Note 10 at VIEs)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26,355</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Equity in net assets of nonconsolidated affiliates (Note 8)</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8,562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Goodwill and intangible assets,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Equipment on operating leases, net (Note 7; Note 10 at VIEs)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42,055</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23,970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24,640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 (Note 4; Note 10 at VIEs)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153,045</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(principally trade)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21,018</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 (Note 11)</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GM Financial (Note 10 at VIEs)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35,503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 (Note 13)</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26,487</w:t>
            </w:r>
          </w:p>
        </w:tc>
        <w:tc>
          <w:tcPr>
            <w:tcW w:w="0" w:type="dxa"/>
            <w:vAlign w:val="bottom"/>
          </w:tcPr>
          <w:p>
            <w:pPr>
              <w:spacing w:after="0"/>
              <w:rPr>
                <w:sz w:val="1"/>
                <w:szCs w:val="1"/>
                <w:color w:val="auto"/>
              </w:rPr>
            </w:pPr>
          </w:p>
        </w:tc>
      </w:tr>
      <w:tr>
        <w:trPr>
          <w:trHeight w:val="207"/>
        </w:trPr>
        <w:tc>
          <w:tcPr>
            <w:tcW w:w="784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80,603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84,905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Long-term debt (Note 11)</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GM Financial (Note 10 at VIEs)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53,435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Postretirement benefits other than pensions (Note 14)</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Pensions (Note 14)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12,170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 (Note 13)</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97,175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(Note 15)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 (Note 18)</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Common stock, $0.01 par value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0" w:type="dxa"/>
            <w:vAlign w:val="bottom"/>
          </w:tcPr>
          <w:p>
            <w:pPr>
              <w:spacing w:after="0"/>
              <w:rPr>
                <w:sz w:val="1"/>
                <w:szCs w:val="1"/>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07"/>
        </w:trPr>
        <w:tc>
          <w:tcPr>
            <w:tcW w:w="784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43,341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41,792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45,957</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September 30, 2019</w:t>
            </w:r>
          </w:p>
        </w:tc>
      </w:tr>
      <w:tr>
        <w:trPr>
          <w:trHeight w:val="19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Depreciation and impairment of Equipment on operating leases,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5,573</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 charges on Property,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Foreign currency remeasurement and transaction (gains) losses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Undistributed earnings of nonconsolidated affiliates,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Pension contributions and OPEB payments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Pension and OPEB income,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Provision for deferred taxes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other operating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11,548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Expenditures for property</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(4,852)</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Available-for-sale marketable securities, acquisitions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Available-for-sale marketable securities, liquidations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2,587</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finance receivables,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(19,027)</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Principal collections and recoveries on finance receivables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17,088</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leased vehicles,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(12,488)</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Proceeds from termination of leased vehicles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9,983</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(9,691)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Net increase in short-term debt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27,835</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Payments on debt (original maturities greater than three months)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(50,659)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(29,432)</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subsidiary preferred stock (Note 18)</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3"/>
        </w:trPr>
        <w:tc>
          <w:tcPr>
            <w:tcW w:w="784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(1,792)</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(2,345)</w:t>
            </w:r>
          </w:p>
        </w:tc>
      </w:tr>
      <w:tr>
        <w:trPr>
          <w:trHeight w:val="219"/>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6"/>
        </w:trPr>
        <w:tc>
          <w:tcPr>
            <w:tcW w:w="7840" w:type="dxa"/>
            <w:vAlign w:val="bottom"/>
          </w:tcPr>
          <w:p>
            <w:pPr>
              <w:ind w:left="1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9"/>
        </w:trPr>
        <w:tc>
          <w:tcPr>
            <w:tcW w:w="7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Stockholders’</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22,322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42,777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25,661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23,939</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44,638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18)</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25,765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25,807</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4,273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47,089</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18)</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September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25,928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27,609</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4,217</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48,771</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26,074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26,860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(11,156)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4,165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accounting standards (Note 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26,014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25,885</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(11,800)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25,104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43,493</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4,018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18)</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48,008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200"/>
          </w:cols>
          <w:pgMar w:left="320" w:top="125" w:right="3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operating segments: GM North America (GMNA), GM International Operations (GMIO), GM South America (GMSA), Cruise, and GM Financial. Our GMSA and GMIO operating segments are reported as one, combined international segment, GM International (GMI).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20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2019 Form 10-K. Except for per share amounts or as otherwise specified, dollar amounts presented within tables are stated in millions.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We consolidate entities that we control due to ownership of a majority voting interest and we consolidate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2020, we adopted Accounting Standards Update (ASU) 2016-13,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(Topic 326): Measurement of Credit Losses on Financial Instruments" (ASU 2016-13), which requires entities to use a new impairment model based on current expected credit losses (CECL) rather than incurred losses. Estimated credit losses under CECL consider relevant information about past events, current conditions and reasonable and supportable forecasts that affect the collectability of financial assets, resulting in recognition of lifetime expected credit losses at initial recognition of the related asset. We adopted ASU 2016-13 on a modified retrospective basis by recognizing an after-tax cumulative-effect adjustment to the opening balance of Retained earnings of $660 million, inclusive of $643 million related to GM Financial. The application of ASU 2016-13 increased our allowance for loan losses related to GM Financial receivables, net by $801 million and had an insignificant impact to our allowance for credit losses for Accounts and notes receivable and no adoption impact to Marketable debt securities on our condensed consolidated balance sheets.</w:t>
      </w:r>
    </w:p>
    <w:p>
      <w:pPr>
        <w:spacing w:after="0" w:line="21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6"/>
          <w:szCs w:val="16"/>
          <w:color w:val="auto"/>
        </w:rPr>
        <w:t>In March 2020, the Financial Accounting Standards Board issued ASU 2020-04, “Reference Rate Reform (Topic 848): Facilitation of the Effects of Reference Rate Reform on Financial Reporting” (ASU 2020-04), which provides optional expedients and exceptions for applying U.S. GAAP if certain criteria are met to contracts, hedging relationships and other transactions that reference LIBOR or another reference rate expected to be discontinued. We do not believe the discontinuance of LIBOR will be a significant event for our Automotive arrangements. A substantial portion of GM Financial’s indebtedness bears interest at variable interest rates, primarily based on USD-LIBOR. Effective July 1, 2020, we adopted ASU 2020-04 on a prospective basis. The adoption of, and future elections under, ASU 2020-04 are not expected to have a material impact on our condensed consolidated financial statements as the standard will ease, if warranted, the requirements for accounting for the future effects of the rate reform. We continue to monitor the impact the discontinuance of LIBOR or another reference rate will have on GM Financial's contracts, hedging relationships and other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62"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The information presented on Marketable Debt Securities, Accounts and Notes Receivable and GM Financial Receivables supplements the Significant Accounting Policies information presented in our 2019 Form 10-K to reflect the adoption of ASU 2016-13 that became effective January 1, 2020. See our 2019 Form 10-K for a description of our significant accounting policies in effect prior to the adoption of ASU 2016-13.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investment guidelines, are considered in determining the classification of securities. Available-for-sale debt securities are recorded at fair value with unrealized gains, and losses that are not credit related, recorded net of applicable taxes in Accumulated other comprehensive loss until realized. Credit losses are recorded in Interest income and other non-operating income, net.</w:t>
      </w:r>
    </w:p>
    <w:p>
      <w:pPr>
        <w:spacing w:after="0" w:line="11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evaluation is made quarterly to determine if any portion of unrealized losses on available-for-sale debt securities is related to credit losses or whether any unrealized losses recorded in Accumulated other comprehensive loss need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and Notes Receivable </w:t>
      </w:r>
      <w:r>
        <w:rPr>
          <w:rFonts w:ascii="Arial" w:cs="Arial" w:eastAsia="Arial" w:hAnsi="Arial"/>
          <w:sz w:val="18"/>
          <w:szCs w:val="18"/>
          <w:color w:val="auto"/>
        </w:rPr>
        <w:t>Accounts and notes receivable primarily consists of amounts that are due and payable from our customers for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and reported in Automotive and other selling, general and administrative expense.</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GM Financial Receivables </w:t>
      </w:r>
      <w:r>
        <w:rPr>
          <w:rFonts w:ascii="Arial" w:cs="Arial" w:eastAsia="Arial" w:hAnsi="Arial"/>
          <w:sz w:val="17"/>
          <w:szCs w:val="17"/>
          <w:color w:val="auto"/>
        </w:rPr>
        <w:t>Finance receivables are carried at amortized cost, net of allowance for loan losses. Provisions for loan losses are charged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10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Troubled debt restructurings (TDRs) are grouped separately for purposes of measuring the allowance. The allowance for TDRs uses static pool modeling techniques like non-TDR retail finance receivables to determine the expected loss amount. The expected cash flows of the receivables are then discounted at the original weighted average effective interest rate of the pool. Factors considered when estimating the allowance for TDRs are based on an evaluation of historical and current information, which may be supplemented by management judgment.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Commercial finance receivables are carried at amortized cost, net of allowance for loan losses and any amounts held under a cash management program. GM Financial establishes the allowance for loan losses based on historical loss experience, as well as the forecast for industry vehicle sales, which is the economic indicator believed to have the largest impact on expected losses.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7"/>
              </w:rPr>
              <w:t>Three Months Ended September 30, 2020</w:t>
            </w: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GM</w:t>
            </w: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07"/>
        </w:trPr>
        <w:tc>
          <w:tcPr>
            <w:tcW w:w="278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32,067</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2780" w:type="dxa"/>
            <w:vAlign w:val="bottom"/>
          </w:tcPr>
          <w:p>
            <w:pPr>
              <w:ind w:left="12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3,413</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Reclassifications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30,344</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07"/>
        </w:trPr>
        <w:tc>
          <w:tcPr>
            <w:tcW w:w="302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31,817</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2"/>
              </w:rPr>
              <w:t>Nine Months Ended September 30, 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GMI</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right"/>
              <w:ind w:right="1"/>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Total</w:t>
            </w:r>
          </w:p>
        </w:tc>
        <w:tc>
          <w:tcPr>
            <w:tcW w:w="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3"/>
          </w:tcPr>
          <w:p>
            <w:pPr>
              <w:jc w:val="center"/>
              <w:ind w:right="121"/>
              <w:spacing w:after="0" w:line="135" w:lineRule="exact"/>
              <w:rPr>
                <w:sz w:val="20"/>
                <w:szCs w:val="20"/>
                <w:color w:val="auto"/>
              </w:rPr>
            </w:pPr>
            <w:r>
              <w:rPr>
                <w:rFonts w:ascii="Arial" w:cs="Arial" w:eastAsia="Arial" w:hAnsi="Arial"/>
                <w:sz w:val="14"/>
                <w:szCs w:val="14"/>
                <w:b w:val="1"/>
                <w:bCs w:val="1"/>
                <w:color w:val="auto"/>
              </w:rPr>
              <w:t>GM</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6,950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70,519</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07"/>
        </w:trPr>
        <w:tc>
          <w:tcPr>
            <w:tcW w:w="278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7,692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74,576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74,580</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2,971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231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10,405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3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7,692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10,405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5"/>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rPr>
              <w:t>GMI</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Cruise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ind w:left="180"/>
              <w:spacing w:after="0" w:line="135" w:lineRule="exact"/>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1"/>
                <w:szCs w:val="11"/>
                <w:color w:val="auto"/>
              </w:rPr>
            </w:pPr>
          </w:p>
        </w:tc>
        <w:tc>
          <w:tcPr>
            <w:tcW w:w="132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0"/>
              </w:rPr>
              <w:t>Reclassifications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79,763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10,830</w:t>
            </w:r>
          </w:p>
        </w:tc>
        <w:tc>
          <w:tcPr>
            <w:tcW w:w="740" w:type="dxa"/>
            <w:vAlign w:val="bottom"/>
            <w:gridSpan w:val="3"/>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90,593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766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7"/>
              </w:rPr>
              <w:t>152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07"/>
        </w:trPr>
        <w:tc>
          <w:tcPr>
            <w:tcW w:w="278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83,660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11,691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97"/>
              </w:rPr>
              <w:t>152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95,503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95,503</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7,536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89"/>
              </w:rPr>
              <w:t>3,038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10,908</w:t>
            </w:r>
          </w:p>
        </w:tc>
        <w:tc>
          <w:tcPr>
            <w:tcW w:w="0" w:type="dxa"/>
            <w:vAlign w:val="bottom"/>
          </w:tcPr>
          <w:p>
            <w:pPr>
              <w:spacing w:after="0"/>
              <w:rPr>
                <w:sz w:val="1"/>
                <w:szCs w:val="1"/>
                <w:color w:val="auto"/>
              </w:rPr>
            </w:pPr>
          </w:p>
        </w:tc>
      </w:tr>
      <w:tr>
        <w:trPr>
          <w:trHeight w:val="23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83,660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11,691</w:t>
            </w:r>
          </w:p>
        </w:tc>
        <w:tc>
          <w:tcPr>
            <w:tcW w:w="740" w:type="dxa"/>
            <w:vAlign w:val="bottom"/>
            <w:gridSpan w:val="3"/>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7"/>
              </w:rPr>
              <w:t>152</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95,503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75</w:t>
            </w:r>
          </w:p>
        </w:tc>
        <w:tc>
          <w:tcPr>
            <w:tcW w:w="2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$340 million and $560 million in the three months ended September 30, 2020 and 2019.</w:t>
      </w:r>
    </w:p>
    <w:p>
      <w:pPr>
        <w:spacing w:after="0" w:line="56"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Contract liabilities in our Automotive segments primarily consist of maintenance, extended warranty and other service contracts of $2.3 billion and $2.2 billion at September 30, 2020 and December 31, 2019, which are included in Accrued liabilities and Other liabilities. We recognized revenue of $245 million and $872 million related to contract liabilities in the three and nine months ended September 30, 2020 and $434 million and $1.3 billion in the three and nine months ended September 30, 2019. We expect to recognize revenue of $387 million in the three months ending December 31, 2020 and $839 million, $414 million and $617 million in the years ending December 31, 2021, 2022 and thereafter related to contract liabilities at September 30,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4"/>
              </w:rPr>
              <w:t>September 30, 2020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Marketable debt securities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securities(c)</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Restricted cash</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maturities(d)</w:t>
            </w: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46" w:lineRule="auto"/>
        <w:tabs>
          <w:tab w:leader="none" w:pos="33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$248 million designated exclusively to fund capital expenditures in GM Korea Company (GM Korea) at December 31, 2019. No amount was designated exclusively to fund GM Korea capital expenditures at September 30, 2020.</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$539 million and $2.3 billion in Cruise at September 30, 2020 and December 31, 2019.</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$1.4 billion and $266 million in Cruise at September 30, 2020 and December 31,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$628 million at September 30, 2020 as these securities are not due at a single maturity date.</w:t>
      </w:r>
    </w:p>
    <w:p>
      <w:pPr>
        <w:spacing w:after="0" w:line="23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Proceeds from the sale of available-for-sale debt securities sold prior to maturity were $476 million and $535 million in the three months ended September 30, 2020 and 2019 and $1.4 billion and $1.6 billion in the nine months ended September 30, 2020 and 2019. Net unrealized gains and losses on available-for-sale debt securities were insignificant in the three and nine months ended September 30, 2020 and 2019. Cumulative unrealized gains and losses on available-for-sale debt securities were insignificant at September 30, 2020 and December 31, 2019.</w:t>
      </w:r>
    </w:p>
    <w:p>
      <w:pPr>
        <w:spacing w:after="0" w:line="19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liquidated our remaining shares in Lyft, Inc. (Lyft) in the six months ended June 30, 2020. We recorded an unrealized loss of $291 million and $71 million in Interest income and other non-operating income, net in the three and nine months ended September 30, 2019.</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81"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right="540"/>
        <w:spacing w:after="0" w:line="325" w:lineRule="auto"/>
        <w:rPr>
          <w:sz w:val="20"/>
          <w:szCs w:val="20"/>
          <w:color w:val="auto"/>
        </w:rPr>
      </w:pPr>
      <w:r>
        <w:rPr>
          <w:rFonts w:ascii="Arial" w:cs="Arial" w:eastAsia="Arial" w:hAnsi="Arial"/>
          <w:sz w:val="16"/>
          <w:szCs w:val="16"/>
          <w:color w:val="auto"/>
        </w:rPr>
        <w:t>Restricted cash included in Other current assets Restricted cash included in Other assets</w:t>
      </w: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5400" w:type="dxa"/>
        <w:tblCellMar>
          <w:top w:w="0" w:type="dxa"/>
          <w:left w:w="0" w:type="dxa"/>
          <w:bottom w:w="0" w:type="dxa"/>
          <w:right w:w="0" w:type="dxa"/>
        </w:tblCellMar>
      </w:tblPr>
      <w:tr>
        <w:trPr>
          <w:trHeight w:val="234"/>
        </w:trPr>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26,939</w:t>
            </w:r>
          </w:p>
        </w:tc>
      </w:tr>
      <w:tr>
        <w:trPr>
          <w:trHeight w:val="229"/>
        </w:trPr>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30"/>
        </w:trPr>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29,856</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-334010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September 30, 2020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tcBorders>
              <w:bottom w:val="single" w:sz="8" w:color="auto"/>
            </w:tcBorders>
          </w:tcPr>
          <w:p>
            <w:pPr>
              <w:spacing w:after="0"/>
              <w:rPr>
                <w:sz w:val="16"/>
                <w:szCs w:val="16"/>
                <w:color w:val="auto"/>
              </w:rPr>
            </w:pPr>
          </w:p>
        </w:tc>
      </w:tr>
      <w:tr>
        <w:trPr>
          <w:trHeight w:val="186"/>
        </w:trPr>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Commercial(a)</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40" w:type="dxa"/>
            <w:vAlign w:val="bottom"/>
          </w:tcPr>
          <w:p>
            <w:pPr>
              <w:ind w:left="360"/>
              <w:spacing w:after="0"/>
              <w:rPr>
                <w:sz w:val="20"/>
                <w:szCs w:val="20"/>
                <w:color w:val="auto"/>
              </w:rPr>
            </w:pPr>
            <w:r>
              <w:rPr>
                <w:rFonts w:ascii="Arial" w:cs="Arial" w:eastAsia="Arial" w:hAnsi="Arial"/>
                <w:sz w:val="14"/>
                <w:szCs w:val="14"/>
                <w:b w:val="1"/>
                <w:bCs w:val="1"/>
                <w:color w:val="auto"/>
              </w:rPr>
              <w:t>Commercial(a)</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p>
      <w:pPr>
        <w:sectPr>
          <w:pgSz w:w="11900" w:h="16838" w:orient="portrait"/>
          <w:cols w:equalWidth="0" w:num="2">
            <w:col w:w="3980" w:space="220"/>
            <w:col w:w="7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48,694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(1,936)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46,758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1"/>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w w:val="96"/>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48,972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41,973</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90"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$1.4 billion and $1.2 billion at September 30, 2020 and December 31, 2019. Under the cash management program, subject to certain conditions, a dealer may choose to reduce the amount of interest on its floorplan line by making principal payments to GM Financial in advance.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2019</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Impact of adoption ASU 2016-13 (Note 1)</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162"/>
        <w:spacing w:after="0" w:line="270" w:lineRule="auto"/>
        <w:rPr>
          <w:sz w:val="20"/>
          <w:szCs w:val="20"/>
          <w:color w:val="auto"/>
        </w:rPr>
      </w:pPr>
      <w:r>
        <w:rPr>
          <w:rFonts w:ascii="Arial" w:cs="Arial" w:eastAsia="Arial" w:hAnsi="Arial"/>
          <w:sz w:val="17"/>
          <w:szCs w:val="17"/>
          <w:color w:val="auto"/>
        </w:rPr>
        <w:t>GM Financial's forecast for recovery rates improved during the three months ended September 30, 2020, resulting in decreased provision for loan losses. In the nine months ended September 30, 2020, the provision for loan losses increased primarily due to increased expected charge-offs and decreased expected recoveries as a result of the economic impact of the novel strain of the coronavirus (COVID-19) pandemic.</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78"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Financial's retail finance receivable portfolio includes loans made to consumers and businesses to finance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vehicles for personal and commercial use. A summary of the amortized cost of the retail finance receivables by FICO score or its equivalent, determined at origination, for each vintage of the retail finance receivables portfolio at September 30, 2020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of Origination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7"/>
        </w:trPr>
        <w:tc>
          <w:tcPr>
            <w:tcW w:w="210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6"/>
                <w:szCs w:val="16"/>
                <w:color w:val="auto"/>
              </w:rPr>
              <w:t>Prime – FICO score 680 and</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greater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60.1 %</w:t>
            </w:r>
          </w:p>
        </w:tc>
        <w:tc>
          <w:tcPr>
            <w:tcW w:w="0" w:type="dxa"/>
            <w:vAlign w:val="bottom"/>
          </w:tcPr>
          <w:p>
            <w:pPr>
              <w:spacing w:after="0"/>
              <w:rPr>
                <w:sz w:val="1"/>
                <w:szCs w:val="1"/>
                <w:color w:val="auto"/>
              </w:rPr>
            </w:pPr>
          </w:p>
        </w:tc>
      </w:tr>
      <w:tr>
        <w:trPr>
          <w:trHeight w:val="166"/>
        </w:trPr>
        <w:tc>
          <w:tcPr>
            <w:tcW w:w="2100" w:type="dxa"/>
            <w:vAlign w:val="bottom"/>
          </w:tcPr>
          <w:p>
            <w:pPr>
              <w:spacing w:after="0" w:line="166" w:lineRule="exact"/>
              <w:rPr>
                <w:sz w:val="20"/>
                <w:szCs w:val="20"/>
                <w:color w:val="auto"/>
              </w:rPr>
            </w:pPr>
            <w:r>
              <w:rPr>
                <w:rFonts w:ascii="Arial" w:cs="Arial" w:eastAsia="Arial" w:hAnsi="Arial"/>
                <w:sz w:val="16"/>
                <w:szCs w:val="16"/>
                <w:color w:val="auto"/>
                <w:w w:val="98"/>
              </w:rPr>
              <w:t>Near-prime – FICO score 620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180"/>
              <w:spacing w:after="0"/>
              <w:rPr>
                <w:sz w:val="20"/>
                <w:szCs w:val="20"/>
                <w:color w:val="auto"/>
              </w:rPr>
            </w:pPr>
            <w:r>
              <w:rPr>
                <w:rFonts w:ascii="Arial" w:cs="Arial" w:eastAsia="Arial" w:hAnsi="Arial"/>
                <w:sz w:val="16"/>
                <w:szCs w:val="16"/>
                <w:color w:val="auto"/>
              </w:rPr>
              <w:t>to 679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7,520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Sub-prime – FICO score less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than 620</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146"/>
        </w:trPr>
        <w:tc>
          <w:tcPr>
            <w:tcW w:w="2100" w:type="dxa"/>
            <w:vAlign w:val="bottom"/>
          </w:tcPr>
          <w:p>
            <w:pPr>
              <w:spacing w:after="0" w:line="146" w:lineRule="exact"/>
              <w:rPr>
                <w:sz w:val="20"/>
                <w:szCs w:val="20"/>
                <w:color w:val="auto"/>
              </w:rPr>
            </w:pPr>
            <w:r>
              <w:rPr>
                <w:rFonts w:ascii="Arial" w:cs="Arial" w:eastAsia="Arial" w:hAnsi="Arial"/>
                <w:sz w:val="16"/>
                <w:szCs w:val="16"/>
                <w:color w:val="auto"/>
                <w:w w:val="97"/>
              </w:rPr>
              <w:t>Retail finance receivables, net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20,172</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13,279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8,472</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4,325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48,694</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42,229</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0"/>
        </w:trPr>
        <w:tc>
          <w:tcPr>
            <w:tcW w:w="2100" w:type="dxa"/>
            <w:vAlign w:val="bottom"/>
          </w:tcPr>
          <w:p>
            <w:pPr>
              <w:ind w:left="180"/>
              <w:spacing w:after="0"/>
              <w:rPr>
                <w:sz w:val="20"/>
                <w:szCs w:val="20"/>
                <w:color w:val="auto"/>
              </w:rPr>
            </w:pPr>
            <w:r>
              <w:rPr>
                <w:rFonts w:ascii="Arial" w:cs="Arial" w:eastAsia="Arial" w:hAnsi="Arial"/>
                <w:sz w:val="16"/>
                <w:szCs w:val="16"/>
                <w:color w:val="auto"/>
              </w:rPr>
              <w:t>of fees</w:t>
            </w:r>
          </w:p>
        </w:tc>
        <w:tc>
          <w:tcPr>
            <w:tcW w:w="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$742 million and $875 million at September 30, 2020 and December 31, 2019. The following table is a consolidated summary of the delinquency status of the outstanding amortized cost of retail finance receivables for each vintage of the portfolio at September 30,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of Origination</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 2019</w:t>
            </w:r>
          </w:p>
        </w:tc>
      </w:tr>
      <w:tr>
        <w:trPr>
          <w:trHeight w:val="187"/>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Total(a)</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211"/>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47,221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2.1 %</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55"/>
        </w:trPr>
        <w:tc>
          <w:tcPr>
            <w:tcW w:w="2140" w:type="dxa"/>
            <w:vAlign w:val="bottom"/>
          </w:tcPr>
          <w:p>
            <w:pPr>
              <w:spacing w:after="0" w:line="156" w:lineRule="exact"/>
              <w:rPr>
                <w:sz w:val="20"/>
                <w:szCs w:val="20"/>
                <w:color w:val="auto"/>
              </w:rPr>
            </w:pPr>
            <w:r>
              <w:rPr>
                <w:rFonts w:ascii="Arial" w:cs="Arial" w:eastAsia="Arial" w:hAnsi="Arial"/>
                <w:sz w:val="18"/>
                <w:szCs w:val="18"/>
                <w:color w:val="auto"/>
              </w:rPr>
              <w:t>Finance receivables more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140" w:type="dxa"/>
            <w:vAlign w:val="bottom"/>
          </w:tcPr>
          <w:p>
            <w:pPr>
              <w:spacing w:after="0" w:line="156" w:lineRule="exact"/>
              <w:rPr>
                <w:sz w:val="20"/>
                <w:szCs w:val="20"/>
                <w:color w:val="auto"/>
              </w:rPr>
            </w:pPr>
            <w:r>
              <w:rPr>
                <w:rFonts w:ascii="Arial" w:cs="Arial" w:eastAsia="Arial" w:hAnsi="Arial"/>
                <w:sz w:val="18"/>
                <w:szCs w:val="18"/>
                <w:color w:val="auto"/>
              </w:rPr>
              <w:t>Finance receivables more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w w:val="91"/>
              </w:rPr>
              <w:t>than 30 days delinquent or</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2140" w:type="dxa"/>
            <w:vAlign w:val="bottom"/>
          </w:tcPr>
          <w:p>
            <w:pPr>
              <w:ind w:left="180"/>
              <w:spacing w:after="0" w:line="202" w:lineRule="exact"/>
              <w:rPr>
                <w:sz w:val="20"/>
                <w:szCs w:val="20"/>
                <w:color w:val="auto"/>
              </w:rPr>
            </w:pPr>
            <w:r>
              <w:rPr>
                <w:rFonts w:ascii="Arial" w:cs="Arial" w:eastAsia="Arial" w:hAnsi="Arial"/>
                <w:sz w:val="18"/>
                <w:szCs w:val="18"/>
                <w:color w:val="auto"/>
              </w:rPr>
              <w:t>in repossession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3.0 %</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1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Retail finance receivables,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27"/>
        </w:trPr>
        <w:tc>
          <w:tcPr>
            <w:tcW w:w="21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of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48,694</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the contractual amounts of delinquent retail finance receivables, which is not significantly different than the outstanding amortized cost for such receivables.</w:t>
      </w:r>
    </w:p>
    <w:p>
      <w:pPr>
        <w:spacing w:after="0" w:line="2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outstanding amortized cost of retail finance receivables that are considered TDRs was $2.3 billion at September 30, 2020, including $317 million in nonaccrual loans.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 commercial finance receivables on nonaccrual status were insignificant at September 30, 2020.</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Prior to January 1, 2020, GM Financial estimated the allowance for loan losses based on an analysis of the experience of comparable commercial lenders. Effective January 1, 2020, GM Financial establishes the allowance for loan losses based on historical loss experience for the consolidated portfolio, in addition to forecast for industry vehicle sales. The updated risk rating categories are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Rating</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29210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6" w:lineRule="exact"/>
        <w:rPr>
          <w:sz w:val="20"/>
          <w:szCs w:val="20"/>
          <w:color w:val="auto"/>
        </w:rPr>
      </w:pPr>
    </w:p>
    <w:p>
      <w:pPr>
        <w:ind w:left="160" w:right="54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6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68" w:lineRule="exact"/>
        <w:rPr>
          <w:sz w:val="20"/>
          <w:szCs w:val="20"/>
          <w:color w:val="auto"/>
        </w:rPr>
      </w:pPr>
    </w:p>
    <w:p>
      <w:pPr>
        <w:sectPr>
          <w:pgSz w:w="11900" w:h="16838" w:orient="portrait"/>
          <w:cols w:equalWidth="0" w:num="2">
            <w:col w:w="360" w:space="720"/>
            <w:col w:w="10160"/>
          </w:cols>
          <w:pgMar w:left="320" w:top="125" w:right="339" w:bottom="1440" w:gutter="0" w:footer="0" w:header="0"/>
          <w:type w:val="continuous"/>
        </w:sectPr>
      </w:pPr>
    </w:p>
    <w:p>
      <w:pPr>
        <w:ind w:firstLine="162"/>
        <w:spacing w:after="0" w:line="342" w:lineRule="auto"/>
        <w:rPr>
          <w:sz w:val="20"/>
          <w:szCs w:val="20"/>
          <w:color w:val="auto"/>
        </w:rPr>
      </w:pPr>
      <w:r>
        <w:rPr>
          <w:rFonts w:ascii="Arial" w:cs="Arial" w:eastAsia="Arial" w:hAnsi="Arial"/>
          <w:sz w:val="16"/>
          <w:szCs w:val="16"/>
          <w:color w:val="auto"/>
        </w:rPr>
        <w:t>Dealers with III and IV risk ratings are subject to additional monitoring and restrictions on funding, including suspension of lines of credit and liquidation of assets. The following table summarizes the credit risk profile by dealer risk rating of commercial finance receivables at September 30,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8"/>
          </w:tcPr>
          <w:p>
            <w:pPr>
              <w:ind w:left="460"/>
              <w:spacing w:after="0"/>
              <w:rPr>
                <w:sz w:val="20"/>
                <w:szCs w:val="20"/>
                <w:color w:val="auto"/>
              </w:rPr>
            </w:pPr>
            <w:r>
              <w:rPr>
                <w:rFonts w:ascii="Arial" w:cs="Arial" w:eastAsia="Arial" w:hAnsi="Arial"/>
                <w:sz w:val="16"/>
                <w:szCs w:val="16"/>
                <w:b w:val="1"/>
                <w:bCs w:val="1"/>
                <w:color w:val="auto"/>
              </w:rPr>
              <w:t>Year of Origination(a)</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w w:val="99"/>
              </w:rPr>
              <w:t>September 30, 2020</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Revolving</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II</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IV</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49"/>
        </w:trPr>
        <w:tc>
          <w:tcPr>
            <w:tcW w:w="25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w w:val="97"/>
              </w:rPr>
              <w:t>Commercial finance receivables, net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8,062</w:t>
            </w:r>
          </w:p>
        </w:tc>
        <w:tc>
          <w:tcPr>
            <w:tcW w:w="1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5"/>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fees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98% of the total revolving balance. Dealer term loans are presented by year of origination.</w:t>
      </w:r>
    </w:p>
    <w:p>
      <w:pPr>
        <w:spacing w:after="0" w:line="2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Commercial finance receivables, net due from GM consolidated dealers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696"/>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860" w:type="dxa"/>
            <w:vAlign w:val="bottom"/>
            <w:gridSpan w:val="6"/>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2019</w:t>
            </w:r>
          </w:p>
        </w:tc>
      </w:tr>
      <w:tr>
        <w:trPr>
          <w:trHeight w:val="21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2,467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$943 million and $1.0 billion in the three months ended September 30, 2020 and 2019 and $3.0 billion and $3.1 billion in the nine months ended September 30, 2020 and 2019.</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GM Financial's Board of Directors declared and paid dividends of $800 million on its common stock in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0"/>
              </w:rPr>
              <w:t>49,993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53,081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(10,635)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(10,989)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0"/>
              </w:rPr>
              <w:t>39,358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42,092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$1.8 billion in the three months ended September 30, 2020 and 2019, and was $5.5 billion and $5.6 billion in the nine months ended September 30, 2020 and 2019.</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Year Ending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216"/>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2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11,288</w:t>
            </w:r>
          </w:p>
        </w:tc>
      </w:tr>
      <w:tr>
        <w:trPr>
          <w:trHeight w:val="702"/>
        </w:trPr>
        <w:tc>
          <w:tcPr>
            <w:tcW w:w="4800" w:type="dxa"/>
            <w:vAlign w:val="bottom"/>
            <w:gridSpan w:val="4"/>
          </w:tcPr>
          <w:p>
            <w:pPr>
              <w:spacing w:after="0"/>
              <w:rPr>
                <w:sz w:val="20"/>
                <w:szCs w:val="20"/>
                <w:color w:val="auto"/>
              </w:rPr>
            </w:pPr>
            <w:r>
              <w:rPr>
                <w:rFonts w:ascii="Arial" w:cs="Arial" w:eastAsia="Arial" w:hAnsi="Arial"/>
                <w:sz w:val="18"/>
                <w:szCs w:val="18"/>
                <w:b w:val="1"/>
                <w:bCs w:val="1"/>
                <w:color w:val="auto"/>
                <w:w w:val="96"/>
              </w:rPr>
              <w:t>Note 8. Equity in Net Assets of Nonconsolidated Affiliates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9"/>
              </w:rPr>
              <w:t>September 30, 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9"/>
              </w:rPr>
              <w:t>September 30, 2019</w:t>
            </w:r>
          </w:p>
        </w:tc>
        <w:tc>
          <w:tcPr>
            <w:tcW w:w="8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132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w w:val="90"/>
              </w:rPr>
              <w:t>September 30, 2019</w:t>
            </w: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ind w:right="316"/>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282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ind w:right="3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ind w:right="316"/>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315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ind w:right="3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2019</w:t>
            </w:r>
          </w:p>
        </w:tc>
      </w:tr>
      <w:tr>
        <w:trPr>
          <w:trHeight w:val="21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1,721</w:t>
            </w:r>
          </w:p>
        </w:tc>
      </w:tr>
    </w:tbl>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Dividends declared but not paid from our nonconsolidated affiliates were $651 million and an insignificant amount at September 30, 2020 and December 31, 2019. Dividends received from our nonconsolidated affiliates were $526 million in the nine months ended September 30, 2020 and $303 million and $1.2 billion in the three and nine months ended September 30, 2019. Undistributed earnings from our nonconsolidated affiliates were $2.0 billion and $2.1 billion at September 30, 2020 and December 31,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56"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We had Goodwill of $1.9 billion at September 30, 2020, which includes $1.3 billion related to GM Financial's North America reporting unit. Since December 31, 2019, the COVID-19 pandemic has caused material disruption to businesses, resulting in an economic slowdown. The economic and social uncertainty resulting from the COVID-19 pandemic indicated that it was more likely than not that a goodwill impairment existed at March 31, 2020 for GM Financial's North America reporting unit. Therefore, in the three months ended March 31, 2020, we performed an event-driven goodwill impairment test for GM Financial's North America reporting unit and determined no goodwill impairment existed.</w:t>
      </w:r>
    </w:p>
    <w:p>
      <w:pPr>
        <w:spacing w:after="0" w:line="9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fair value of GM Financial's North America reporting unit at March 31, 2020 was determined based on valuation techniques using the best available information, primarily discounted cash flow projections. We make significant assumptions and estimates about the extent and timing of future cash flows. There can be no assurance that anticipated financial results will be achieved. Under multiple scenarios, including fully weighting the downside cash flow scenario, the estimated fair value of GM Financial's North America reporting unit at March 31, 2020 exceeded its carrying amount. Since March 31, 2020, we noted no further material deterioration in our economic performance or outlook that would indicate further testing of goodwill impairment was warranted. Future goodwill impairment could be recognized should economic uncertainty continue, thereby resulting in a prolonged economic slowdown and a corresponding decline in the fair value of our reporting units.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13,291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15,921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18,729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23,952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w:t>
            </w:r>
          </w:p>
        </w:tc>
      </w:tr>
    </w:tbl>
    <w:p>
      <w:pPr>
        <w:spacing w:after="0" w:line="31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284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5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165</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30,961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15,247</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516</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31,534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15,928</w:t>
            </w:r>
          </w:p>
        </w:tc>
      </w:tr>
      <w:tr>
        <w:trPr>
          <w:trHeight w:val="46"/>
        </w:trPr>
        <w:tc>
          <w:tcPr>
            <w:tcW w:w="5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9"/>
        </w:trPr>
        <w:tc>
          <w:tcPr>
            <w:tcW w:w="5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18,294</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13,628</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2,300</w:t>
            </w:r>
          </w:p>
        </w:tc>
      </w:tr>
      <w:tr>
        <w:trPr>
          <w:trHeight w:val="54"/>
        </w:trPr>
        <w:tc>
          <w:tcPr>
            <w:tcW w:w="5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17,285</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w w:val="98"/>
              </w:rPr>
              <w:t>Weighted-average interest rate on outstanding short-term debt(c)</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interest rate on outstanding long-term debt(c)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$512 million and $540 million at September 30, 2020 and December 31, 2019.</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our 364-day, $2.0 billion facility designated for exclusive use by GM Financial.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3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Unsecured debt primarily consists of revolving credit facilities and senior notes. In March 2020, we borrowed: (1) $3.4 billion against our three-year, $4.0 billion facility; (2) $2.0 billion against our three-year, $3.0 billion facility, which reduced to $2.0 billion in May 2020 (three-year, $2.0 billion transformation facility); and (3) $10.5 billion against our five-year, $10.5 billion facility, with maturity dates ranging from 2021 to 2023. In September 2020, we repaid $3.2 billion of the three-year, $4.0 billion facility and repaid in full the three-year, $2.0 billion transformation facility. In October 2020, we repaid $3.9 billion of our five-year, $10.5 billion facility.</w:t>
      </w:r>
    </w:p>
    <w:p>
      <w:pPr>
        <w:spacing w:after="0" w:line="21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designated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for these types of securities, including a limitation on the amount of certain secured debt we may incur. The net proceeds from the issuance of these senior unsecured notes provide additional financial flexibility and will be used for general corporate purposes. In May 2020, we also entered into a new unsecured 364-day, $2.0 billion revolving credit facility as an additional source of available liquidity. In August 2020, we repaid $500 million of our floating rate senior unsecured debt upon maturity.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90,399</w:t>
            </w:r>
          </w:p>
        </w:tc>
      </w:tr>
      <w:tr>
        <w:trPr>
          <w:trHeight w:val="21"/>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1,918</w:t>
            </w:r>
          </w:p>
        </w:tc>
      </w:tr>
    </w:tbl>
    <w:p>
      <w:pPr>
        <w:spacing w:after="0" w:line="30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assets. Refer to Note 10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2.22% at September 30, 2020. The revolving credit facilities have maturity dates ranging from 2020 to 2026 and securitization notes payable have maturity dates ranging from 2021 to 2028. At the end of the revolving period, if not renewed, the debt of revolving credit facilities will amortize over a defined period. In the nine months ended September 30, 2020, GM Financial renewed revolving credit facilities with total borrowing capacity of $17.3 billion and issued $16.6 billion in aggregate principal amount of securitization notes payable with an initial weighted average interest rate of 1.33% and maturity dates ranging from 2021 to 2028.</w:t>
      </w:r>
    </w:p>
    <w:p>
      <w:pPr>
        <w:spacing w:after="0" w:line="205" w:lineRule="exact"/>
        <w:rPr>
          <w:sz w:val="20"/>
          <w:szCs w:val="20"/>
          <w:color w:val="auto"/>
        </w:rPr>
      </w:pPr>
    </w:p>
    <w:p>
      <w:pPr>
        <w:jc w:val="both"/>
        <w:ind w:right="20" w:firstLine="162"/>
        <w:spacing w:after="0" w:line="311"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September 30, 2020 have maturity dates ranging from 2020 to 2030 and have a weighted-average interest rate of 3.27%. In the nine months ended September 30, 2020, GM Financial issued $8.4 billion in aggregate principal amount of senior notes with an initial weighted average interest rate of 3.08% and maturity dates ranging from 2023 to 2030.</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Unsecured credit facilities and other unsecured debt have original maturities of up to four years. The weighted-average interest rate on these credit facilities and other unsecured debt was 2.46% at September 30, 2020.</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Contractual Maturities </w:t>
      </w:r>
      <w:r>
        <w:rPr>
          <w:rFonts w:ascii="Arial" w:cs="Arial" w:eastAsia="Arial" w:hAnsi="Arial"/>
          <w:sz w:val="18"/>
          <w:szCs w:val="18"/>
          <w:color w:val="auto"/>
        </w:rPr>
        <w:t>The following table summarizes contractual maturities including finance leases at 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Automotive</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Automotive Financing</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(October 1, 2020 to December 31,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29,618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2023(a)</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25,257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18,436</w:t>
            </w:r>
          </w:p>
        </w:tc>
      </w:tr>
      <w:tr>
        <w:trPr>
          <w:trHeight w:val="223"/>
        </w:trPr>
        <w:tc>
          <w:tcPr>
            <w:tcW w:w="67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$3.9 billion of the Automotive amount shown has been repaid on our five-year, $10.5 billion facility in October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PSA warrants(b)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2020 and December 31, 2019 and the gains/losses included in our condensed consolidated income statements for the three and nine months ended September 30, 2020 and 2019 were insignificant, unless otherwise noted.</w:t>
      </w:r>
    </w:p>
    <w:p>
      <w:pPr>
        <w:jc w:val="both"/>
        <w:ind w:left="340" w:hanging="332"/>
        <w:spacing w:after="0" w:line="25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 warrants issued by Peugeot, S.A. (PSA Group) included in Other assets was $735 million and $964 million at September 30, 2020 and December 31, 2019. We recorded gains in Interest income and other non-operating income, net of $76 million and $51 million in the three months ended September 30, 2020 and 2019 and losses of $227 million and gains of $222 million in the nine months ended September 30, 2020 and 2019.</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estimate the fair value of the PSA warrants using a Black-Scholes formula. The significant inputs to the model include the PSA Group stock price and the estimated dividend yield. We are entitled to receive any dividends declared by PSA Group through the conversion date upon exercise of the warrants.</w:t>
      </w:r>
    </w:p>
    <w:p>
      <w:pPr>
        <w:spacing w:after="0" w:line="21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0"/>
              </w:rPr>
              <w:t>September 30, 2020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5"/>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0"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Liabilities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nine months ended September 30, 2020 and 2019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GM Financial held $779 million and $210 million of collateral from counterparties available for netting against GM Financial's asset positions, and posted $195 million and an insignificant amount of collateral to counterparties available for netting against GM Financial's liability positions at September 30, 2020 and December 31, 2019.</w:t>
      </w:r>
    </w:p>
    <w:p>
      <w:pPr>
        <w:spacing w:after="0" w:line="21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00" w:type="dxa"/>
            <w:vAlign w:val="bottom"/>
            <w:gridSpan w:val="5"/>
          </w:tcPr>
          <w:p>
            <w:pPr>
              <w:ind w:left="980"/>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Pr>
          <w:p>
            <w:pPr>
              <w:spacing w:after="0"/>
              <w:rPr>
                <w:sz w:val="16"/>
                <w:szCs w:val="16"/>
                <w:color w:val="auto"/>
              </w:rPr>
            </w:pPr>
          </w:p>
        </w:tc>
        <w:tc>
          <w:tcPr>
            <w:tcW w:w="3620" w:type="dxa"/>
            <w:vAlign w:val="bottom"/>
            <w:gridSpan w:val="4"/>
          </w:tcPr>
          <w:p>
            <w:pPr>
              <w:jc w:val="right"/>
              <w:ind w:right="1368"/>
              <w:spacing w:after="0"/>
              <w:rPr>
                <w:sz w:val="20"/>
                <w:szCs w:val="20"/>
                <w:color w:val="auto"/>
              </w:rPr>
            </w:pPr>
            <w:r>
              <w:rPr>
                <w:rFonts w:ascii="Arial" w:cs="Arial" w:eastAsia="Arial" w:hAnsi="Arial"/>
                <w:sz w:val="14"/>
                <w:szCs w:val="14"/>
                <w:b w:val="1"/>
                <w:bCs w:val="1"/>
                <w:color w:val="auto"/>
              </w:rPr>
              <w:t>December 31, 2019</w:t>
            </w:r>
          </w:p>
        </w:tc>
      </w:tr>
      <w:tr>
        <w:trPr>
          <w:trHeight w:val="121"/>
        </w:trPr>
        <w:tc>
          <w:tcPr>
            <w:tcW w:w="3060" w:type="dxa"/>
            <w:vAlign w:val="bottom"/>
          </w:tcPr>
          <w:p>
            <w:pPr>
              <w:spacing w:after="0"/>
              <w:rPr>
                <w:sz w:val="10"/>
                <w:szCs w:val="10"/>
                <w:color w:val="auto"/>
              </w:rPr>
            </w:pPr>
          </w:p>
        </w:tc>
        <w:tc>
          <w:tcPr>
            <w:tcW w:w="184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48"/>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89"/>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88"/>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0"/>
        </w:trPr>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040" w:type="dxa"/>
            <w:vAlign w:val="bottom"/>
          </w:tcPr>
          <w:p>
            <w:pPr>
              <w:jc w:val="center"/>
              <w:ind w:right="88"/>
              <w:spacing w:after="0"/>
              <w:rPr>
                <w:sz w:val="20"/>
                <w:szCs w:val="20"/>
                <w:color w:val="auto"/>
              </w:rPr>
            </w:pPr>
            <w:r>
              <w:rPr>
                <w:rFonts w:ascii="Arial" w:cs="Arial" w:eastAsia="Arial" w:hAnsi="Arial"/>
                <w:sz w:val="13"/>
                <w:szCs w:val="13"/>
                <w:b w:val="1"/>
                <w:bCs w:val="1"/>
                <w:color w:val="auto"/>
                <w:w w:val="87"/>
              </w:rPr>
              <w:t>Hedging Adjustments(a)</w:t>
            </w: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24,275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$197 million of unamortized gains and an insignificant amount of amortization remaining on hedged items for which hedge accounting has been discontinued at September 30, 2020 and December 31, 2019.</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and Other Liabilities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September 30, 2020</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5"/>
        </w:trPr>
        <w:tc>
          <w:tcPr>
            <w:tcW w:w="5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r>
      <w:tr>
        <w:trPr>
          <w:trHeight w:val="76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860" w:type="dxa"/>
            <w:vAlign w:val="bottom"/>
            <w:gridSpan w:val="7"/>
          </w:tcPr>
          <w:p>
            <w:pPr>
              <w:jc w:val="right"/>
              <w:ind w:right="771"/>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0"/>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September 30, 2019</w:t>
            </w:r>
          </w:p>
        </w:tc>
      </w:tr>
      <w:tr>
        <w:trPr>
          <w:trHeight w:val="21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Warranties issued and assumed in period – recall campaigns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Warranties issued and assumed in period – product warranty</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September 30, 2020. Refer to Note 15 for reasonably possible losses on Takata Corporation (Takata)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left="15"/>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42"/>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42"/>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02"/>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CEEFF"/>
          </w:tcPr>
          <w:p>
            <w:pPr>
              <w:jc w:val="right"/>
              <w:ind w:right="502"/>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center"/>
              <w:ind w:left="15"/>
              <w:spacing w:after="0"/>
              <w:rPr>
                <w:sz w:val="20"/>
                <w:szCs w:val="20"/>
                <w:color w:val="auto"/>
              </w:rPr>
            </w:pPr>
            <w:r>
              <w:rPr>
                <w:rFonts w:ascii="Arial" w:cs="Arial" w:eastAsia="Arial" w:hAnsi="Arial"/>
                <w:sz w:val="14"/>
                <w:szCs w:val="14"/>
                <w:b w:val="1"/>
                <w:bCs w:val="1"/>
                <w:color w:val="auto"/>
                <w:w w:val="92"/>
              </w:rPr>
              <w:t>Nine Months Ended September 30, 2020</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center"/>
              <w:ind w:left="15"/>
              <w:spacing w:after="0"/>
              <w:rPr>
                <w:sz w:val="20"/>
                <w:szCs w:val="20"/>
                <w:color w:val="auto"/>
              </w:rPr>
            </w:pPr>
            <w:r>
              <w:rPr>
                <w:rFonts w:ascii="Arial" w:cs="Arial" w:eastAsia="Arial" w:hAnsi="Arial"/>
                <w:sz w:val="14"/>
                <w:szCs w:val="14"/>
                <w:b w:val="1"/>
                <w:bCs w:val="1"/>
                <w:color w:val="auto"/>
                <w:w w:val="92"/>
              </w:rPr>
              <w:t>Nine Months Ended September 30, 2019</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Global OPEB</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7"/>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Non-U.S.</w:t>
            </w:r>
          </w:p>
        </w:tc>
        <w:tc>
          <w:tcPr>
            <w:tcW w:w="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163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Curtailments, settlements and other</w:t>
            </w:r>
          </w:p>
        </w:tc>
        <w:tc>
          <w:tcPr>
            <w:tcW w:w="2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curtailment and other charges in the three and nine months ended September 30, 2019 were primarily due to remeasurement of the General Motors Canada Company hourly pension plan as a result of transformation activities. Refer to Note 17 for additional information on transformation-related charges.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$322 million and $125 million in the three months ended September 30, 2020 and 2019 and $996 million and $587 million in the nine months ended September 30, 2020 and 2019 are presented in Interest income and other non-operating income,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2020 and December 31, 2019, we had accruals of $1.2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2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U.S. Court of Appeals for the Second Circuit held that the 2009</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the United States Bankruptcy Court for the Southern District of New York (Bankruptcy Court) approving the sale of substantially all of the assets of Motors Liquidation Company (MLC), formerly known as General Motors Corporation, to GM free and clear of, among other things, claims asserting successor liability for obligations owed by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9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that were filed against GM in U.S. and Canadian courts alleging that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who purchased or leased vehicles manufactured by GM or MLC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2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21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w:t>
      </w:r>
    </w:p>
    <w:p>
      <w:pPr>
        <w:spacing w:after="0" w:line="17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August 2019, the Southern District granted our motion for summary judgment on plaintiffs’ economic loss “benefit of the bargain” damage claims (the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Later in August 2019, the bellwether plaintiffs filed a motion requesting that the Southern District reconsider its summary judgment decision or allow an interlocutory appeal if reconsideration is denied. In December 2019, the Southern District denied plaintiffs' motion for reconsideration of the August 2019 Opinion, but granted the plaintiffs' motion for certification of an interlocutory appeal. On April 1, 2020, the Second Circuit Court of Appeals (the Second Circuit) granted the bellwether plaintiffs' petition seeking leave to appeal the August 2019 Opinion. On April 15, 2020, the bellwether plaintiffs and GM filed a Stipulation to withdraw the appeal from the Second Circuit based on the class settlement agreement described below. Pursuant to the Stipulation, the bellwether plaintiffs can reinstate the appeal no later than April 2021. The Second Circuit endorsed the Stipulation by order on April 16, 2020.</w:t>
      </w:r>
    </w:p>
    <w:p>
      <w:pPr>
        <w:spacing w:after="0" w:line="21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21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March 2020, GM, plaintiffs and the MLC GUC Trust (GUC Trust) reached a settlement agreement (Class Settlement Agreement) to resolve on a national basis the economic loss claims of the proposed settlement class and proposed sub-classes, consisting of consumers who purchased or leased GM vehicles covered by the seven 2014 safety recalls at issue in the Southern District and the Bankruptcy Court. The proposed Class Settlement Agreement provides a common fund of approximately $120 million for settlement class members, of which GM will fund approximately $70 million and the GUC Trust will fund the remaining $50 million. GM will also pay attorneys’ fees and costs that may be awarded by the Southern District to plaintiffs’ counsel up to a maximum of $35 million. In April 2020, the Avoidance Action Trust (AAT), GM and plaintiffs reached a tentative settlement under which the AAT will pay an insignificant amount and will be added as a settling party to the Class Settlement Agreement. During April and May 2020, the Southern District entered orders granting preliminary approval of the Class Settlement Agreement. The deadline for class members to object to or opt-out of the Class Settlement Agreement was October 2020. The final fairness hearing is set for December 2020.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GM and MLC, GM was obligated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shares (Adjustment Shares) of our common stock if allowed general unsecured claims against the GUC Trust, as estimated by the Bankruptcy Court, exceed $35.0 billion. In March 2020, in conjunction with the Class Settlement Agreement, the GUC Trust filed a motion in the Bankruptcy Court seeking approval to enter into and take actions necessary to execute the Class Settlement Agreement, and seeking Bankruptcy Court authorization permitting the GUC Trust to distribute $300 million of GUC Trust assets to its unitholders and entry into a mutual release agreement with GM that would release GM from any and all claims, including any that would require GM to issue any Adjustment Shares. Bankruptcy Court approval of the GUC Trust motion is a condition precedent to preliminary approval of the Class Settlement Agreement by the Southern District. In April 2020, the Bankruptcy Court entered an order approving the GUC Trust's motion in its entirety. In May 2020, the approval and the mutual release agreement became binding and enforceable and GM was fully released from its potential Adjustment Shares obligation.</w:t>
      </w:r>
    </w:p>
    <w:p>
      <w:pPr>
        <w:spacing w:after="0" w:line="208"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i w:val="1"/>
          <w:iCs w:val="1"/>
          <w:color w:val="auto"/>
        </w:rPr>
        <w:t xml:space="preserve">Personal Injury Claims </w:t>
      </w:r>
      <w:r>
        <w:rPr>
          <w:rFonts w:ascii="Arial" w:cs="Arial" w:eastAsia="Arial" w:hAnsi="Arial"/>
          <w:sz w:val="16"/>
          <w:szCs w:val="16"/>
          <w:color w:val="auto"/>
        </w:rPr>
        <w:t>We also are aware of several hundred actions pending in various courts in the U.S. and Canada alleging injury or death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September 30, 2020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21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GM Korea is party to litigation with current and former hourly employees in the appellate court and Incheon District Court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 Korea’s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In July 2020, the Korean Supreme Court held in GM Korea's favor. In light of this decision, we believe the probability that we will incur a material loss is remote and we estimate our loss in excess of amounts accrued is insignificant at September 30, 2020.</w:t>
      </w:r>
    </w:p>
    <w:p>
      <w:pPr>
        <w:spacing w:after="0" w:line="19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 to be approximately $170 million at September 30, 2020. Both the scope of claims asserted and GM Korea's assessment of any or all of the individual claim elements may change if new information becomes available or the legal or regulatory frameworks change.</w:t>
      </w:r>
    </w:p>
    <w:p>
      <w:pPr>
        <w:spacing w:after="0" w:line="21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order and plans to appeal the September 2020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order. In June 2020, the Seoul High Court ruled against GM Korea in one of the subcontract workers claims. GM Korea has appealed this decision to the Korean Supreme Court. At September 30, 2020, our accrual covering certain asserted claims and claims that we believe are probable of assertion and for which liability is probable was approximately $210 million. We estimate the reasonably possible loss in excess of amounts accrued for other current subcontract workers who may assert similar claims to be approximately $110 million at September 30, 2020. We are currently unable to estimate any possible loss or range of loss that may result from additional claims that may be asserted by former subcontract workers.</w:t>
      </w:r>
    </w:p>
    <w:p>
      <w:pPr>
        <w:spacing w:after="0" w:line="20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2019, the Superior Court of Brazil rendered favorable decisions on three cases brought by GM Brazil challenging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a certain state value-added tax should be included in the calculation of federal gross receipts taxes. Those decisions granted the Company the right to recover, through offset of federal tax liabilities, certain amounts collected by the government between August 2001 and February 2017. As a result, GM Brazil recorded pre-tax recoveries of $123 million in the three months ended September 30, 2019 and $1.4 billion in pre-tax recoveries in the nine months ended September 30, 2019 and the year ended December 31, 2019, in Automotive and other cost of sales. Realization of these recoveries depends on the timing of administrative approvals and generation of federal tax liabilities eligible for offset. The Brazilian IRS has filed a Motion of Clarification on this matter with the Brazilian Supreme Court, which motion is awaiting decision. In addition, we expect third parties to make claims on some or all of the pre-tax recoveries, against which GM intends to defend.</w:t>
      </w:r>
    </w:p>
    <w:p>
      <w:pPr>
        <w:spacing w:after="0" w:line="20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22"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There are several putative class actions pending against GM in federal courts in the U.S., in the Provincial Courts in Canada and in Israel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September 30, 2020. We believe that appropriate accruals have been established for losses that are probable and can be reasonably estimated. For indirect tax-related matters we estimate our reasonably possible loss in excess of amounts accrued to be up to approximately $750 million at September 30, 2020.</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defect 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211"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right="20" w:firstLine="162"/>
        <w:spacing w:after="0" w:line="311" w:lineRule="auto"/>
        <w:rPr>
          <w:sz w:val="20"/>
          <w:szCs w:val="20"/>
          <w:color w:val="auto"/>
        </w:rPr>
      </w:pPr>
      <w:r>
        <w:rPr>
          <w:rFonts w:ascii="Arial" w:cs="Arial" w:eastAsia="Arial" w:hAnsi="Arial"/>
          <w:sz w:val="16"/>
          <w:szCs w:val="16"/>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Opel/Vauxhall Sale </w:t>
      </w:r>
      <w:r>
        <w:rPr>
          <w:rFonts w:ascii="Arial" w:cs="Arial" w:eastAsia="Arial" w:hAnsi="Arial"/>
          <w:sz w:val="17"/>
          <w:szCs w:val="17"/>
          <w:color w:val="auto"/>
        </w:rPr>
        <w:t>In 2017 we sold the Opel and Vauxhall businesses and certain other assets in Europe (the Opel/Vauxhall Business) to PSA Group. We</w:t>
      </w:r>
      <w:r>
        <w:rPr>
          <w:rFonts w:ascii="Arial" w:cs="Arial" w:eastAsia="Arial" w:hAnsi="Arial"/>
          <w:sz w:val="17"/>
          <w:szCs w:val="17"/>
          <w:b w:val="1"/>
          <w:bCs w:val="1"/>
          <w:color w:val="auto"/>
        </w:rPr>
        <w:t xml:space="preserve"> </w:t>
      </w:r>
      <w:r>
        <w:rPr>
          <w:rFonts w:ascii="Arial" w:cs="Arial" w:eastAsia="Arial" w:hAnsi="Arial"/>
          <w:sz w:val="17"/>
          <w:szCs w:val="17"/>
          <w:color w:val="auto"/>
        </w:rPr>
        <w:t>also sold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Master Agreement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20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Although the sale reduced our new vehicle presence in Europe, we may still be impacted by actions taken by regulators related to vehicles sold before the sale. In Germany, the Kraftfahrt-Bundesamt (KBA) issued an order in November 2019, which converted a voluntary recall initiated by Opel in 2017 and 2018 into a mandatory recall for allegedly failing to comply with certain emissions regulations. However, because the overwhelming majority of vehicles have already received KBA-approved software calibration updates pursuant to the voluntary recall, the number of vehicles subject to the mandatory recall is insignificant. The Seller may also be obligated to indemnify PSA Group or otherwise absorb costs and expenses resulting from the foregoing as well as certain related potential litigation costs, settlements, judgments and potential fines. In addition, at the KBA's request, the German authorities re-opened a separate criminal investigation related to this matter that had previously been closed with no action. We are unable to estimate any reasonably possible loss or range of loss that may result from this matter.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PSA </w:t>
      </w:r>
      <w:r>
        <w:rPr>
          <w:rFonts w:ascii="Arial" w:cs="Arial" w:eastAsia="Arial" w:hAnsi="Arial"/>
          <w:sz w:val="18"/>
          <w:szCs w:val="18"/>
          <w:color w:val="auto"/>
        </w:rPr>
        <w:t>We continue to purchase from and supply to PSA Group certain vehicles, parts and engineering services for a period of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sale. The following table summarizes transactions with the Opel/Vauxhall Business: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September 30, 2019</w:t>
            </w: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and revenue(a)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Purchases and expenses(a)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payments(b)</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Cash receipts(b)</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1,223</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income.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cash provided by operating activities.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$591 million and $544 million in Accrued liabilities and Other liabilities at September 30, 2020 and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31, 2019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MLC products for actual damages will be adequately covered by our recorded accruals and, where applicable, excess liability insurance coverage.</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2020 to 2025 or upon the occurrence of specific events or are ongoing. We believe that the related potential costs incurred are adequately covered by our recorded accruals, which are insignificant. The maximum future undiscounted payments mainly based on vehicles sold to date were $3.2 billion and $2.6 billion for these guarantees at September 30, 2020 and December 31, 2019, the majority of which relates to the indemnification agreements.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PSA Group under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2011 to 2019 with various significant tax jurisdictions.</w:t>
      </w:r>
    </w:p>
    <w:p>
      <w:pPr>
        <w:spacing w:after="0" w:line="21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2020, Income tax expense of $887 million was primarily due to tax expense attributable to entities included in our effective tax rate calculation. In the three months ended September 30, 2019, Income tax expense of $271 million was primarily due to tax expense attributable to entities included in our effective tax rate calculation, partially offset by U.S. tax benefits from foreign activity.</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nine months ended September 30, 2020, Income tax expense of $1.1 billion was primarily due to tax expense attributable to entities included in our effective tax rate calculation and the establishment of a valuation allowance against deferred tax assets. In the nine months ended September 30, 2019, Income tax expense of $932 million was primarily due to tax</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 attributable to entities included in our effective tax rate calculation, partially offset by U.S. tax benefits from foreign activity, tax settlements and a release of valuation allowance.</w:t>
      </w:r>
    </w:p>
    <w:p>
      <w:pPr>
        <w:spacing w:after="0" w:line="19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September 30, 2020, we had $23.4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September 30, 2019</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three and nine months ended September 30, 2020, restructuring and other initiatives primarily included actions in GMI related to the wind-down of Holden sales, design and engineering operations in Australia and New Zealand and the execution of definitive agreements to sell our vehicle and powertrain manufacturing facilities in Thailand. We recorded charges of $76 million in the three months ended September 30, 2020, primarily for supplier claims. We recorded charges of $657 million in the nine months ended September 30, 2020, primarily consisting of $367 million in property and intangible asset impairments, inventory provisions, sales allowances and other charges, not reflected in the table above, and $290 million in dealer restructurings and employee separation charges, which are reflected in the table above. We also recorded a $236 million charge to Income tax expense due to the establishment of a valuation allowance against deferred tax assets in Australia and New Zealand in the nine months ended September 30, 2020. We incurred $222 million in net cash outflows resulting from these restructuring actions, primarily for dealer restructuring payments and employee separation payments in the nine months ended September 30, 2020. We expect to incur additional restructuring and other charges of an insignificant amount and additional net cash outflows of approximately $40 million, which includes expected proceeds of approximately $140 million from the sale of our manufacturing facility in Thailand, to be substantially complete by the end of 2020.</w:t>
      </w:r>
    </w:p>
    <w:p>
      <w:pPr>
        <w:spacing w:after="0" w:line="20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three and nine months ended September 30, 2019, restructuring and other initiatives primarily included actions related to our announced transformation activities, which includes the unallocation of products to certain manufacturing facilities and other employee separation programs. We recorded charges of $390 million, primarily in GMNA, in the three months ended September 30, 2019 consisting of $209 million primarily in pension curtailment and other charges, which are not reflected in the table above, and $181 million primarily in supplier-related charges, reflected in the table above. We recorded charges of $1.5 billion, primarily in GMNA, in the nine months ended September 30, 2019 consisting of $1.1 billion primarily in non-cash accelerated depreciation and pension curtailment and other charges, not reflected in the table above, and $421 million primarily in supplier-related charges, which are reflected in the table above. These programs had a total cost since inception of $3.1 billion and were complete at December 31, 2019. We incurred $314 million and $645 million in cash outflows resulting from these restructuring actions in the nine months ended September 30, 2020 and 2019 and $1.4 billion in cash outflows since program inception, primarily for employee separation payments and supplier-related payments. We expect additional cash outflows related to these activities of approximately $100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 and Noncontrolling Interests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and 1.4 billion shares of common stock issued and outstanding at September 30, 2020 and December 31, 2019.</w:t>
      </w:r>
    </w:p>
    <w:p>
      <w:pPr>
        <w:spacing w:after="0" w:line="19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GM Financial Preferred Stoc</w:t>
      </w:r>
      <w:r>
        <w:rPr>
          <w:rFonts w:ascii="Arial" w:cs="Arial" w:eastAsia="Arial" w:hAnsi="Arial"/>
          <w:sz w:val="17"/>
          <w:szCs w:val="17"/>
          <w:b w:val="1"/>
          <w:bCs w:val="1"/>
          <w:color w:val="auto"/>
        </w:rPr>
        <w:t>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2020, GM Financial issued $500 million of Fixed-Rate Reset Cumulative Perpetual Preferred Stock,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 $0.01 par value, with a liquidation preference of $1,000 per share. The preferred stock is classified as noncontrolling interests in our condensed consolidated financial statements. Dividends will be paid semi-annually when declared starting March 30, 2021 at a fixed rate of 5.70%.</w:t>
      </w:r>
    </w:p>
    <w:p>
      <w:pPr>
        <w:spacing w:after="0" w:line="190" w:lineRule="exact"/>
        <w:rPr>
          <w:sz w:val="20"/>
          <w:szCs w:val="20"/>
          <w:color w:val="auto"/>
        </w:rPr>
      </w:pPr>
    </w:p>
    <w:p>
      <w:pPr>
        <w:jc w:val="both"/>
        <w:ind w:firstLine="162"/>
        <w:spacing w:after="0"/>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May 2019, GM Cruise Holdings LLC (Cruise Holdings) issued $1.1 billion of Cruise Class F Preferred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$687 million of Cruise Class F Preferred Shares to General Motors Holdings LLC. In August 2019, an additional insignificant amount of Cruise Class F Preferred Shares were issued to SoftBank Vision Fund (AIV M2), L.P. (The Vision Fund). All proceeds from these issuances are designated exclusively for working capital and general corporate purposes of Cruise. The Cruise Class F Preferred Shares convert into common stock of Cruise Holdings, at specified exchange ratios, upon occurrence of an initial public offering. The Cruise Class F Preferred Shares are classified as noncontrolling interests in our condensed consolidated financial statements.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September 30, 2020</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2019</w:t>
            </w:r>
          </w:p>
        </w:tc>
        <w:tc>
          <w:tcPr>
            <w:tcW w:w="10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September 30, 2020</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175"/>
        </w:trPr>
        <w:tc>
          <w:tcPr>
            <w:tcW w:w="5560" w:type="dxa"/>
            <w:vAlign w:val="bottom"/>
          </w:tcPr>
          <w:p>
            <w:pPr>
              <w:spacing w:after="0" w:line="176" w:lineRule="exact"/>
              <w:rPr>
                <w:sz w:val="20"/>
                <w:szCs w:val="20"/>
                <w:color w:val="auto"/>
              </w:rPr>
            </w:pPr>
            <w:r>
              <w:rPr>
                <w:rFonts w:ascii="Arial" w:cs="Arial" w:eastAsia="Arial" w:hAnsi="Arial"/>
                <w:sz w:val="18"/>
                <w:szCs w:val="18"/>
                <w:color w:val="auto"/>
                <w:w w:val="98"/>
              </w:rPr>
              <w:t>Other comprehensive income (loss) and noncontrolling interests, net of</w:t>
            </w: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reclassification adjustment and tax(a)(b)</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19"/>
                <w:szCs w:val="19"/>
                <w:color w:val="auto"/>
              </w:rPr>
            </w:pP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19"/>
                <w:szCs w:val="19"/>
                <w:color w:val="auto"/>
              </w:rPr>
            </w:pPr>
          </w:p>
        </w:tc>
        <w:tc>
          <w:tcPr>
            <w:tcW w:w="680" w:type="dxa"/>
            <w:vAlign w:val="bottom"/>
          </w:tcPr>
          <w:p>
            <w:pPr>
              <w:jc w:val="right"/>
              <w:ind w:right="47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175"/>
        </w:trPr>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Other comprehensive income (loss) before reclassification adjustment, net of</w:t>
            </w: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tax(b)</w:t>
            </w: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tax(b)</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Balance at end of period(c)</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nine months ended September 30, 2020 and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2020 and 2019.</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2019 Form 10-K for additional information.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September 30, 2019</w:t>
            </w:r>
          </w:p>
        </w:tc>
      </w:tr>
      <w:tr>
        <w:trPr>
          <w:trHeight w:val="212"/>
        </w:trPr>
        <w:tc>
          <w:tcPr>
            <w:tcW w:w="52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r>
      <w:tr>
        <w:trPr>
          <w:trHeight w:val="23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cumulative dividends on subsidiary preferred stock</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8"/>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r>
      <w:tr>
        <w:trPr>
          <w:trHeight w:val="21"/>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52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9"/>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Dilutive effect of awards under stock incentive plans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5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income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autonomous vehicle technology, and includes autonomous vehicle-related engineering and other costs.</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interest income and interest expense, legacy costs from the Opel/Vauxhall Business (primarily pension costs), corporate expenditures and certain nonsegment-specific revenues and expenses are recorded centrally in Corporate.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assets primarily consist of cash and cash equivalents, marketable debt securities, PSA warrants and intercompany balances. Retained net underfunded pension liabilities related to the European Business are also recorded in Corporate. All intersegment balances and transactions have been eliminated in consolidation.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w w:val="99"/>
              </w:rPr>
              <w:t>At and For the Three Months Ended September 30, 2020</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2"/>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29,128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3,421</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2"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4,366</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4,289</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1,207</w:t>
            </w:r>
          </w:p>
        </w:tc>
        <w:tc>
          <w:tcPr>
            <w:tcW w:w="12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5,284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88"/>
              </w:rPr>
              <w:t>Net loss attributable to noncontrolling 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38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6,374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6,561</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1,485</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8,046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2,372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3,184</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1,337</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111,426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(50,609)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128,241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239,671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1,182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1,814</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restructuring and other charges primarily in Thailand.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00"/>
              <w:spacing w:after="0"/>
              <w:rPr>
                <w:sz w:val="20"/>
                <w:szCs w:val="20"/>
                <w:color w:val="auto"/>
              </w:rPr>
            </w:pPr>
            <w:r>
              <w:rPr>
                <w:rFonts w:ascii="Arial" w:cs="Arial" w:eastAsia="Arial" w:hAnsi="Arial"/>
                <w:sz w:val="13"/>
                <w:szCs w:val="13"/>
                <w:b w:val="1"/>
                <w:bCs w:val="1"/>
                <w:color w:val="auto"/>
                <w:w w:val="99"/>
              </w:rPr>
              <w:t>At and For the Three Months Ended September 30, 2019</w:t>
            </w: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27,971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31,817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3,659</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35,473</w:t>
            </w:r>
          </w:p>
        </w:tc>
        <w:tc>
          <w:tcPr>
            <w:tcW w:w="0" w:type="dxa"/>
            <w:vAlign w:val="bottom"/>
          </w:tcPr>
          <w:p>
            <w:pPr>
              <w:spacing w:after="0"/>
              <w:rPr>
                <w:sz w:val="1"/>
                <w:szCs w:val="1"/>
                <w:color w:val="auto"/>
              </w:rPr>
            </w:pPr>
          </w:p>
        </w:tc>
      </w:tr>
      <w:tr>
        <w:trPr>
          <w:trHeight w:val="122"/>
        </w:trPr>
        <w:tc>
          <w:tcPr>
            <w:tcW w:w="2400" w:type="dxa"/>
            <w:vAlign w:val="bottom"/>
          </w:tcPr>
          <w:p>
            <w:pPr>
              <w:spacing w:after="0" w:line="122"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3,023</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2,507</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2,966</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21"/>
        </w:trPr>
        <w:tc>
          <w:tcPr>
            <w:tcW w:w="240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2,582</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89"/>
              </w:rPr>
              <w:t>Net loss attributable to noncontrolling 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7,024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7,115</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8,496</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2,488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3,385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670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1,353</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5,408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(56,381)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109,099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231,529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1,469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1,832</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3,308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40" w:hanging="332"/>
        <w:spacing w:after="0" w:line="239" w:lineRule="auto"/>
        <w:tabs>
          <w:tab w:leader="none" w:pos="331"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$390 million, primarily in GMNA and a benefit of $123 million related to the retrospective recoveries of indirect taxes in Brazil in GMI.</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340"/>
              <w:spacing w:after="0"/>
              <w:rPr>
                <w:sz w:val="20"/>
                <w:szCs w:val="20"/>
                <w:color w:val="auto"/>
              </w:rPr>
            </w:pPr>
            <w:r>
              <w:rPr>
                <w:rFonts w:ascii="Arial" w:cs="Arial" w:eastAsia="Arial" w:hAnsi="Arial"/>
                <w:sz w:val="13"/>
                <w:szCs w:val="13"/>
                <w:b w:val="1"/>
                <w:bCs w:val="1"/>
                <w:color w:val="auto"/>
              </w:rPr>
              <w:t>At and For the Nine Months Ended September 30, 2020</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2"/>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66,563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74,576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10,405</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line="122"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6,459</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4,968</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1,663</w:t>
            </w:r>
          </w:p>
        </w:tc>
        <w:tc>
          <w:tcPr>
            <w:tcW w:w="1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88"/>
              </w:rPr>
              <w:t>Net loss attributable to noncontrolling 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Consists of restructuring and other charges primarily in Australia, Thailand and New Zealand.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340"/>
              <w:spacing w:after="0"/>
              <w:rPr>
                <w:sz w:val="20"/>
                <w:szCs w:val="20"/>
                <w:color w:val="auto"/>
              </w:rPr>
            </w:pPr>
            <w:r>
              <w:rPr>
                <w:rFonts w:ascii="Arial" w:cs="Arial" w:eastAsia="Arial" w:hAnsi="Arial"/>
                <w:sz w:val="13"/>
                <w:szCs w:val="13"/>
                <w:b w:val="1"/>
                <w:bCs w:val="1"/>
                <w:color w:val="auto"/>
              </w:rPr>
              <w:t>At and For the Nine Months Ended September 30, 2019</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11,691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10,918</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4"/>
              </w:rPr>
              <w:t>(85)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106,411</w:t>
            </w:r>
          </w:p>
        </w:tc>
        <w:tc>
          <w:tcPr>
            <w:tcW w:w="0" w:type="dxa"/>
            <w:vAlign w:val="bottom"/>
          </w:tcPr>
          <w:p>
            <w:pPr>
              <w:spacing w:after="0"/>
              <w:rPr>
                <w:sz w:val="1"/>
                <w:szCs w:val="1"/>
                <w:color w:val="auto"/>
              </w:rPr>
            </w:pPr>
          </w:p>
        </w:tc>
      </w:tr>
      <w:tr>
        <w:trPr>
          <w:trHeight w:val="122"/>
        </w:trPr>
        <w:tc>
          <w:tcPr>
            <w:tcW w:w="2400" w:type="dxa"/>
            <w:vAlign w:val="bottom"/>
          </w:tcPr>
          <w:p>
            <w:pPr>
              <w:spacing w:after="0" w:line="122" w:lineRule="exact"/>
              <w:rPr>
                <w:sz w:val="20"/>
                <w:szCs w:val="20"/>
                <w:color w:val="auto"/>
              </w:rPr>
            </w:pPr>
            <w:r>
              <w:rPr>
                <w:rFonts w:ascii="Arial" w:cs="Arial" w:eastAsia="Arial" w:hAnsi="Arial"/>
                <w:sz w:val="13"/>
                <w:szCs w:val="13"/>
                <w:color w:val="auto"/>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7,941</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7,398</w:t>
            </w:r>
          </w:p>
        </w:tc>
        <w:tc>
          <w:tcPr>
            <w:tcW w:w="12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1,606</w:t>
            </w:r>
          </w:p>
        </w:tc>
        <w:tc>
          <w:tcPr>
            <w:tcW w:w="12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ind w:left="577"/>
              <w:spacing w:after="0"/>
              <w:rPr>
                <w:sz w:val="20"/>
                <w:szCs w:val="20"/>
                <w:color w:val="auto"/>
              </w:rPr>
            </w:pPr>
            <w:r>
              <w:rPr>
                <w:rFonts w:ascii="Arial" w:cs="Arial" w:eastAsia="Arial" w:hAnsi="Arial"/>
                <w:sz w:val="13"/>
                <w:szCs w:val="13"/>
                <w:color w:val="auto"/>
                <w:w w:val="94"/>
              </w:rPr>
              <w:t>(17)</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8,288</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22"/>
        </w:trPr>
        <w:tc>
          <w:tcPr>
            <w:tcW w:w="240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7,791</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6,859</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89"/>
              </w:rPr>
              <w:t>Net loss attributable to noncontrolling interests</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6,926</w:t>
            </w:r>
          </w:p>
        </w:tc>
        <w:tc>
          <w:tcPr>
            <w:tcW w:w="0" w:type="dxa"/>
            <w:vAlign w:val="bottom"/>
          </w:tcPr>
          <w:p>
            <w:pPr>
              <w:spacing w:after="0"/>
              <w:rPr>
                <w:sz w:val="1"/>
                <w:szCs w:val="1"/>
                <w:color w:val="auto"/>
              </w:rPr>
            </w:pPr>
          </w:p>
        </w:tc>
      </w:tr>
      <w:tr>
        <w:trPr>
          <w:trHeight w:val="21"/>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10,813</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4"/>
        </w:trPr>
        <w:tc>
          <w:tcPr>
            <w:tcW w:w="2400" w:type="dxa"/>
            <w:vAlign w:val="bottom"/>
          </w:tcPr>
          <w:p>
            <w:pPr>
              <w:spacing w:after="0" w:line="144" w:lineRule="exact"/>
              <w:rPr>
                <w:sz w:val="20"/>
                <w:szCs w:val="20"/>
                <w:color w:val="auto"/>
              </w:rPr>
            </w:pPr>
            <w:r>
              <w:rPr>
                <w:rFonts w:ascii="Arial" w:cs="Arial" w:eastAsia="Arial" w:hAnsi="Arial"/>
                <w:sz w:val="13"/>
                <w:szCs w:val="13"/>
                <w:color w:val="auto"/>
              </w:rPr>
              <w:t>_________</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Consists of restructuring and other charges related to transformation activities of $1.5 billion, primarily in GMNA and a benefit of $1.4 billion related to the retrospective recoveries of indirect taxes in Brazil in GMI.</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2019 Form 10-K.</w:t>
      </w:r>
    </w:p>
    <w:p>
      <w:pPr>
        <w:spacing w:after="0" w:line="20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2019 Form 10-K for a discussion of these risks and uncertainties. Except for per share amounts or as otherwise specified, dollar amounts presented within tables are stated in millions.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3"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3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224"/>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GMI restructuring(a)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Transformation activities(b)</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29"/>
        </w:trPr>
        <w:tc>
          <w:tcPr>
            <w:tcW w:w="3520" w:type="dxa"/>
            <w:vAlign w:val="bottom"/>
          </w:tcPr>
          <w:p>
            <w:pPr>
              <w:ind w:left="120"/>
              <w:spacing w:after="0"/>
              <w:rPr>
                <w:sz w:val="20"/>
                <w:szCs w:val="20"/>
                <w:color w:val="auto"/>
              </w:rPr>
            </w:pPr>
            <w:r>
              <w:rPr>
                <w:rFonts w:ascii="Arial" w:cs="Arial" w:eastAsia="Arial" w:hAnsi="Arial"/>
                <w:sz w:val="18"/>
                <w:szCs w:val="18"/>
                <w:color w:val="auto"/>
              </w:rPr>
              <w:t>GM Brazil indirect tax recoveries(c)</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FAW-GM divestiture(d)</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w:t>
            </w: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supplier claims in the three months ended September 30, 2020, inventory provisions in the three months ended June 30, 2020 and asset impairments, dealer restructurings, employee separation charges and sales allowances in the three months ended March 31, 2020 in Australia, New Zealand and Thailand.</w:t>
      </w:r>
    </w:p>
    <w:p>
      <w:pPr>
        <w:spacing w:after="0" w:line="1"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pension curtailment and other charges in the three months ended September 30, 2019, supplier-related charges and accelerated depreciation in the three months ended June 30, 2019, accelerated depreciation in the three months ended March 31, 2019, accelerated depreciation and employee separation charges in the three months ended December 31, 2019 and employee separation charges and accelerated depreciation in the three months ended December 31, 2018.</w:t>
      </w:r>
    </w:p>
    <w:p>
      <w:pPr>
        <w:spacing w:after="0" w:line="3" w:lineRule="exact"/>
        <w:rPr>
          <w:rFonts w:ascii="Arial" w:cs="Arial" w:eastAsia="Arial" w:hAnsi="Arial"/>
          <w:sz w:val="15"/>
          <w:szCs w:val="15"/>
          <w:color w:val="auto"/>
        </w:rPr>
      </w:pPr>
    </w:p>
    <w:p>
      <w:pPr>
        <w:ind w:left="340" w:hanging="332"/>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ind w:left="340" w:hanging="332"/>
        <w:spacing w:after="0" w:line="25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7"/>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7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7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September 30, 2019</w:t>
            </w:r>
          </w:p>
        </w:tc>
      </w:tr>
      <w:tr>
        <w:trPr>
          <w:trHeight w:val="183"/>
        </w:trPr>
        <w:tc>
          <w:tcPr>
            <w:tcW w:w="3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Per Share</w:t>
            </w:r>
          </w:p>
        </w:tc>
      </w:tr>
      <w:tr>
        <w:trPr>
          <w:trHeight w:val="224"/>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2.40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5"/>
              <w:spacing w:after="0"/>
              <w:rPr>
                <w:sz w:val="20"/>
                <w:szCs w:val="20"/>
                <w:color w:val="auto"/>
              </w:rPr>
            </w:pPr>
            <w:r>
              <w:rPr>
                <w:rFonts w:ascii="Arial" w:cs="Arial" w:eastAsia="Arial" w:hAnsi="Arial"/>
                <w:sz w:val="18"/>
                <w:szCs w:val="18"/>
                <w:color w:val="auto"/>
                <w:w w:val="91"/>
              </w:rPr>
              <w:t>0.46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3"/>
              </w:rPr>
              <w:t>(0.06)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Tax adjustment(c)</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5"/>
              <w:spacing w:after="0"/>
              <w:rPr>
                <w:sz w:val="20"/>
                <w:szCs w:val="20"/>
                <w:color w:val="auto"/>
              </w:rPr>
            </w:pPr>
            <w:r>
              <w:rPr>
                <w:rFonts w:ascii="Arial" w:cs="Arial" w:eastAsia="Arial" w:hAnsi="Arial"/>
                <w:sz w:val="18"/>
                <w:szCs w:val="18"/>
                <w:color w:val="auto"/>
                <w:w w:val="91"/>
              </w:rPr>
              <w:t>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right="20" w:hanging="332"/>
        <w:spacing w:after="0" w:line="246"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2200" w:type="dxa"/>
            <w:vAlign w:val="bottom"/>
            <w:gridSpan w:val="6"/>
          </w:tcPr>
          <w:p>
            <w:pPr>
              <w:jc w:val="right"/>
              <w:ind w:right="48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7"/>
          </w:tcPr>
          <w:p>
            <w:pPr>
              <w:ind w:left="4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2220" w:type="dxa"/>
            <w:vAlign w:val="bottom"/>
            <w:gridSpan w:val="6"/>
          </w:tcPr>
          <w:p>
            <w:pPr>
              <w:jc w:val="right"/>
              <w:ind w:right="508"/>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16"/>
        </w:trPr>
        <w:tc>
          <w:tcPr>
            <w:tcW w:w="1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before</w:t>
            </w: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Income tax</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Effective tax</w:t>
            </w:r>
          </w:p>
        </w:tc>
        <w:tc>
          <w:tcPr>
            <w:tcW w:w="14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before</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Income tax</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Effective tax</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before</w:t>
            </w: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1"/>
              </w:rPr>
              <w:t>Income tax</w:t>
            </w:r>
          </w:p>
        </w:tc>
        <w:tc>
          <w:tcPr>
            <w:tcW w:w="10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before</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Income tax</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Effective tax</w:t>
            </w: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76"/>
              </w:rPr>
              <w:t>expense</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540" w:type="dxa"/>
            <w:vAlign w:val="bottom"/>
          </w:tcPr>
          <w:p>
            <w:pPr>
              <w:jc w:val="right"/>
              <w:ind w:right="35"/>
              <w:spacing w:after="0"/>
              <w:rPr>
                <w:sz w:val="20"/>
                <w:szCs w:val="20"/>
                <w:color w:val="auto"/>
              </w:rPr>
            </w:pPr>
            <w:r>
              <w:rPr>
                <w:rFonts w:ascii="Arial" w:cs="Arial" w:eastAsia="Arial" w:hAnsi="Arial"/>
                <w:sz w:val="13"/>
                <w:szCs w:val="13"/>
                <w:b w:val="1"/>
                <w:bCs w:val="1"/>
                <w:color w:val="auto"/>
                <w:w w:val="76"/>
              </w:rPr>
              <w:t>expense</w:t>
            </w:r>
          </w:p>
        </w:tc>
        <w:tc>
          <w:tcPr>
            <w:tcW w:w="10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2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2,582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24.3 %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7,791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adjustment(b)</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4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2"/>
              </w:rPr>
              <w:t>18.4 %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jc w:val="both"/>
        <w:ind w:left="340" w:hanging="332"/>
        <w:spacing w:after="0" w:line="262" w:lineRule="auto"/>
        <w:tabs>
          <w:tab w:leader="none" w:pos="331"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 (loss)-adjusted within this section of MD&amp;A for adjustment details. Net income attributable to noncontrolling interests included for these adjustments is insignificant in the three and nine months ended September 30, 2019. The tax effect of each adjustment is determined based on the tax laws and valuation allowance status of the jurisdiction to which the adjustment relates.</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4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Four Quarters Ended</w:t>
            </w:r>
          </w:p>
        </w:tc>
      </w:tr>
      <w:tr>
        <w:trPr>
          <w:trHeight w:val="187"/>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8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September 30, 2019</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5"/>
              <w:spacing w:after="0"/>
              <w:rPr>
                <w:sz w:val="20"/>
                <w:szCs w:val="20"/>
                <w:color w:val="auto"/>
              </w:rPr>
            </w:pPr>
            <w:r>
              <w:rPr>
                <w:rFonts w:ascii="Arial" w:cs="Arial" w:eastAsia="Arial" w:hAnsi="Arial"/>
                <w:sz w:val="18"/>
                <w:szCs w:val="18"/>
                <w:color w:val="auto"/>
              </w:rPr>
              <w:t>42.8</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Four Quarters Ended</w:t>
            </w:r>
          </w:p>
        </w:tc>
      </w:tr>
      <w:tr>
        <w:trPr>
          <w:trHeight w:val="187"/>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11.1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ind w:left="1040"/>
              <w:spacing w:after="0"/>
              <w:rPr>
                <w:sz w:val="20"/>
                <w:szCs w:val="20"/>
                <w:color w:val="auto"/>
              </w:rPr>
            </w:pPr>
            <w:r>
              <w:rPr>
                <w:rFonts w:ascii="Arial" w:cs="Arial" w:eastAsia="Arial" w:hAnsi="Arial"/>
                <w:sz w:val="18"/>
                <w:szCs w:val="18"/>
                <w:color w:val="auto"/>
              </w:rPr>
              <w:t>42.8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14.8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0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Arial" w:cs="Arial" w:eastAsia="Arial" w:hAnsi="Arial"/>
                <w:sz w:val="18"/>
                <w:szCs w:val="18"/>
                <w:color w:val="auto"/>
              </w:rPr>
              <w:t>16.5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(23.3)</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50.8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21.9 %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the markets and products in which we will invest and compete; building profitable adjacent businesses; and targeting 10% core margins on an EBIT-adjusted basis.</w:t>
      </w:r>
    </w:p>
    <w:p>
      <w:pPr>
        <w:spacing w:after="0" w:line="231" w:lineRule="exact"/>
        <w:rPr>
          <w:sz w:val="20"/>
          <w:szCs w:val="20"/>
          <w:color w:val="auto"/>
        </w:rPr>
      </w:pPr>
    </w:p>
    <w:p>
      <w:pPr>
        <w:jc w:val="both"/>
        <w:ind w:firstLine="162"/>
        <w:spacing w:after="0" w:line="237" w:lineRule="auto"/>
        <w:rPr>
          <w:sz w:val="20"/>
          <w:szCs w:val="20"/>
          <w:color w:val="auto"/>
        </w:rPr>
      </w:pPr>
      <w:r>
        <w:rPr>
          <w:rFonts w:ascii="Arial" w:cs="Arial" w:eastAsia="Arial" w:hAnsi="Arial"/>
          <w:sz w:val="18"/>
          <w:szCs w:val="18"/>
          <w:color w:val="auto"/>
        </w:rPr>
        <w:t>The COVID-19 pandemic and government actions and measures taken to prevent its spread continue to affect our operations. In response to COVID-19, we previously suspended the majority of our global manufacturing operations and our Automotive China JVs’ manufacturing operations. By May 2020, we had resumed our global manufacturing operations. Government-imposed restrictions on businesses, operations and travel and the related economic uncertainty have impacted demand for our vehicles in most of our global markets. During the first half of 2020, we executed a number of austerity measures, including aggressive actions to reduce costs, such as limiting advertising and other third-party spending, deferring salaried employee compensation and delaying non-critical projects, including certain future product programs. The majority of the austerity measures we put into place will normalize as production normalizes. The extent of COVID-19’s impact on our future operations, liquidity and the demand for our products will depend upon, among other things, the duration and severity of the outbreak or subsequent outbreaks and related government responses such as required physical distancing, restrictions on business operations and travel, the pace of recovery of economic activity and the impact to consumers, all of which are uncertain and difficult to predict in light of the rapidly evolving landscape. Refer to Part II, Item 1A. Risk Factors for a full discussion of the risks associated with the COVID-19 pandemic.</w:t>
      </w:r>
    </w:p>
    <w:p>
      <w:pPr>
        <w:spacing w:after="0" w:line="22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Part I, Item 1A. Risk Factors of our 2019 Form 10-K for a discussion of these challenges.</w:t>
      </w:r>
    </w:p>
    <w:p>
      <w:pPr>
        <w:spacing w:after="0" w:line="21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are on track for these transformation activities to drive between $5.5 billion and $6.0 billion of annual cash savings by the end of 2020, consisting of $4.0 billion to $4.5 billion in cost savings primarily from reductions in Automotive and other cost of sales in our condensed consolidated financial statements, with the remainder in reduced capital expenditures. We previously announced plans to reduce capital expenditures from approximately $8.5 billion to approximately $7.0 billion, on a normalized run-rate basis. However, as a result of re-timing 2020 spending due to pandemic related austerity measures and a strategic decision to accelerate investments in our all-electric future, we expect that our annual capital expenditures will exceed $7.0 billion through at least 2023. 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6"/>
          <w:szCs w:val="16"/>
          <w:b w:val="1"/>
          <w:bCs w:val="1"/>
          <w:i w:val="1"/>
          <w:iCs w:val="1"/>
          <w:color w:val="auto"/>
        </w:rPr>
        <w:t xml:space="preserve">GMNA </w:t>
      </w:r>
      <w:r>
        <w:rPr>
          <w:rFonts w:ascii="Arial" w:cs="Arial" w:eastAsia="Arial" w:hAnsi="Arial"/>
          <w:sz w:val="16"/>
          <w:szCs w:val="16"/>
          <w:color w:val="auto"/>
        </w:rPr>
        <w:t>Industry sales in North America were 12.6 million units in the nine months ended September 30, 2020, representing a decrease of 20.3%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corresponding period in 2019. U.S. industry sales were 10.6 million units in the nine months ended September 30, 2020, representing a decrease of 19.0% compared to the corresponding period in 2019. As described above, the COVID-19 pandemic has resulted in a significant contraction of total North America industry volumes in 2020. Industry volumes will ultimately depend upon, among other things, the duration and severity of the outbreak or subsequent outbreaks, related government responses and economic recovery, all of which are uncertain and difficult to predict in light of the rapidly evolving landscape. Dealer inventory remains constrained for several critical vehicles, including our full-size trucks.</w:t>
      </w:r>
    </w:p>
    <w:p>
      <w:pPr>
        <w:spacing w:after="0" w:line="1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total vehicle sales in the U.S., our largest market in North America, totaled 1.8 million units for market share of 16.7% in the nine months ended September 30, 2020, representing an increase of 0.3 percentage points compared to the corresponding period in 2019. We continue to lead the U.S. industry in market share.</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in response to COVID-19, we suspended production across our manufacturing facilities in March 2020. By May 2020, we had resumed critical manufacturing operations and reached normalized production levels in June 2020. We continue to follow physical distancing guidance, enhanced deep cleaning procedures and provide personal protective equipment to protect our employees.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17.0 million units in the nine months ended September 30, 2020, representing a decrease of 7.5%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2019. Our total vehicle sales in China were 1.9 million units for market share of 11.4% in the nine months ended September 30, 2020, representing a decrease of 0.8 percentage points compared to the corresponding period in 2019. The sales across all brands decreased in the nine months ended September 30, 2020, compared to the corresponding period in 2019, primarily driven by an industry downturn significantly impacted by the COVID-19 pandemic. We expect both GM and industry sales to continue to recover as the impact of the COVID-19 pandemic in China subsides; however, the ongoing global macro-economic impact of COVID-19 and geopolitical tensions may continue to place pressure on China's automotive industry. Our Automotive China JVs generated equity income of $0.3 billion in the nine months ended September 30, 2020. A continuation of industry weakness and pricing pressures, a more challenging regulatory environment related to emissions, fuel consumption and new energy vehicles will continue to place pressure on our operations in China. We will continue to build upon our strong brands, network, and partnerships in China as well as continue to drive improvements in vehicle mix and cost.</w:t>
      </w:r>
    </w:p>
    <w:p>
      <w:pPr>
        <w:spacing w:after="0" w:line="21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industry sales were 14.6 million units in the nine months ended September 30, 2020, representing a decrease of 24.3% compared to the corresponding period in 2019, primarily due to the ongoing global macro-economic impact of COVID-19. Our total vehicle sales outside of China were 0.7 million units for market share of 4.9% in the nine months ended September 30, 2020, representing an increase of 0.2 percentage points compared to the corresponding period in 2019.</w:t>
      </w:r>
    </w:p>
    <w:p>
      <w:pPr>
        <w:spacing w:after="0" w:line="21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nine months ended September 30, 2020, restructuring actions in GMI were related to the wind-down of Holden sales, design and engineering operations in Australia and New Zealand, with cessation of Holden vehicle sales by 2021, the execution of definitive agreements with Great Wall Motors to sell our vehicle and powertrain manufacturing facilities in Thailand, and the wind-down of our vehicle sales operations in Thailand, targeted for completion by the end of 2020. These actions were taken to strengthen the Company's core business and focus investment on other opportunities that will derive the greatest returns for shareholders and support investment in future technologies. We recorded charges of $0.7 billion in the nine months ended September 30, 2020 and expect to incur additional charges and net cash outflows of insignificant amounts in the three months ending December 31, 2020. We also recorded deferred tax charges of $0.2 billion in the nine months ended September 30, 2020. The charges will primarily be considered special for EBIT-adjusted, EPS-diluted-adjusted and adjusted automotive free cash flow purposes. We intend to continue to provide servicing and spare parts to customers for an extended period of time in Australia, New Zealand and Thailand. Refer to Note 17 to our condensed consolidated financial statements for additional information related to these restructuring actions.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Corporate </w:t>
      </w:r>
      <w:r>
        <w:rPr>
          <w:rFonts w:ascii="Arial" w:cs="Arial" w:eastAsia="Arial" w:hAnsi="Arial"/>
          <w:sz w:val="17"/>
          <w:szCs w:val="17"/>
          <w:color w:val="auto"/>
        </w:rPr>
        <w:t>Mark-to-market equity securities and warrants held by Corporate totaled $0.7 billion at September 30, 2020, a decrease of $0.8 billion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2019, due to the liquidation of our shares in Lyft and market price fluctuations. Market price changes of our PSA warrants generated unrealized losses of $0.2 billion in the nine months ended September 30, 2020, compared to gains of $0.2 billion in the corresponding period in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2020, 30.0% of our wholesale vehicle sales volume was generated outside the U.S. The following table summarizes wholesale vehicle sales by automotive segment (vehicles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r>
      <w:tr>
        <w:trPr>
          <w:trHeight w:val="187"/>
        </w:trPr>
        <w:tc>
          <w:tcPr>
            <w:tcW w:w="3660" w:type="dxa"/>
            <w:vAlign w:val="bottom"/>
          </w:tcPr>
          <w:p>
            <w:pPr>
              <w:spacing w:after="0"/>
              <w:rPr>
                <w:sz w:val="16"/>
                <w:szCs w:val="16"/>
                <w:color w:val="auto"/>
              </w:rPr>
            </w:pP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8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8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September 30, 2019</w:t>
            </w:r>
          </w:p>
        </w:tc>
      </w:tr>
      <w:tr>
        <w:trPr>
          <w:trHeight w:val="22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77.7 %</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238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 2020</w:t>
            </w:r>
          </w:p>
        </w:tc>
        <w:tc>
          <w:tcPr>
            <w:tcW w:w="240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 2019</w:t>
            </w:r>
          </w:p>
        </w:tc>
        <w:tc>
          <w:tcPr>
            <w:tcW w:w="240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 2020</w:t>
            </w:r>
          </w:p>
        </w:tc>
        <w:tc>
          <w:tcPr>
            <w:tcW w:w="230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8"/>
              <w:spacing w:after="0" w:line="135"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8"/>
              <w:spacing w:after="0" w:line="135"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08"/>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w:t>
            </w:r>
          </w:p>
        </w:tc>
        <w:tc>
          <w:tcPr>
            <w:tcW w:w="8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12.4 %</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13.3 %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13.5 %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186"/>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4,822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12,646</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15"/>
        </w:trPr>
        <w:tc>
          <w:tcPr>
            <w:tcW w:w="1700" w:type="dxa"/>
            <w:vAlign w:val="bottom"/>
          </w:tcPr>
          <w:p>
            <w:pPr>
              <w:spacing w:after="0" w:line="115" w:lineRule="exact"/>
              <w:rPr>
                <w:sz w:val="20"/>
                <w:szCs w:val="20"/>
                <w:color w:val="auto"/>
              </w:rPr>
            </w:pPr>
            <w:r>
              <w:rPr>
                <w:rFonts w:ascii="Arial" w:cs="Arial" w:eastAsia="Arial" w:hAnsi="Arial"/>
                <w:sz w:val="13"/>
                <w:szCs w:val="13"/>
                <w:b w:val="1"/>
                <w:bCs w:val="1"/>
                <w:color w:val="auto"/>
              </w:rPr>
              <w:t>Asia/Pacific, Middle East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80"/>
              <w:spacing w:after="0"/>
              <w:rPr>
                <w:sz w:val="20"/>
                <w:szCs w:val="20"/>
                <w:color w:val="auto"/>
              </w:rPr>
            </w:pPr>
            <w:r>
              <w:rPr>
                <w:rFonts w:ascii="Arial" w:cs="Arial" w:eastAsia="Arial" w:hAnsi="Arial"/>
                <w:sz w:val="14"/>
                <w:szCs w:val="14"/>
                <w:b w:val="1"/>
                <w:bCs w:val="1"/>
                <w:color w:val="auto"/>
              </w:rPr>
              <w:t>and Africa</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17,005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12,504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Total Asia/Pacific, Middle</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11,226</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905</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10,931</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29,509</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34,496</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East and Africa</w:t>
            </w: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12.6 %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86"/>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16,906</w:t>
            </w:r>
          </w:p>
        </w:tc>
        <w:tc>
          <w:tcPr>
            <w:tcW w:w="10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1,793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10.6 %</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17,450</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10.7 %</w:t>
            </w:r>
          </w:p>
        </w:tc>
        <w:tc>
          <w:tcPr>
            <w:tcW w:w="1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44,268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4,716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10.7 %</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53,574</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5,681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4,396</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10,609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21,204</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21,846</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54,877</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68,051</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United States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700" w:type="dxa"/>
            <w:vAlign w:val="bottom"/>
          </w:tcPr>
          <w:p>
            <w:pPr>
              <w:ind w:left="20"/>
              <w:spacing w:after="0"/>
              <w:rPr>
                <w:sz w:val="20"/>
                <w:szCs w:val="20"/>
                <w:color w:val="auto"/>
              </w:rPr>
            </w:pPr>
            <w:r>
              <w:rPr>
                <w:rFonts w:ascii="Arial" w:cs="Arial" w:eastAsia="Arial" w:hAnsi="Arial"/>
                <w:sz w:val="14"/>
                <w:szCs w:val="14"/>
                <w:color w:val="auto"/>
              </w:rPr>
              <w:t>Cars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2,447</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3,579</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13.8 %</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5,315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211"/>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4,015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10,629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6,668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17,005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18,385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20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2020, we estimate we were the market share leader in North America and had the number two market share in China.</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6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160" w:type="dxa"/>
            <w:vAlign w:val="bottom"/>
            <w:gridSpan w:val="3"/>
          </w:tcPr>
          <w:p>
            <w:pPr>
              <w:jc w:val="right"/>
              <w:ind w:right="87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820" w:type="dxa"/>
            <w:vAlign w:val="bottom"/>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54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6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52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September 30, 2019</w:t>
            </w: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570</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339</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909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661"/>
        </w:trPr>
        <w:tc>
          <w:tcPr>
            <w:tcW w:w="4820" w:type="dxa"/>
            <w:vAlign w:val="bottom"/>
          </w:tcPr>
          <w:p>
            <w:pPr>
              <w:spacing w:after="0"/>
              <w:rPr>
                <w:sz w:val="24"/>
                <w:szCs w:val="24"/>
                <w:color w:val="auto"/>
              </w:rPr>
            </w:pPr>
          </w:p>
        </w:tc>
        <w:tc>
          <w:tcPr>
            <w:tcW w:w="1520" w:type="dxa"/>
            <w:vAlign w:val="bottom"/>
          </w:tcPr>
          <w:p>
            <w:pPr>
              <w:jc w:val="right"/>
              <w:ind w:right="5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4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67" w:lineRule="auto"/>
        <w:rPr>
          <w:sz w:val="20"/>
          <w:szCs w:val="20"/>
          <w:color w:val="auto"/>
        </w:rPr>
      </w:pPr>
      <w:r>
        <w:rPr>
          <w:rFonts w:ascii="Arial" w:cs="Arial" w:eastAsia="Arial" w:hAnsi="Arial"/>
          <w:sz w:val="16"/>
          <w:szCs w:val="16"/>
          <w:b w:val="1"/>
          <w:bCs w:val="1"/>
          <w:i w:val="1"/>
          <w:iCs w:val="1"/>
          <w:color w:val="auto"/>
        </w:rPr>
        <w:t xml:space="preserve">GM Financial </w:t>
      </w:r>
      <w:r>
        <w:rPr>
          <w:rFonts w:ascii="Arial" w:cs="Arial" w:eastAsia="Arial" w:hAnsi="Arial"/>
          <w:sz w:val="16"/>
          <w:szCs w:val="16"/>
          <w:color w:val="auto"/>
        </w:rPr>
        <w:t>We believe that offering a comprehensive suite of financing products will generate incremental sales of our vehicles, drive incremental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GM Financial earnings and help support our sales throughout various economic cycles. GM Financial's leasing program is exposed to residual values, which are heavily dependent on used vehicle prices. Used vehicle prices fluctuated during the nine months ended September 30, 2020. After decreasing in March and April, used vehicle sales volume and pricing steadily rebounded through August, primarily due to low new vehicle inventory and strong demand for used vehicles. GM Financial currently expects used vehicle prices will increase for the full year 2020 compared to 2019 by an amount in the low-single digits on a percentage basis. Used vehicle prices may face pressure in 2021 relative to 2020 driven by normalizing new vehicle inventory, rising used vehicle supply primarily due to an increase in trade-in activity and off-lease vehicles, and ongoing economic uncertainty resulting in an outlook for a decline in used vehicle prices of mid-single digits on a percentage basis. As of March 31, 2020, following the onset of the COVID-19 pandemic, GM Financial updated residual value estimates based upon weak used vehicle market forecasts and increased the depreciation rate for the remaining term of the leased vehicles portfolio. GM Financial recorded gains on termination of leased vehicles of $0.7 billion and $0.9 billion in GM Financial interest, operating and other expenses in the three and nine months ended September 30, 2020, compared to gains of $0.3 billion and $0.6 billion in the corresponding periods in 2019, primarily due to unexpected strength in used vehicle prices as well as lower net book values from increased depreciation rates. GM Financial updated residual value estimates as of September 30, 2020, and is decreasing the depreciation rate for the remaining term of its leased vehicle portfolio. If used vehicle prices outperform GM Financial's latest estimates, it may record gains on sales of off-lease vehicles due to lower net book values and/or further decrease depreciation expense in future quarters. Likewise, if used vehicle prices weaken compared to estimates, GM Financial may record losses on sales of off-lease vehicles due to higher net book values and/or increase depreciation expense in future quarters. The following table summarizes the estimated residual value based on GM Financial's most recent estimates and the number of units included in GM Financial Equipment on operating leases, net by vehicle type (units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3"/>
              </w:rPr>
              <w:t>September 30, 2020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December 31, 2019</w:t>
            </w:r>
          </w:p>
        </w:tc>
        <w:tc>
          <w:tcPr>
            <w:tcW w:w="1400" w:type="dxa"/>
            <w:vAlign w:val="bottom"/>
            <w:tcBorders>
              <w:bottom w:val="single" w:sz="8" w:color="auto"/>
            </w:tcBorders>
          </w:tcPr>
          <w:p>
            <w:pPr>
              <w:spacing w:after="0"/>
              <w:rPr>
                <w:sz w:val="16"/>
                <w:szCs w:val="16"/>
                <w:color w:val="auto"/>
              </w:rPr>
            </w:pPr>
          </w:p>
        </w:tc>
      </w:tr>
      <w:tr>
        <w:trPr>
          <w:trHeight w:val="187"/>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Trucks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GM Financial's penetration of our retail sales in the U.S. increased to 46% in the nine months ended September 30, 2020 from 45% in the corresponding period in 2019. Penetration levels vary depending on incentive financing programs available and competing third-party financing products in the market. GM Financial's prime loan originations as a percentage of total loan originations in North America increased to 74% in the nine months ended September 30, 2020 from 70% in the nine months ended September 30, 2019. In the nine months ended September 30, 2020, GM Financial's revenue consisted of leased vehicle income of 69%, retail finance charge income of 26% and commercial finance charge income of 3%.</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Due to the impact of the COVID-19 pandemic, the relationship between revenues and costs in the three and nine months ended September 30, 2020 may not be indicative of results for the remainder of 2020. Refer to the regional sections of this MD&amp;A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89140"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1645920"/>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vMerge w:val="restart"/>
          </w:tcPr>
          <w:p>
            <w:pPr>
              <w:spacing w:after="0"/>
              <w:rPr>
                <w:sz w:val="15"/>
                <w:szCs w:val="15"/>
                <w:color w:val="auto"/>
              </w:rPr>
            </w:pPr>
          </w:p>
        </w:tc>
        <w:tc>
          <w:tcPr>
            <w:tcW w:w="9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2460" w:type="dxa"/>
            <w:vAlign w:val="bottom"/>
          </w:tcPr>
          <w:p>
            <w:pPr>
              <w:spacing w:after="0"/>
              <w:rPr>
                <w:sz w:val="20"/>
                <w:szCs w:val="20"/>
                <w:color w:val="auto"/>
              </w:rPr>
            </w:pPr>
            <w:r>
              <w:rPr>
                <w:rFonts w:ascii="Arial" w:cs="Arial" w:eastAsia="Arial" w:hAnsi="Arial"/>
                <w:sz w:val="16"/>
                <w:szCs w:val="16"/>
                <w:color w:val="auto"/>
              </w:rPr>
              <w:t>GMNA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29,128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27,971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color w:val="auto"/>
              </w:rPr>
              <w:t>GMI</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color w:val="auto"/>
              </w:rPr>
              <w:t>Cruise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6"/>
                <w:szCs w:val="16"/>
                <w:color w:val="auto"/>
              </w:rPr>
              <w:t>GM Financial</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9"/>
        </w:trPr>
        <w:tc>
          <w:tcPr>
            <w:tcW w:w="2460" w:type="dxa"/>
            <w:vAlign w:val="bottom"/>
          </w:tcPr>
          <w:p>
            <w:pPr>
              <w:spacing w:after="0"/>
              <w:rPr>
                <w:sz w:val="20"/>
                <w:szCs w:val="20"/>
                <w:color w:val="auto"/>
              </w:rPr>
            </w:pPr>
            <w:r>
              <w:rPr>
                <w:rFonts w:ascii="Arial" w:cs="Arial" w:eastAsia="Arial" w:hAnsi="Arial"/>
                <w:sz w:val="16"/>
                <w:szCs w:val="16"/>
                <w:color w:val="auto"/>
              </w:rPr>
              <w:t>Eliminations/reclassifications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Total net sales and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4"/>
              </w:rPr>
              <w:t>Volume</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Other</w:t>
            </w:r>
          </w:p>
        </w:tc>
      </w:tr>
      <w:tr>
        <w:trPr>
          <w:trHeight w:val="186"/>
        </w:trPr>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2"/>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3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99" w:lineRule="exact"/>
        <w:rPr>
          <w:sz w:val="20"/>
          <w:szCs w:val="20"/>
          <w:color w:val="auto"/>
        </w:rPr>
      </w:pPr>
    </w:p>
    <w:p>
      <w:pPr>
        <w:sectPr>
          <w:pgSz w:w="11900" w:h="16838" w:orient="portrait"/>
          <w:cols w:equalWidth="0" w:num="2">
            <w:col w:w="7760" w:space="220"/>
            <w:col w:w="3200"/>
          </w:cols>
          <w:pgMar w:left="320" w:top="125" w:right="399" w:bottom="1440" w:gutter="0" w:footer="0" w:header="0"/>
          <w:type w:val="continuous"/>
        </w:sect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5"/>
                <w:szCs w:val="15"/>
                <w:color w:val="auto"/>
              </w:rPr>
            </w:pPr>
          </w:p>
        </w:tc>
        <w:tc>
          <w:tcPr>
            <w:tcW w:w="106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5"/>
                <w:szCs w:val="15"/>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5"/>
                <w:szCs w:val="15"/>
                <w:color w:val="auto"/>
              </w:rPr>
            </w:pPr>
          </w:p>
        </w:tc>
        <w:tc>
          <w:tcPr>
            <w:tcW w:w="6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9"/>
              </w:rPr>
              <w:t>Price</w:t>
            </w:r>
          </w:p>
        </w:tc>
        <w:tc>
          <w:tcPr>
            <w:tcW w:w="2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1"/>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w w:val="95"/>
              </w:rPr>
              <w:t>(Dollars in billions)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24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74,576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95,503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(20,927)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4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106,411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89140" cy="1457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145732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vMerge w:val="restart"/>
          </w:tcPr>
          <w:p>
            <w:pPr>
              <w:spacing w:after="0"/>
              <w:rPr>
                <w:sz w:val="15"/>
                <w:szCs w:val="15"/>
                <w:color w:val="auto"/>
              </w:rPr>
            </w:pPr>
          </w:p>
        </w:tc>
        <w:tc>
          <w:tcPr>
            <w:tcW w:w="9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380" w:type="dxa"/>
            <w:vAlign w:val="bottom"/>
          </w:tcPr>
          <w:p>
            <w:pPr>
              <w:ind w:left="20"/>
              <w:spacing w:after="0"/>
              <w:rPr>
                <w:sz w:val="20"/>
                <w:szCs w:val="20"/>
                <w:color w:val="auto"/>
              </w:rPr>
            </w:pPr>
            <w:r>
              <w:rPr>
                <w:rFonts w:ascii="Arial" w:cs="Arial" w:eastAsia="Arial" w:hAnsi="Arial"/>
                <w:sz w:val="16"/>
                <w:szCs w:val="16"/>
                <w:color w:val="auto"/>
              </w:rPr>
              <w:t>GMNA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24,021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24,089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52"/>
        </w:trPr>
        <w:tc>
          <w:tcPr>
            <w:tcW w:w="2380" w:type="dxa"/>
            <w:vAlign w:val="bottom"/>
          </w:tcPr>
          <w:p>
            <w:pPr>
              <w:spacing w:after="0" w:line="152" w:lineRule="exact"/>
              <w:rPr>
                <w:sz w:val="20"/>
                <w:szCs w:val="20"/>
                <w:color w:val="auto"/>
              </w:rPr>
            </w:pPr>
            <w:r>
              <w:rPr>
                <w:rFonts w:ascii="Arial" w:cs="Arial" w:eastAsia="Arial" w:hAnsi="Arial"/>
                <w:sz w:val="16"/>
                <w:szCs w:val="16"/>
                <w:color w:val="auto"/>
                <w:w w:val="97"/>
              </w:rPr>
              <w:t>Total automotive and other cost of</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ind w:right="1"/>
              <w:spacing w:after="0"/>
              <w:rPr>
                <w:sz w:val="20"/>
                <w:szCs w:val="20"/>
                <w:color w:val="auto"/>
              </w:rPr>
            </w:pPr>
            <w:r>
              <w:rPr>
                <w:rFonts w:ascii="Arial" w:cs="Arial" w:eastAsia="Arial" w:hAnsi="Arial"/>
                <w:sz w:val="16"/>
                <w:szCs w:val="16"/>
                <w:color w:val="auto"/>
              </w:rPr>
              <w:t>27,169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28,174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1,005</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190"/>
        </w:trPr>
        <w:tc>
          <w:tcPr>
            <w:tcW w:w="238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Volume</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Other</w:t>
            </w:r>
          </w:p>
        </w:tc>
      </w:tr>
      <w:tr>
        <w:trPr>
          <w:trHeight w:val="217"/>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billions)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101"/>
              <w:spacing w:after="0"/>
              <w:rPr>
                <w:sz w:val="20"/>
                <w:szCs w:val="20"/>
                <w:color w:val="auto"/>
              </w:rPr>
            </w:pPr>
            <w:r>
              <w:rPr>
                <w:rFonts w:ascii="Arial" w:cs="Arial" w:eastAsia="Arial" w:hAnsi="Arial"/>
                <w:sz w:val="16"/>
                <w:szCs w:val="16"/>
                <w:color w:val="auto"/>
                <w:w w:val="89"/>
              </w:rPr>
              <w:t>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81"/>
              <w:spacing w:after="0"/>
              <w:rPr>
                <w:sz w:val="20"/>
                <w:szCs w:val="20"/>
                <w:color w:val="auto"/>
              </w:rPr>
            </w:pPr>
            <w:r>
              <w:rPr>
                <w:rFonts w:ascii="Arial" w:cs="Arial" w:eastAsia="Arial" w:hAnsi="Arial"/>
                <w:sz w:val="16"/>
                <w:szCs w:val="16"/>
                <w:color w:val="auto"/>
                <w:w w:val="91"/>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0.4</w:t>
            </w:r>
          </w:p>
        </w:tc>
      </w:tr>
      <w:tr>
        <w:trPr>
          <w:trHeight w:val="216"/>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81"/>
              <w:spacing w:after="0"/>
              <w:rPr>
                <w:sz w:val="20"/>
                <w:szCs w:val="20"/>
                <w:color w:val="auto"/>
              </w:rPr>
            </w:pPr>
            <w:r>
              <w:rPr>
                <w:rFonts w:ascii="Arial" w:cs="Arial" w:eastAsia="Arial" w:hAnsi="Arial"/>
                <w:sz w:val="16"/>
                <w:szCs w:val="16"/>
                <w:color w:val="auto"/>
                <w:w w:val="91"/>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101"/>
              <w:spacing w:after="0"/>
              <w:rPr>
                <w:sz w:val="20"/>
                <w:szCs w:val="20"/>
                <w:color w:val="auto"/>
              </w:rPr>
            </w:pPr>
            <w:r>
              <w:rPr>
                <w:rFonts w:ascii="Arial" w:cs="Arial" w:eastAsia="Arial" w:hAnsi="Arial"/>
                <w:sz w:val="16"/>
                <w:szCs w:val="16"/>
                <w:color w:val="auto"/>
                <w:w w:val="89"/>
              </w:rPr>
              <w:t>0.1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94"/>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101"/>
              <w:spacing w:after="0"/>
              <w:rPr>
                <w:sz w:val="20"/>
                <w:szCs w:val="20"/>
                <w:color w:val="auto"/>
              </w:rPr>
            </w:pPr>
            <w:r>
              <w:rPr>
                <w:rFonts w:ascii="Arial" w:cs="Arial" w:eastAsia="Arial" w:hAnsi="Arial"/>
                <w:sz w:val="16"/>
                <w:szCs w:val="16"/>
                <w:color w:val="auto"/>
                <w:w w:val="89"/>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0.4</w:t>
            </w:r>
          </w:p>
        </w:tc>
      </w:tr>
    </w:tbl>
    <w:p>
      <w:pPr>
        <w:spacing w:after="0" w:line="100" w:lineRule="exact"/>
        <w:rPr>
          <w:sz w:val="20"/>
          <w:szCs w:val="20"/>
          <w:color w:val="auto"/>
        </w:rPr>
      </w:pPr>
    </w:p>
    <w:p>
      <w:pPr>
        <w:sectPr>
          <w:pgSz w:w="11900" w:h="16838" w:orient="portrait"/>
          <w:cols w:equalWidth="0" w:num="2">
            <w:col w:w="7720" w:space="220"/>
            <w:col w:w="33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098030" cy="1431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43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vMerge w:val="restart"/>
          </w:tcPr>
          <w:p>
            <w:pPr>
              <w:spacing w:after="0"/>
              <w:rPr>
                <w:sz w:val="15"/>
                <w:szCs w:val="15"/>
                <w:color w:val="auto"/>
              </w:rPr>
            </w:pPr>
          </w:p>
        </w:tc>
        <w:tc>
          <w:tcPr>
            <w:tcW w:w="90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2340" w:type="dxa"/>
            <w:vAlign w:val="bottom"/>
          </w:tcPr>
          <w:p>
            <w:pPr>
              <w:ind w:left="20"/>
              <w:spacing w:after="0"/>
              <w:rPr>
                <w:sz w:val="20"/>
                <w:szCs w:val="20"/>
                <w:color w:val="auto"/>
              </w:rPr>
            </w:pPr>
            <w:r>
              <w:rPr>
                <w:rFonts w:ascii="Arial" w:cs="Arial" w:eastAsia="Arial" w:hAnsi="Arial"/>
                <w:sz w:val="16"/>
                <w:szCs w:val="16"/>
                <w:color w:val="auto"/>
              </w:rPr>
              <w:t>GMNA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57,739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73,431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GMI</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Cruise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152"/>
        </w:trPr>
        <w:tc>
          <w:tcPr>
            <w:tcW w:w="2340" w:type="dxa"/>
            <w:vAlign w:val="bottom"/>
          </w:tcPr>
          <w:p>
            <w:pPr>
              <w:spacing w:after="0" w:line="152" w:lineRule="exact"/>
              <w:rPr>
                <w:sz w:val="20"/>
                <w:szCs w:val="20"/>
                <w:color w:val="auto"/>
              </w:rPr>
            </w:pPr>
            <w:r>
              <w:rPr>
                <w:rFonts w:ascii="Arial" w:cs="Arial" w:eastAsia="Arial" w:hAnsi="Arial"/>
                <w:sz w:val="16"/>
                <w:szCs w:val="16"/>
                <w:color w:val="auto"/>
                <w:w w:val="95"/>
              </w:rPr>
              <w:t>Total automotive and other cost of</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67,339</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84,730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17,391</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190"/>
        </w:trPr>
        <w:tc>
          <w:tcPr>
            <w:tcW w:w="2340" w:type="dxa"/>
            <w:vAlign w:val="bottom"/>
          </w:tcPr>
          <w:p>
            <w:pPr>
              <w:ind w:left="18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Other</w:t>
            </w:r>
          </w:p>
        </w:tc>
      </w:tr>
      <w:tr>
        <w:trPr>
          <w:trHeight w:val="186"/>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(Dollars in billions)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3"/>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7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99" w:lineRule="exact"/>
        <w:rPr>
          <w:sz w:val="20"/>
          <w:szCs w:val="20"/>
          <w:color w:val="auto"/>
        </w:rPr>
      </w:pPr>
    </w:p>
    <w:p>
      <w:pPr>
        <w:sectPr>
          <w:pgSz w:w="11900" w:h="16838" w:orient="portrait"/>
          <w:cols w:equalWidth="0" w:num="2">
            <w:col w:w="7720" w:space="220"/>
            <w:col w:w="33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7"/>
          <w:szCs w:val="17"/>
          <w:color w:val="auto"/>
        </w:rPr>
        <w:t>In the three months ended September 30, 2020, favorable Cost was primarily due to: (1) favorable cost of $0.6 billion primarily due to the impact of COVID-19, inclusive of austerity measures as well as cost savings associated with transformation activities; (2) a decrease in campaigns and other warranty-related costs of $0.3 billion; and (3) charges of $0.3 billion primarily in supplier-related charges resulting from transformation activities in 2019; partially offset by (4) increased material costs of $0.3 billion. In the three months ended September 30, 2020, favorable Other was due to the foreign currency effect resulting from the weakening of the Brazilian Real and other currencies against the U.S. Dollar.</w:t>
      </w:r>
    </w:p>
    <w:p>
      <w:pPr>
        <w:spacing w:after="0" w:line="201" w:lineRule="exact"/>
        <w:rPr>
          <w:sz w:val="20"/>
          <w:szCs w:val="20"/>
          <w:color w:val="auto"/>
        </w:rPr>
      </w:pPr>
    </w:p>
    <w:p>
      <w:pPr>
        <w:jc w:val="both"/>
        <w:ind w:firstLine="162"/>
        <w:spacing w:after="0" w:line="238" w:lineRule="auto"/>
        <w:rPr>
          <w:sz w:val="20"/>
          <w:szCs w:val="20"/>
          <w:color w:val="auto"/>
        </w:rPr>
      </w:pPr>
      <w:r>
        <w:rPr>
          <w:rFonts w:ascii="Arial" w:cs="Arial" w:eastAsia="Arial" w:hAnsi="Arial"/>
          <w:sz w:val="18"/>
          <w:szCs w:val="18"/>
          <w:color w:val="auto"/>
        </w:rPr>
        <w:t>In the nine months ended September 30, 2020, favorable Cost was primarily due to: (1) favorable cost of $1.6 billion primarily due to the impact of COVID-19, inclusive of the suspension of production and austerity measures as well as cost savings associated with transformation activities; (2) charges of $1.4 billion primarily related to accelerated depreciation and supplier-related charges resulting from transformation activities in 2019; (3) decreased costs of $0.3 billion related to parts and accessories sales; and (4) a decrease in campaigns and other warranty-related costs of $0.3 billion; partially offset by (5) a benefit of $1.4 billion related to the retrospective recoveries of indirect taxes in Brazil in 2019; and (6) charges of $0.6 billion primarily related to dealer restructuring charges, property and intangible asset impairments and inventory provisions in Australia, Thailand and New Zealand. In the nine months ended September 30, 2020, favorable Other was due to the foreign currency effect resulting from the weakening of the Brazilian Real and other currencies against the U.S. Dollar.</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94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Favorable/</w:t>
            </w:r>
          </w:p>
        </w:tc>
        <w:tc>
          <w:tcPr>
            <w:tcW w:w="8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40" w:type="dxa"/>
            <w:vAlign w:val="bottom"/>
          </w:tcPr>
          <w:p>
            <w:pPr>
              <w:spacing w:after="0"/>
              <w:rPr>
                <w:sz w:val="11"/>
                <w:szCs w:val="11"/>
                <w:color w:val="auto"/>
              </w:rPr>
            </w:pPr>
          </w:p>
        </w:tc>
        <w:tc>
          <w:tcPr>
            <w:tcW w:w="94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Favorable/</w:t>
            </w:r>
          </w:p>
        </w:tc>
        <w:tc>
          <w:tcPr>
            <w:tcW w:w="8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18.9 %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6,209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21.0 %</w:t>
            </w:r>
          </w:p>
        </w:tc>
        <w:tc>
          <w:tcPr>
            <w:tcW w:w="0" w:type="dxa"/>
            <w:vAlign w:val="bottom"/>
          </w:tcPr>
          <w:p>
            <w:pPr>
              <w:spacing w:after="0"/>
              <w:rPr>
                <w:sz w:val="1"/>
                <w:szCs w:val="1"/>
                <w:color w:val="auto"/>
              </w:rPr>
            </w:pPr>
          </w:p>
        </w:tc>
      </w:tr>
      <w:tr>
        <w:trPr>
          <w:trHeight w:val="90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September 30, 2020, Automotive and other selling, general and administrative expense decreased due to decreased advertising and other costs of $0.4 billion primarily related to the impact of COVID-19, inclusive of austerity measures and cost savings associated with transformation activities.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nine months ended September 30, 2020, Automotive and other selling, general and administrative expense decreased due to decreased advertising and other costs of $1.3 billion primarily related to the impact of COVID-19, inclusive of austerity measures and cost savings associated with transformation activities.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3"/>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96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Favorable/</w:t>
            </w:r>
          </w:p>
        </w:tc>
        <w:tc>
          <w:tcPr>
            <w:tcW w:w="68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September 30, 2020</w:t>
            </w: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7"/>
              </w:rPr>
              <w:t>September 30, 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Favorable/</w:t>
            </w: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6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w w:val="99"/>
              </w:rPr>
              <w:t>Interest income and other non-</w:t>
            </w: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(8.6)%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4"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the three months ended September 30, 2020, Interest income and other non-operating income, net increased primarily due to losses related to our investment in Lyft of $0.3 billion in 2019 and increased non-service pension income of $0.2 billion, partially offset by several other insignificant items.</w:t>
      </w:r>
    </w:p>
    <w:p>
      <w:pPr>
        <w:spacing w:after="0" w:line="15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nine months ended September 30, 2020, Interest income and other non-operating income, net decreased primarily due to losses related to PSA warrants of $0.4 billion and several other insignificant items, partially offset by increased non-service pension income of $0.4 billion.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gains (losses) related to our investment in Lyft and PSA warrants: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0"/>
              </w:rPr>
              <w:t>Nine Months Ended</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0"/>
              </w:rPr>
              <w:t>September 30, 2020</w:t>
            </w:r>
          </w:p>
        </w:tc>
        <w:tc>
          <w:tcPr>
            <w:tcW w:w="120" w:type="dxa"/>
            <w:vAlign w:val="bottom"/>
            <w:gridSpan w:val="2"/>
            <w:vMerge w:val="restart"/>
          </w:tcPr>
          <w:p>
            <w:pPr>
              <w:spacing w:after="0"/>
              <w:rPr>
                <w:sz w:val="11"/>
                <w:szCs w:val="11"/>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7"/>
              </w:rPr>
              <w:t>September 30, 2019</w:t>
            </w:r>
          </w:p>
        </w:tc>
        <w:tc>
          <w:tcPr>
            <w:tcW w:w="100" w:type="dxa"/>
            <w:vAlign w:val="bottom"/>
            <w:gridSpan w:val="2"/>
            <w:vMerge w:val="restart"/>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right w:val="single" w:sz="8" w:color="auto"/>
            </w:tcBorders>
            <w:gridSpan w:val="5"/>
          </w:tcPr>
          <w:p>
            <w:pPr>
              <w:ind w:left="160"/>
              <w:spacing w:after="0" w:line="135" w:lineRule="exact"/>
              <w:rPr>
                <w:sz w:val="20"/>
                <w:szCs w:val="20"/>
                <w:color w:val="auto"/>
              </w:rPr>
            </w:pPr>
            <w:r>
              <w:rPr>
                <w:rFonts w:ascii="Arial" w:cs="Arial" w:eastAsia="Arial" w:hAnsi="Arial"/>
                <w:sz w:val="13"/>
                <w:szCs w:val="13"/>
                <w:b w:val="1"/>
                <w:bCs w:val="1"/>
                <w:color w:val="auto"/>
              </w:rPr>
              <w:t>Favorable/</w:t>
            </w:r>
          </w:p>
        </w:tc>
        <w:tc>
          <w:tcPr>
            <w:tcW w:w="80" w:type="dxa"/>
            <w:vAlign w:val="bottom"/>
          </w:tcPr>
          <w:p>
            <w:pPr>
              <w:spacing w:after="0"/>
              <w:rPr>
                <w:sz w:val="11"/>
                <w:szCs w:val="11"/>
                <w:color w:val="auto"/>
              </w:rPr>
            </w:pPr>
          </w:p>
        </w:tc>
        <w:tc>
          <w:tcPr>
            <w:tcW w:w="1200" w:type="dxa"/>
            <w:vAlign w:val="bottom"/>
            <w:gridSpan w:val="3"/>
            <w:vMerge w:val="restart"/>
          </w:tcPr>
          <w:p>
            <w:pPr>
              <w:jc w:val="right"/>
              <w:ind w:right="5"/>
              <w:spacing w:after="0"/>
              <w:rPr>
                <w:sz w:val="20"/>
                <w:szCs w:val="20"/>
                <w:color w:val="auto"/>
              </w:rPr>
            </w:pPr>
            <w:r>
              <w:rPr>
                <w:rFonts w:ascii="Arial" w:cs="Arial" w:eastAsia="Arial" w:hAnsi="Arial"/>
                <w:sz w:val="13"/>
                <w:szCs w:val="13"/>
                <w:b w:val="1"/>
                <w:bCs w:val="1"/>
                <w:color w:val="auto"/>
                <w:w w:val="90"/>
              </w:rPr>
              <w:t>September 30, 2020</w:t>
            </w:r>
          </w:p>
        </w:tc>
        <w:tc>
          <w:tcPr>
            <w:tcW w:w="100" w:type="dxa"/>
            <w:vAlign w:val="bottom"/>
            <w:vMerge w:val="restart"/>
          </w:tcPr>
          <w:p>
            <w:pPr>
              <w:spacing w:after="0"/>
              <w:rPr>
                <w:sz w:val="11"/>
                <w:szCs w:val="11"/>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0"/>
              </w:rPr>
              <w:t>September 30, 2019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48"/>
              <w:spacing w:after="0" w:line="135" w:lineRule="exact"/>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(Unfavorable)</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related to Lyft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Gains (losses) related to PSA warrants</w:t>
            </w:r>
          </w:p>
        </w:tc>
        <w:tc>
          <w:tcPr>
            <w:tcW w:w="20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Total gains (losses) on investments</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Income Tax Expense</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6"/>
            <w:vMerge w:val="restart"/>
          </w:tcPr>
          <w:p>
            <w:pPr>
              <w:jc w:val="right"/>
              <w:ind w:right="560"/>
              <w:spacing w:after="0"/>
              <w:rPr>
                <w:sz w:val="20"/>
                <w:szCs w:val="20"/>
                <w:color w:val="auto"/>
              </w:rPr>
            </w:pPr>
            <w:r>
              <w:rPr>
                <w:rFonts w:ascii="Arial" w:cs="Arial" w:eastAsia="Arial" w:hAnsi="Arial"/>
                <w:sz w:val="13"/>
                <w:szCs w:val="13"/>
                <w:b w:val="1"/>
                <w:bCs w:val="1"/>
                <w:color w:val="auto"/>
              </w:rPr>
              <w:t>Three Months Ended</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Nine Months 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120" w:type="dxa"/>
            <w:vAlign w:val="bottom"/>
          </w:tcPr>
          <w:p>
            <w:pPr>
              <w:spacing w:after="0"/>
              <w:rPr>
                <w:sz w:val="11"/>
                <w:szCs w:val="11"/>
                <w:color w:val="auto"/>
              </w:rPr>
            </w:pP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Favorable/</w:t>
            </w:r>
          </w:p>
        </w:tc>
        <w:tc>
          <w:tcPr>
            <w:tcW w:w="16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w w:val="87"/>
              </w:rPr>
              <w:t>September 30, 2020</w:t>
            </w:r>
          </w:p>
        </w:tc>
        <w:tc>
          <w:tcPr>
            <w:tcW w:w="100" w:type="dxa"/>
            <w:vAlign w:val="bottom"/>
            <w:vMerge w:val="restart"/>
          </w:tcPr>
          <w:p>
            <w:pPr>
              <w:spacing w:after="0"/>
              <w:rPr>
                <w:sz w:val="11"/>
                <w:szCs w:val="11"/>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7"/>
              </w:rPr>
              <w:t>September 30, 2019</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Favorable/</w:t>
            </w:r>
          </w:p>
        </w:tc>
        <w:tc>
          <w:tcPr>
            <w:tcW w:w="100" w:type="dxa"/>
            <w:vAlign w:val="bottom"/>
            <w:vMerge w:val="restart"/>
          </w:tcPr>
          <w:p>
            <w:pPr>
              <w:spacing w:after="0"/>
              <w:rPr>
                <w:sz w:val="11"/>
                <w:szCs w:val="11"/>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2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0"/>
              </w:rPr>
              <w:t>(200)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September 30, 2020, Income tax expense increased primarily due to an increase in pre-tax income.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nine months ended September 30, 2020, Income tax expense increased primarily due to changes in valuation allowance, the absence of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benefits from foreign activity and several other insignificant items, partially offset by a decrease in pre-tax income.</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three and nine months ended September 30, 2020, our ETR-adjusted was 18.1% and 18.4%.</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additional information related to Income tax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08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4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September 30, 2020</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Favorable /</w:t>
            </w:r>
          </w:p>
        </w:tc>
        <w:tc>
          <w:tcPr>
            <w:tcW w:w="9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160" w:type="dxa"/>
            <w:vAlign w:val="bottom"/>
          </w:tcPr>
          <w:p>
            <w:pPr>
              <w:ind w:left="20"/>
              <w:spacing w:after="0"/>
              <w:rPr>
                <w:sz w:val="20"/>
                <w:szCs w:val="20"/>
                <w:color w:val="auto"/>
              </w:rPr>
            </w:pPr>
            <w:r>
              <w:rPr>
                <w:rFonts w:ascii="Arial" w:cs="Arial" w:eastAsia="Arial" w:hAnsi="Arial"/>
                <w:sz w:val="18"/>
                <w:szCs w:val="18"/>
                <w:color w:val="auto"/>
                <w:w w:val="95"/>
              </w:rPr>
              <w:t>Total net sales and revenue</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29,128</w:t>
            </w:r>
          </w:p>
        </w:tc>
        <w:tc>
          <w:tcPr>
            <w:tcW w:w="74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27,971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4,366</w:t>
            </w:r>
          </w:p>
        </w:tc>
        <w:tc>
          <w:tcPr>
            <w:tcW w:w="74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3,023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21"/>
        </w:trPr>
        <w:tc>
          <w:tcPr>
            <w:tcW w:w="2160" w:type="dxa"/>
            <w:vAlign w:val="bottom"/>
          </w:tcPr>
          <w:p>
            <w:pPr>
              <w:spacing w:after="0"/>
              <w:rPr>
                <w:sz w:val="20"/>
                <w:szCs w:val="20"/>
                <w:color w:val="auto"/>
              </w:rPr>
            </w:pPr>
            <w:r>
              <w:rPr>
                <w:rFonts w:ascii="Arial" w:cs="Arial" w:eastAsia="Arial" w:hAnsi="Arial"/>
                <w:sz w:val="18"/>
                <w:szCs w:val="18"/>
                <w:color w:val="auto"/>
              </w:rPr>
              <w:t>EBIT-adjusted margin</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15.0 %</w:t>
            </w:r>
          </w:p>
        </w:tc>
        <w:tc>
          <w:tcPr>
            <w:tcW w:w="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16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40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799</w:t>
            </w:r>
          </w:p>
        </w:tc>
        <w:tc>
          <w:tcPr>
            <w:tcW w:w="74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208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p>
      <w:pPr>
        <w:ind w:left="100"/>
        <w:spacing w:after="0"/>
        <w:tabs>
          <w:tab w:leader="none" w:pos="940" w:val="left"/>
          <w:tab w:leader="none" w:pos="1600" w:val="left"/>
          <w:tab w:leader="none" w:pos="2300" w:val="left"/>
          <w:tab w:leader="none" w:pos="294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4"/>
          <w:szCs w:val="14"/>
          <w:b w:val="1"/>
          <w:bCs w:val="1"/>
          <w:color w:val="auto"/>
        </w:rPr>
        <w:t>Other</w:t>
      </w:r>
    </w:p>
    <w:p>
      <w:pPr>
        <w:spacing w:after="0" w:line="42"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r>
    </w:tbl>
    <w:p>
      <w:pPr>
        <w:spacing w:after="0" w:line="847" w:lineRule="exact"/>
        <w:rPr>
          <w:sz w:val="20"/>
          <w:szCs w:val="20"/>
          <w:color w:val="auto"/>
        </w:rPr>
      </w:pPr>
    </w:p>
    <w:p>
      <w:pPr>
        <w:sectPr>
          <w:pgSz w:w="11900" w:h="16838" w:orient="portrait"/>
          <w:cols w:equalWidth="0" w:num="2">
            <w:col w:w="7560" w:space="240"/>
            <w:col w:w="3440"/>
          </w:cols>
          <w:pgMar w:left="320" w:top="125" w:right="3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14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September 30, 2020</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Favorable /</w:t>
            </w: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140" w:type="dxa"/>
            <w:vAlign w:val="bottom"/>
          </w:tcPr>
          <w:p>
            <w:pPr>
              <w:spacing w:after="0"/>
              <w:rPr>
                <w:sz w:val="20"/>
                <w:szCs w:val="20"/>
                <w:color w:val="auto"/>
              </w:rPr>
            </w:pPr>
            <w:r>
              <w:rPr>
                <w:rFonts w:ascii="Arial" w:cs="Arial" w:eastAsia="Arial" w:hAnsi="Arial"/>
                <w:sz w:val="18"/>
                <w:szCs w:val="18"/>
                <w:color w:val="auto"/>
                <w:w w:val="95"/>
              </w:rPr>
              <w:t>Total net sales and revenue</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66,563</w:t>
            </w:r>
          </w:p>
        </w:tc>
        <w:tc>
          <w:tcPr>
            <w:tcW w:w="72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83,660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(17,097)</w:t>
            </w:r>
          </w:p>
        </w:tc>
        <w:tc>
          <w:tcPr>
            <w:tcW w:w="12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EBIT-adjusted</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6,459</w:t>
            </w:r>
          </w:p>
        </w:tc>
        <w:tc>
          <w:tcPr>
            <w:tcW w:w="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7,941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1"/>
        </w:trPr>
        <w:tc>
          <w:tcPr>
            <w:tcW w:w="2140" w:type="dxa"/>
            <w:vAlign w:val="bottom"/>
          </w:tcPr>
          <w:p>
            <w:pPr>
              <w:spacing w:after="0"/>
              <w:rPr>
                <w:sz w:val="20"/>
                <w:szCs w:val="20"/>
                <w:color w:val="auto"/>
              </w:rPr>
            </w:pPr>
            <w:r>
              <w:rPr>
                <w:rFonts w:ascii="Arial" w:cs="Arial" w:eastAsia="Arial" w:hAnsi="Arial"/>
                <w:sz w:val="18"/>
                <w:szCs w:val="18"/>
                <w:color w:val="auto"/>
              </w:rPr>
              <w:t>EBIT-adjusted margin</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9.7 %</w:t>
            </w: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40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1,905</w:t>
            </w:r>
          </w:p>
        </w:tc>
        <w:tc>
          <w:tcPr>
            <w:tcW w:w="72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2,530</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p>
      <w:pPr>
        <w:ind w:left="100"/>
        <w:spacing w:after="0"/>
        <w:tabs>
          <w:tab w:leader="none" w:pos="940" w:val="left"/>
          <w:tab w:leader="none" w:pos="1600" w:val="left"/>
          <w:tab w:leader="none" w:pos="2300" w:val="left"/>
          <w:tab w:leader="none" w:pos="296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42"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(Dollars in billions)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848" w:lineRule="exact"/>
        <w:rPr>
          <w:sz w:val="20"/>
          <w:szCs w:val="20"/>
          <w:color w:val="auto"/>
        </w:rPr>
      </w:pPr>
    </w:p>
    <w:p>
      <w:pPr>
        <w:sectPr>
          <w:pgSz w:w="11900" w:h="16838" w:orient="portrait"/>
          <w:cols w:equalWidth="0" w:num="2">
            <w:col w:w="7540" w:space="240"/>
            <w:col w:w="3460"/>
          </w:cols>
          <w:pgMar w:left="320" w:top="125" w:right="339" w:bottom="1440" w:gutter="0" w:footer="0" w:header="0"/>
          <w:type w:val="continuous"/>
        </w:sectPr>
      </w:pPr>
    </w:p>
    <w:p>
      <w:pPr>
        <w:spacing w:after="0" w:line="5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September 30, 2020, Total net sales and revenue increased primarily due to: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favorable mix associated with increased sales of full-size pickup trucks and decreased sales of passenger cars, partially offset by decreased sales associated with the launch of our new full-size SUVs; and (2) favorable price primarily due to full-size SUVs.</w:t>
      </w:r>
    </w:p>
    <w:p>
      <w:pPr>
        <w:spacing w:after="0" w:line="20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2020, Total net sales and revenue decreased primarily due to: (1) decreased net wholesale volumes across most vehicle lines as a result of suspending production due to the COVID-19 pandemic, partially offset by lost production volumes associated with the UAW strike in 2019; and (2) unfavorable Other primarily due to decreased sales of parts and accessories and the foreign currency effect resulting from the weakening of the Mexican Peso against the U.S. Dollar; partially offset by (3) favorable price primarily due to full-size SUVs, pickup trucks and crossover vehicles; and (4) favorable mix associated with decreased sales of passenger cars and crossover vehicles, partially offset by decreased sales of full-size SUVs and pickup trucks.</w:t>
      </w:r>
    </w:p>
    <w:p>
      <w:pPr>
        <w:spacing w:after="0" w:line="21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September 30, 2020, EBIT-adjusted increased primarily due to: (1) favorable Cost due to savings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advertising, and engineering of $0.6 billion, inclusive of austerity measures in response to the COVID-19 pandemic as well as transformation activities and a decrease in campaigns and other warranty-related costs of $0.3 billion, partially offset by increased material costs of $0.2 billion; and (2) favorable price.</w:t>
      </w:r>
    </w:p>
    <w:p>
      <w:pPr>
        <w:spacing w:after="0" w:line="214"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6"/>
          <w:szCs w:val="16"/>
          <w:color w:val="auto"/>
        </w:rPr>
        <w:t>In the nine months ended September 30, 2020, EBIT-adjusted decreased primarily due to: (1) decreased net wholesale volumes; (2) unfavorable mix associated with decreased sales of full-size SUVs and pickup trucks, partially offset by decreased sales of passenger cars and crossover vehicles; and (3) unfavorable Other primarily due to the foreign currency effect resulting from the weakening of the Mexican Peso against the U.S. Dollar; partially offset by</w:t>
      </w:r>
    </w:p>
    <w:p>
      <w:pPr>
        <w:jc w:val="both"/>
        <w:ind w:firstLine="8"/>
        <w:spacing w:after="0" w:line="239" w:lineRule="auto"/>
        <w:tabs>
          <w:tab w:leader="none" w:pos="2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Cost due to savings in advertising, manufacturing, engineering and other administrative and selling of $2.3 billion, inclusive of austerity measures in response to the COVID-19 pandemic as well as transformation activities, increased non-service pension income of $0.3 billion and a decrease in campaigns and other warranty-related costs of $0.3 billion; and (5) favorable price.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22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14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September 30, 2020</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260" w:type="dxa"/>
            <w:vAlign w:val="bottom"/>
          </w:tcPr>
          <w:p>
            <w:pPr>
              <w:ind w:left="20"/>
              <w:spacing w:after="0"/>
              <w:rPr>
                <w:sz w:val="20"/>
                <w:szCs w:val="20"/>
                <w:color w:val="auto"/>
              </w:rPr>
            </w:pPr>
            <w:r>
              <w:rPr>
                <w:rFonts w:ascii="Arial" w:cs="Arial" w:eastAsia="Arial" w:hAnsi="Arial"/>
                <w:sz w:val="18"/>
                <w:szCs w:val="18"/>
                <w:color w:val="auto"/>
                <w:w w:val="99"/>
              </w:rPr>
              <w:t>Total net sales and revenue</w:t>
            </w: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2,735</w:t>
            </w:r>
          </w:p>
        </w:tc>
        <w:tc>
          <w:tcPr>
            <w:tcW w:w="7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3,794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8"/>
                <w:szCs w:val="18"/>
                <w:color w:val="auto"/>
              </w:rPr>
              <w:t>EBIT (loss)-adjusted margin</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0.4 %</w:t>
            </w: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line="176" w:lineRule="exact"/>
              <w:rPr>
                <w:sz w:val="20"/>
                <w:szCs w:val="20"/>
                <w:color w:val="auto"/>
              </w:rPr>
            </w:pPr>
            <w:r>
              <w:rPr>
                <w:rFonts w:ascii="Arial" w:cs="Arial" w:eastAsia="Arial" w:hAnsi="Arial"/>
                <w:sz w:val="18"/>
                <w:szCs w:val="18"/>
                <w:i w:val="1"/>
                <w:iCs w:val="1"/>
                <w:color w:val="auto"/>
                <w:w w:val="96"/>
              </w:rPr>
              <w:t>Equity income — Automotive</w:t>
            </w:r>
          </w:p>
        </w:tc>
        <w:tc>
          <w:tcPr>
            <w:tcW w:w="440" w:type="dxa"/>
            <w:vAlign w:val="bottom"/>
            <w:vMerge w:val="restart"/>
          </w:tcPr>
          <w:p>
            <w:pPr>
              <w:jc w:val="right"/>
              <w:ind w:right="234"/>
              <w:spacing w:after="0"/>
              <w:rPr>
                <w:sz w:val="20"/>
                <w:szCs w:val="20"/>
                <w:color w:val="auto"/>
              </w:rPr>
            </w:pPr>
            <w:r>
              <w:rPr>
                <w:rFonts w:ascii="Arial" w:cs="Arial" w:eastAsia="Arial" w:hAnsi="Arial"/>
                <w:sz w:val="18"/>
                <w:szCs w:val="18"/>
                <w:i w:val="1"/>
                <w:iCs w:val="1"/>
                <w:color w:val="auto"/>
                <w:w w:val="99"/>
              </w:rPr>
              <w:t>$</w:t>
            </w:r>
          </w:p>
        </w:tc>
        <w:tc>
          <w:tcPr>
            <w:tcW w:w="960" w:type="dxa"/>
            <w:vAlign w:val="bottom"/>
            <w:vMerge w:val="restart"/>
          </w:tcPr>
          <w:p>
            <w:pPr>
              <w:jc w:val="right"/>
              <w:ind w:right="153"/>
              <w:spacing w:after="0"/>
              <w:rPr>
                <w:sz w:val="20"/>
                <w:szCs w:val="20"/>
                <w:color w:val="auto"/>
              </w:rPr>
            </w:pPr>
            <w:r>
              <w:rPr>
                <w:rFonts w:ascii="Arial" w:cs="Arial" w:eastAsia="Arial" w:hAnsi="Arial"/>
                <w:sz w:val="18"/>
                <w:szCs w:val="18"/>
                <w:i w:val="1"/>
                <w:iCs w:val="1"/>
                <w:color w:val="auto"/>
              </w:rPr>
              <w:t>262</w:t>
            </w:r>
          </w:p>
        </w:tc>
        <w:tc>
          <w:tcPr>
            <w:tcW w:w="780" w:type="dxa"/>
            <w:vAlign w:val="bottom"/>
            <w:vMerge w:val="restart"/>
          </w:tcPr>
          <w:p>
            <w:pPr>
              <w:jc w:val="right"/>
              <w:ind w:right="496"/>
              <w:spacing w:after="0"/>
              <w:rPr>
                <w:sz w:val="20"/>
                <w:szCs w:val="20"/>
                <w:color w:val="auto"/>
              </w:rPr>
            </w:pPr>
            <w:r>
              <w:rPr>
                <w:rFonts w:ascii="Arial" w:cs="Arial" w:eastAsia="Arial" w:hAnsi="Arial"/>
                <w:sz w:val="18"/>
                <w:szCs w:val="18"/>
                <w:i w:val="1"/>
                <w:iCs w:val="1"/>
                <w:color w:val="auto"/>
              </w:rPr>
              <w:t>$</w:t>
            </w: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282</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(20)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(7.1)%</w:t>
            </w:r>
          </w:p>
        </w:tc>
        <w:tc>
          <w:tcPr>
            <w:tcW w:w="0" w:type="dxa"/>
            <w:vAlign w:val="bottom"/>
          </w:tcPr>
          <w:p>
            <w:pPr>
              <w:spacing w:after="0"/>
              <w:rPr>
                <w:sz w:val="1"/>
                <w:szCs w:val="1"/>
                <w:color w:val="auto"/>
              </w:rPr>
            </w:pPr>
          </w:p>
        </w:tc>
      </w:tr>
      <w:tr>
        <w:trPr>
          <w:trHeight w:val="229"/>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4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line="176" w:lineRule="exact"/>
              <w:rPr>
                <w:sz w:val="20"/>
                <w:szCs w:val="20"/>
                <w:color w:val="auto"/>
              </w:rPr>
            </w:pPr>
            <w:r>
              <w:rPr>
                <w:rFonts w:ascii="Arial" w:cs="Arial" w:eastAsia="Arial" w:hAnsi="Arial"/>
                <w:sz w:val="18"/>
                <w:szCs w:val="18"/>
                <w:i w:val="1"/>
                <w:iCs w:val="1"/>
                <w:color w:val="auto"/>
              </w:rPr>
              <w:t>EBIT (loss)-adjusted —</w:t>
            </w:r>
          </w:p>
        </w:tc>
        <w:tc>
          <w:tcPr>
            <w:tcW w:w="440" w:type="dxa"/>
            <w:vAlign w:val="bottom"/>
            <w:vMerge w:val="restart"/>
          </w:tcPr>
          <w:p>
            <w:pPr>
              <w:jc w:val="right"/>
              <w:ind w:right="234"/>
              <w:spacing w:after="0"/>
              <w:rPr>
                <w:sz w:val="20"/>
                <w:szCs w:val="20"/>
                <w:color w:val="auto"/>
              </w:rPr>
            </w:pPr>
            <w:r>
              <w:rPr>
                <w:rFonts w:ascii="Arial" w:cs="Arial" w:eastAsia="Arial" w:hAnsi="Arial"/>
                <w:sz w:val="18"/>
                <w:szCs w:val="18"/>
                <w:i w:val="1"/>
                <w:iCs w:val="1"/>
                <w:color w:val="auto"/>
                <w:w w:val="99"/>
              </w:rPr>
              <w:t>$</w:t>
            </w:r>
          </w:p>
        </w:tc>
        <w:tc>
          <w:tcPr>
            <w:tcW w:w="960" w:type="dxa"/>
            <w:vAlign w:val="bottom"/>
            <w:vMerge w:val="restart"/>
          </w:tcPr>
          <w:p>
            <w:pPr>
              <w:jc w:val="right"/>
              <w:ind w:right="113"/>
              <w:spacing w:after="0"/>
              <w:rPr>
                <w:sz w:val="20"/>
                <w:szCs w:val="20"/>
                <w:color w:val="auto"/>
              </w:rPr>
            </w:pPr>
            <w:r>
              <w:rPr>
                <w:rFonts w:ascii="Arial" w:cs="Arial" w:eastAsia="Arial" w:hAnsi="Arial"/>
                <w:sz w:val="18"/>
                <w:szCs w:val="18"/>
                <w:i w:val="1"/>
                <w:iCs w:val="1"/>
                <w:color w:val="auto"/>
              </w:rPr>
              <w:t>(252)</w:t>
            </w:r>
          </w:p>
        </w:tc>
        <w:tc>
          <w:tcPr>
            <w:tcW w:w="780" w:type="dxa"/>
            <w:vAlign w:val="bottom"/>
            <w:vMerge w:val="restart"/>
          </w:tcPr>
          <w:p>
            <w:pPr>
              <w:jc w:val="right"/>
              <w:ind w:right="496"/>
              <w:spacing w:after="0"/>
              <w:rPr>
                <w:sz w:val="20"/>
                <w:szCs w:val="20"/>
                <w:color w:val="auto"/>
              </w:rPr>
            </w:pPr>
            <w:r>
              <w:rPr>
                <w:rFonts w:ascii="Arial" w:cs="Arial" w:eastAsia="Arial" w:hAnsi="Arial"/>
                <w:sz w:val="18"/>
                <w:szCs w:val="18"/>
                <w:i w:val="1"/>
                <w:iCs w:val="1"/>
                <w:color w:val="auto"/>
              </w:rPr>
              <w:t>$</w:t>
            </w:r>
          </w:p>
        </w:tc>
        <w:tc>
          <w:tcPr>
            <w:tcW w:w="700" w:type="dxa"/>
            <w:vAlign w:val="bottom"/>
            <w:vMerge w:val="restart"/>
          </w:tcPr>
          <w:p>
            <w:pPr>
              <w:jc w:val="right"/>
              <w:ind w:right="90"/>
              <w:spacing w:after="0"/>
              <w:rPr>
                <w:sz w:val="20"/>
                <w:szCs w:val="20"/>
                <w:color w:val="auto"/>
              </w:rPr>
            </w:pPr>
            <w:r>
              <w:rPr>
                <w:rFonts w:ascii="Arial" w:cs="Arial" w:eastAsia="Arial" w:hAnsi="Arial"/>
                <w:sz w:val="18"/>
                <w:szCs w:val="18"/>
                <w:i w:val="1"/>
                <w:iCs w:val="1"/>
                <w:color w:val="auto"/>
              </w:rPr>
              <w:t>(347)</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95</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27.4 %</w:t>
            </w:r>
          </w:p>
        </w:tc>
        <w:tc>
          <w:tcPr>
            <w:tcW w:w="0" w:type="dxa"/>
            <w:vAlign w:val="bottom"/>
          </w:tcPr>
          <w:p>
            <w:pPr>
              <w:spacing w:after="0"/>
              <w:rPr>
                <w:sz w:val="1"/>
                <w:szCs w:val="1"/>
                <w:color w:val="auto"/>
              </w:rPr>
            </w:pPr>
          </w:p>
        </w:tc>
      </w:tr>
      <w:tr>
        <w:trPr>
          <w:trHeight w:val="220"/>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44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166</w:t>
            </w:r>
          </w:p>
        </w:tc>
        <w:tc>
          <w:tcPr>
            <w:tcW w:w="7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233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23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Mix</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Other</w:t>
            </w:r>
          </w:p>
        </w:tc>
      </w:tr>
      <w:tr>
        <w:trPr>
          <w:trHeight w:val="186"/>
        </w:trPr>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56" w:lineRule="exact"/>
        <w:rPr>
          <w:sz w:val="20"/>
          <w:szCs w:val="20"/>
          <w:color w:val="auto"/>
        </w:rPr>
      </w:pPr>
    </w:p>
    <w:p>
      <w:pPr>
        <w:sectPr>
          <w:pgSz w:w="11900" w:h="16838" w:orient="portrait"/>
          <w:cols w:equalWidth="0" w:num="2">
            <w:col w:w="7580" w:space="220"/>
            <w:col w:w="34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4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7"/>
              </w:rPr>
              <w:t>September 30, 2020</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240" w:type="dxa"/>
            <w:vAlign w:val="bottom"/>
          </w:tcPr>
          <w:p>
            <w:pPr>
              <w:spacing w:after="0"/>
              <w:rPr>
                <w:sz w:val="20"/>
                <w:szCs w:val="20"/>
                <w:color w:val="auto"/>
              </w:rPr>
            </w:pPr>
            <w:r>
              <w:rPr>
                <w:rFonts w:ascii="Arial" w:cs="Arial" w:eastAsia="Arial" w:hAnsi="Arial"/>
                <w:sz w:val="18"/>
                <w:szCs w:val="18"/>
                <w:color w:val="auto"/>
                <w:w w:val="99"/>
              </w:rPr>
              <w:t>Total net sales and revenue</w:t>
            </w:r>
          </w:p>
        </w:tc>
        <w:tc>
          <w:tcPr>
            <w:tcW w:w="40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7,692</w:t>
            </w:r>
          </w:p>
        </w:tc>
        <w:tc>
          <w:tcPr>
            <w:tcW w:w="72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11,691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(3,999)</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(811)</w:t>
            </w:r>
          </w:p>
        </w:tc>
        <w:tc>
          <w:tcPr>
            <w:tcW w:w="7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w w:val="99"/>
              </w:rPr>
              <w:t>EBIT (loss)-adjusted margin</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line="176" w:lineRule="exact"/>
              <w:rPr>
                <w:sz w:val="20"/>
                <w:szCs w:val="20"/>
                <w:color w:val="auto"/>
              </w:rPr>
            </w:pPr>
            <w:r>
              <w:rPr>
                <w:rFonts w:ascii="Arial" w:cs="Arial" w:eastAsia="Arial" w:hAnsi="Arial"/>
                <w:sz w:val="18"/>
                <w:szCs w:val="18"/>
                <w:i w:val="1"/>
                <w:iCs w:val="1"/>
                <w:color w:val="auto"/>
                <w:w w:val="96"/>
              </w:rPr>
              <w:t>Equity income — Automotive</w:t>
            </w:r>
          </w:p>
        </w:tc>
        <w:tc>
          <w:tcPr>
            <w:tcW w:w="400" w:type="dxa"/>
            <w:vAlign w:val="bottom"/>
            <w:vMerge w:val="restart"/>
          </w:tcPr>
          <w:p>
            <w:pPr>
              <w:jc w:val="right"/>
              <w:ind w:right="214"/>
              <w:spacing w:after="0"/>
              <w:rPr>
                <w:sz w:val="20"/>
                <w:szCs w:val="20"/>
                <w:color w:val="auto"/>
              </w:rPr>
            </w:pPr>
            <w:r>
              <w:rPr>
                <w:rFonts w:ascii="Arial" w:cs="Arial" w:eastAsia="Arial" w:hAnsi="Arial"/>
                <w:sz w:val="18"/>
                <w:szCs w:val="18"/>
                <w:i w:val="1"/>
                <w:iCs w:val="1"/>
                <w:color w:val="auto"/>
                <w:w w:val="79"/>
              </w:rPr>
              <w:t>$</w:t>
            </w:r>
          </w:p>
        </w:tc>
        <w:tc>
          <w:tcPr>
            <w:tcW w:w="1000" w:type="dxa"/>
            <w:vAlign w:val="bottom"/>
            <w:vMerge w:val="restart"/>
          </w:tcPr>
          <w:p>
            <w:pPr>
              <w:jc w:val="right"/>
              <w:ind w:right="153"/>
              <w:spacing w:after="0"/>
              <w:rPr>
                <w:sz w:val="20"/>
                <w:szCs w:val="20"/>
                <w:color w:val="auto"/>
              </w:rPr>
            </w:pPr>
            <w:r>
              <w:rPr>
                <w:rFonts w:ascii="Arial" w:cs="Arial" w:eastAsia="Arial" w:hAnsi="Arial"/>
                <w:sz w:val="18"/>
                <w:szCs w:val="18"/>
                <w:i w:val="1"/>
                <w:iCs w:val="1"/>
                <w:color w:val="auto"/>
              </w:rPr>
              <w:t>264</w:t>
            </w:r>
          </w:p>
        </w:tc>
        <w:tc>
          <w:tcPr>
            <w:tcW w:w="720" w:type="dxa"/>
            <w:vAlign w:val="bottom"/>
            <w:vMerge w:val="restart"/>
          </w:tcPr>
          <w:p>
            <w:pPr>
              <w:jc w:val="right"/>
              <w:ind w:right="436"/>
              <w:spacing w:after="0"/>
              <w:rPr>
                <w:sz w:val="20"/>
                <w:szCs w:val="20"/>
                <w:color w:val="auto"/>
              </w:rPr>
            </w:pPr>
            <w:r>
              <w:rPr>
                <w:rFonts w:ascii="Arial" w:cs="Arial" w:eastAsia="Arial" w:hAnsi="Arial"/>
                <w:sz w:val="18"/>
                <w:szCs w:val="18"/>
                <w:i w:val="1"/>
                <w:iCs w:val="1"/>
                <w:color w:val="auto"/>
              </w:rPr>
              <w:t>$</w:t>
            </w: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i w:val="1"/>
                <w:iCs w:val="1"/>
                <w:color w:val="auto"/>
              </w:rPr>
              <w:t>893</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vMerge w:val="restart"/>
          </w:tcPr>
          <w:p>
            <w:pPr>
              <w:jc w:val="right"/>
              <w:ind w:right="75"/>
              <w:spacing w:after="0"/>
              <w:rPr>
                <w:sz w:val="20"/>
                <w:szCs w:val="20"/>
                <w:color w:val="auto"/>
              </w:rPr>
            </w:pPr>
            <w:r>
              <w:rPr>
                <w:rFonts w:ascii="Arial" w:cs="Arial" w:eastAsia="Arial" w:hAnsi="Arial"/>
                <w:sz w:val="18"/>
                <w:szCs w:val="18"/>
                <w:i w:val="1"/>
                <w:iCs w:val="1"/>
                <w:color w:val="auto"/>
              </w:rPr>
              <w:t>(629)</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(70.4)%</w:t>
            </w:r>
          </w:p>
        </w:tc>
        <w:tc>
          <w:tcPr>
            <w:tcW w:w="0" w:type="dxa"/>
            <w:vAlign w:val="bottom"/>
          </w:tcPr>
          <w:p>
            <w:pPr>
              <w:spacing w:after="0"/>
              <w:rPr>
                <w:sz w:val="1"/>
                <w:szCs w:val="1"/>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4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line="176" w:lineRule="exact"/>
              <w:rPr>
                <w:sz w:val="20"/>
                <w:szCs w:val="20"/>
                <w:color w:val="auto"/>
              </w:rPr>
            </w:pPr>
            <w:r>
              <w:rPr>
                <w:rFonts w:ascii="Arial" w:cs="Arial" w:eastAsia="Arial" w:hAnsi="Arial"/>
                <w:sz w:val="18"/>
                <w:szCs w:val="18"/>
                <w:i w:val="1"/>
                <w:iCs w:val="1"/>
                <w:color w:val="auto"/>
              </w:rPr>
              <w:t>EBIT (loss)-adjusted —</w:t>
            </w:r>
          </w:p>
        </w:tc>
        <w:tc>
          <w:tcPr>
            <w:tcW w:w="400" w:type="dxa"/>
            <w:vAlign w:val="bottom"/>
            <w:vMerge w:val="restart"/>
          </w:tcPr>
          <w:p>
            <w:pPr>
              <w:jc w:val="right"/>
              <w:ind w:right="214"/>
              <w:spacing w:after="0"/>
              <w:rPr>
                <w:sz w:val="20"/>
                <w:szCs w:val="20"/>
                <w:color w:val="auto"/>
              </w:rPr>
            </w:pPr>
            <w:r>
              <w:rPr>
                <w:rFonts w:ascii="Arial" w:cs="Arial" w:eastAsia="Arial" w:hAnsi="Arial"/>
                <w:sz w:val="18"/>
                <w:szCs w:val="18"/>
                <w:i w:val="1"/>
                <w:iCs w:val="1"/>
                <w:color w:val="auto"/>
                <w:w w:val="79"/>
              </w:rPr>
              <w:t>$</w:t>
            </w:r>
          </w:p>
        </w:tc>
        <w:tc>
          <w:tcPr>
            <w:tcW w:w="1000" w:type="dxa"/>
            <w:vAlign w:val="bottom"/>
            <w:vMerge w:val="restart"/>
          </w:tcPr>
          <w:p>
            <w:pPr>
              <w:jc w:val="right"/>
              <w:ind w:right="93"/>
              <w:spacing w:after="0"/>
              <w:rPr>
                <w:sz w:val="20"/>
                <w:szCs w:val="20"/>
                <w:color w:val="auto"/>
              </w:rPr>
            </w:pPr>
            <w:r>
              <w:rPr>
                <w:rFonts w:ascii="Arial" w:cs="Arial" w:eastAsia="Arial" w:hAnsi="Arial"/>
                <w:sz w:val="18"/>
                <w:szCs w:val="18"/>
                <w:i w:val="1"/>
                <w:iCs w:val="1"/>
                <w:color w:val="auto"/>
              </w:rPr>
              <w:t>(1,075)</w:t>
            </w:r>
          </w:p>
        </w:tc>
        <w:tc>
          <w:tcPr>
            <w:tcW w:w="720" w:type="dxa"/>
            <w:vAlign w:val="bottom"/>
            <w:vMerge w:val="restart"/>
          </w:tcPr>
          <w:p>
            <w:pPr>
              <w:jc w:val="right"/>
              <w:ind w:right="436"/>
              <w:spacing w:after="0"/>
              <w:rPr>
                <w:sz w:val="20"/>
                <w:szCs w:val="20"/>
                <w:color w:val="auto"/>
              </w:rPr>
            </w:pPr>
            <w:r>
              <w:rPr>
                <w:rFonts w:ascii="Arial" w:cs="Arial" w:eastAsia="Arial" w:hAnsi="Arial"/>
                <w:sz w:val="18"/>
                <w:szCs w:val="18"/>
                <w:i w:val="1"/>
                <w:iCs w:val="1"/>
                <w:color w:val="auto"/>
              </w:rPr>
              <w:t>$</w:t>
            </w:r>
          </w:p>
        </w:tc>
        <w:tc>
          <w:tcPr>
            <w:tcW w:w="760" w:type="dxa"/>
            <w:vAlign w:val="bottom"/>
            <w:vMerge w:val="restart"/>
          </w:tcPr>
          <w:p>
            <w:pPr>
              <w:jc w:val="right"/>
              <w:ind w:right="90"/>
              <w:spacing w:after="0"/>
              <w:rPr>
                <w:sz w:val="20"/>
                <w:szCs w:val="20"/>
                <w:color w:val="auto"/>
              </w:rPr>
            </w:pPr>
            <w:r>
              <w:rPr>
                <w:rFonts w:ascii="Arial" w:cs="Arial" w:eastAsia="Arial" w:hAnsi="Arial"/>
                <w:sz w:val="18"/>
                <w:szCs w:val="18"/>
                <w:i w:val="1"/>
                <w:iCs w:val="1"/>
                <w:color w:val="auto"/>
              </w:rPr>
              <w:t>(975)</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20" w:type="dxa"/>
            <w:vAlign w:val="bottom"/>
            <w:vMerge w:val="restart"/>
          </w:tcPr>
          <w:p>
            <w:pPr>
              <w:jc w:val="right"/>
              <w:ind w:right="75"/>
              <w:spacing w:after="0"/>
              <w:rPr>
                <w:sz w:val="20"/>
                <w:szCs w:val="20"/>
                <w:color w:val="auto"/>
              </w:rPr>
            </w:pPr>
            <w:r>
              <w:rPr>
                <w:rFonts w:ascii="Arial" w:cs="Arial" w:eastAsia="Arial" w:hAnsi="Arial"/>
                <w:sz w:val="18"/>
                <w:szCs w:val="18"/>
                <w:i w:val="1"/>
                <w:iCs w:val="1"/>
                <w:color w:val="auto"/>
              </w:rPr>
              <w:t>(100)</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20"/>
        </w:trPr>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20"/>
              <w:spacing w:after="0"/>
              <w:rPr>
                <w:sz w:val="20"/>
                <w:szCs w:val="20"/>
                <w:color w:val="auto"/>
              </w:rPr>
            </w:pPr>
            <w:r>
              <w:rPr>
                <w:rFonts w:ascii="Arial" w:cs="Arial" w:eastAsia="Arial" w:hAnsi="Arial"/>
                <w:sz w:val="18"/>
                <w:szCs w:val="18"/>
                <w:color w:val="auto"/>
              </w:rPr>
              <w:t>Wholesale vehicle sales</w:t>
            </w:r>
          </w:p>
        </w:tc>
        <w:tc>
          <w:tcPr>
            <w:tcW w:w="400" w:type="dxa"/>
            <w:vAlign w:val="bottom"/>
          </w:tcPr>
          <w:p>
            <w:pPr>
              <w:spacing w:after="0"/>
              <w:rPr>
                <w:sz w:val="21"/>
                <w:szCs w:val="21"/>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447</w:t>
            </w:r>
          </w:p>
        </w:tc>
        <w:tc>
          <w:tcPr>
            <w:tcW w:w="72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4"/>
          <w:szCs w:val="14"/>
          <w:b w:val="1"/>
          <w:bCs w:val="1"/>
          <w:color w:val="auto"/>
        </w:rPr>
        <w:t>Variance Due To</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Mix</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3"/>
              </w:rPr>
              <w:t>Cost</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Other</w:t>
            </w:r>
          </w:p>
        </w:tc>
      </w:tr>
      <w:tr>
        <w:trPr>
          <w:trHeight w:val="186"/>
        </w:trPr>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1"/>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129" w:lineRule="exact"/>
        <w:rPr>
          <w:sz w:val="20"/>
          <w:szCs w:val="20"/>
          <w:color w:val="auto"/>
        </w:rPr>
      </w:pPr>
    </w:p>
    <w:p>
      <w:pPr>
        <w:sectPr>
          <w:pgSz w:w="11900" w:h="16838" w:orient="portrait"/>
          <w:cols w:equalWidth="0" w:num="2">
            <w:col w:w="7560" w:space="220"/>
            <w:col w:w="3460"/>
          </w:cols>
          <w:pgMar w:left="320" w:top="125" w:right="339" w:bottom="1440" w:gutter="0" w:footer="0" w:header="0"/>
          <w:type w:val="continuous"/>
        </w:sectPr>
      </w:pPr>
    </w:p>
    <w:p>
      <w:pPr>
        <w:spacing w:after="0" w:line="3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2"/>
        <w:spacing w:after="0"/>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September 30, 2020, Total net sales and revenue decreased primarily due to: (1)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primarily due to lower industry volumes due to the COVID-19 pandemic primarily in South America and the Middle East and the wind-down of our vehicle sales operations in Australia, New Zealand and Thailand; and (2) unfavorable Other primarily due to the foreign currency effect resulting from the weakening of the Brazilian Real and Argentine Peso against the U.S. Dollar and decreased components, parts and accessories sales; partially offset by (3) favorable mix primarily in Brazil, partially offset by unfavorable mix in the Middle East; and (4) favorable pricing across multiple vehicle lines in Brazil and Argentina.</w:t>
      </w:r>
    </w:p>
    <w:p>
      <w:pPr>
        <w:spacing w:after="0" w:line="21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2020, Total net sales and revenue decreased primarily due to: (1) decreased wholesale volumes primarily due to lower industry volumes due to the COVID-19 pandemic primarily in South America and the Middle East and lower volumes in Asia/Pacific inclusive of the wind-down of our vehicle sales operations in Australia, New Zealand and Thailand; and (2) unfavorable Other primarily due to the foreign currency effect resulting from the weakening of the Brazilian Real, Argentine Peso and other currencies against the U.S. Dollar and decreased components, parts and accessories sales; partially offset by (3) favorable mix primarily in Brazil and Korea, partially offset by unfavorable mix in the Middle East; and (4) favorable pricing across multiple vehicle lines in Argentina and Brazil.</w:t>
      </w:r>
    </w:p>
    <w:p>
      <w:pPr>
        <w:spacing w:after="0" w:line="219"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6"/>
          <w:szCs w:val="16"/>
          <w:b w:val="1"/>
          <w:bCs w:val="1"/>
          <w:i w:val="1"/>
          <w:iCs w:val="1"/>
          <w:color w:val="auto"/>
        </w:rPr>
        <w:t xml:space="preserve">GMI EBIT (Loss)-Adjusted </w:t>
      </w:r>
      <w:r>
        <w:rPr>
          <w:rFonts w:ascii="Arial" w:cs="Arial" w:eastAsia="Arial" w:hAnsi="Arial"/>
          <w:sz w:val="16"/>
          <w:szCs w:val="16"/>
          <w:color w:val="auto"/>
        </w:rPr>
        <w:t>In the three months ended September 30, 2020, EBIT-adjusted increased primarily due to: (1) favorable pricing; and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favorable mix primarily in Brazil and Asia/Pacific, partially offset by unfavorable mix in the Middle East; partially offset by (3) unfavorable volume; and</w:t>
      </w:r>
    </w:p>
    <w:p>
      <w:pPr>
        <w:spacing w:after="0" w:line="1" w:lineRule="exact"/>
        <w:rPr>
          <w:sz w:val="20"/>
          <w:szCs w:val="20"/>
          <w:color w:val="auto"/>
        </w:rPr>
      </w:pPr>
    </w:p>
    <w:p>
      <w:pPr>
        <w:ind w:right="20" w:firstLine="8"/>
        <w:spacing w:after="0" w:line="243"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Other primarily due to the foreign currency effect resulting from the weakening of the Brazilian Real and other currencies against the U.S. Dollar.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nine months ended September 30, 2020, EBIT (loss)-adjusted increased primarily due to: (1) unfavorable volume; and (2) unfavorable Other primarily due to decreased equity income and the foreign currency effect resulting from the weakening of the Brazilian Real, Argentine Peso and other currencies against the U.S. Dollar; partially offset by (3) favorable pricing; and (4) favorable Cost primarily due to decreased advertising.</w:t>
      </w:r>
    </w:p>
    <w:p>
      <w:pPr>
        <w:spacing w:after="0" w:line="1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4"/>
        </w:trPr>
        <w:tc>
          <w:tcPr>
            <w:tcW w:w="5900" w:type="dxa"/>
            <w:vAlign w:val="bottom"/>
            <w:tcBorders>
              <w:top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1"/>
              </w:rPr>
              <w:t>Wholesale vehicle sales, including vehicles exported to markets outside of China</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right w:val="single" w:sz="8" w:color="CCEEFF"/>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30"/>
        </w:trPr>
        <w:tc>
          <w:tcPr>
            <w:tcW w:w="3040" w:type="dxa"/>
            <w:vAlign w:val="bottom"/>
            <w:gridSpan w:val="4"/>
          </w:tcPr>
          <w:p>
            <w:pPr>
              <w:ind w:left="20"/>
              <w:spacing w:after="0"/>
              <w:rPr>
                <w:sz w:val="20"/>
                <w:szCs w:val="20"/>
                <w:color w:val="auto"/>
              </w:rPr>
            </w:pPr>
            <w:r>
              <w:rPr>
                <w:rFonts w:ascii="Arial" w:cs="Arial" w:eastAsia="Arial" w:hAnsi="Arial"/>
                <w:sz w:val="18"/>
                <w:szCs w:val="18"/>
                <w:color w:val="auto"/>
              </w:rPr>
              <w:t>Total net sales and revenue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11,029</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9,695</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24,589</w:t>
            </w:r>
          </w:p>
        </w:tc>
        <w:tc>
          <w:tcPr>
            <w:tcW w:w="100" w:type="dxa"/>
            <w:vAlign w:val="bottom"/>
          </w:tcPr>
          <w:p>
            <w:pPr>
              <w:spacing w:after="0"/>
              <w:rPr>
                <w:sz w:val="19"/>
                <w:szCs w:val="19"/>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28,843</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540"/>
        </w:trPr>
        <w:tc>
          <w:tcPr>
            <w:tcW w:w="178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4"/>
            <w:vMerge w:val="restart"/>
          </w:tcPr>
          <w:p>
            <w:pPr>
              <w:jc w:val="right"/>
              <w:ind w:right="4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10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Favorable /</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1"/>
                <w:szCs w:val="11"/>
                <w:color w:val="auto"/>
              </w:rPr>
            </w:pPr>
          </w:p>
        </w:tc>
        <w:tc>
          <w:tcPr>
            <w:tcW w:w="1060" w:type="dxa"/>
            <w:vAlign w:val="bottom"/>
            <w:gridSpan w:val="3"/>
          </w:tcPr>
          <w:p>
            <w:pPr>
              <w:jc w:val="center"/>
              <w:ind w:right="57"/>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5"/>
          </w:tcPr>
          <w:p>
            <w:pPr>
              <w:ind w:left="100"/>
              <w:spacing w:after="0" w:line="135" w:lineRule="exact"/>
              <w:rPr>
                <w:sz w:val="20"/>
                <w:szCs w:val="20"/>
                <w:color w:val="auto"/>
              </w:rPr>
            </w:pPr>
            <w:r>
              <w:rPr>
                <w:rFonts w:ascii="Arial" w:cs="Arial" w:eastAsia="Arial" w:hAnsi="Arial"/>
                <w:sz w:val="14"/>
                <w:szCs w:val="14"/>
                <w:b w:val="1"/>
                <w:bCs w:val="1"/>
                <w:color w:val="auto"/>
              </w:rPr>
              <w:t>Favorable /</w:t>
            </w:r>
          </w:p>
        </w:tc>
        <w:tc>
          <w:tcPr>
            <w:tcW w:w="6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shd w:val="clear" w:color="auto" w:fill="CCEEFF"/>
          </w:tcPr>
          <w:p>
            <w:pPr>
              <w:ind w:left="20"/>
              <w:spacing w:after="0" w:line="147" w:lineRule="exact"/>
              <w:rPr>
                <w:sz w:val="20"/>
                <w:szCs w:val="20"/>
                <w:color w:val="auto"/>
              </w:rPr>
            </w:pPr>
            <w:r>
              <w:rPr>
                <w:rFonts w:ascii="Arial" w:cs="Arial" w:eastAsia="Arial" w:hAnsi="Arial"/>
                <w:sz w:val="16"/>
                <w:szCs w:val="16"/>
                <w:color w:val="auto"/>
              </w:rPr>
              <w:t>Total net sales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97"/>
              </w:rPr>
              <w:t>4.0 %</w:t>
            </w:r>
          </w:p>
        </w:tc>
        <w:tc>
          <w:tcPr>
            <w:tcW w:w="10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w w:val="92"/>
              </w:rPr>
              <w:t>5.3 %</w:t>
            </w:r>
          </w:p>
        </w:tc>
        <w:tc>
          <w:tcPr>
            <w:tcW w:w="0" w:type="dxa"/>
            <w:vAlign w:val="bottom"/>
          </w:tcPr>
          <w:p>
            <w:pPr>
              <w:spacing w:after="0"/>
              <w:rPr>
                <w:sz w:val="1"/>
                <w:szCs w:val="1"/>
                <w:color w:val="auto"/>
              </w:rPr>
            </w:pPr>
          </w:p>
        </w:tc>
      </w:tr>
      <w:tr>
        <w:trPr>
          <w:trHeight w:val="212"/>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revenue(a)</w:t>
            </w: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0"/>
              <w:spacing w:after="0"/>
              <w:rPr>
                <w:sz w:val="20"/>
                <w:szCs w:val="20"/>
                <w:color w:val="auto"/>
              </w:rPr>
            </w:pPr>
            <w:r>
              <w:rPr>
                <w:rFonts w:ascii="Arial" w:cs="Arial" w:eastAsia="Arial" w:hAnsi="Arial"/>
                <w:sz w:val="16"/>
                <w:szCs w:val="16"/>
                <w:color w:val="auto"/>
              </w:rPr>
              <w:t>EBIT (loss)-adjusted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6"/>
              </w:rPr>
              <w:t>18.7 %</w:t>
            </w:r>
          </w:p>
        </w:tc>
        <w:tc>
          <w:tcPr>
            <w:tcW w:w="100" w:type="dxa"/>
            <w:vAlign w:val="bottom"/>
            <w:tcBorders>
              <w:right w:val="single" w:sz="8" w:color="auto"/>
            </w:tcBorders>
          </w:tcPr>
          <w:p>
            <w:pPr>
              <w:spacing w:after="0"/>
              <w:rPr>
                <w:sz w:val="18"/>
                <w:szCs w:val="18"/>
                <w:color w:val="auto"/>
              </w:rPr>
            </w:pPr>
          </w:p>
        </w:tc>
        <w:tc>
          <w:tcPr>
            <w:tcW w:w="64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6"/>
                <w:szCs w:val="16"/>
                <w:color w:val="auto"/>
                <w:w w:val="92"/>
              </w:rPr>
              <w:t>10.3 %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57"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Reclassified to Interest income and other non-operating income, net in our condensed consolidated income statements in the three and nine months ended September 30, 2020 and 2019.</w:t>
      </w:r>
    </w:p>
    <w:p>
      <w:pPr>
        <w:spacing w:after="0" w:line="20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and nine months ended September 30, 2020, EBIT (loss)-adjusted decreased primarily due to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as we progress towards the commercialization of a network of on-demand autonomous vehicles in the U.S., partially offset by an increase in administrative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080" w:type="dxa"/>
            <w:vAlign w:val="bottom"/>
          </w:tcPr>
          <w:p>
            <w:pPr>
              <w:jc w:val="right"/>
              <w:ind w:right="82"/>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Increase/</w:t>
            </w:r>
          </w:p>
        </w:tc>
        <w:tc>
          <w:tcPr>
            <w:tcW w:w="78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06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Increase/</w:t>
            </w:r>
          </w:p>
        </w:tc>
        <w:tc>
          <w:tcPr>
            <w:tcW w:w="7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3,659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10,405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1780" w:type="dxa"/>
            <w:vAlign w:val="bottom"/>
            <w:gridSpan w:val="2"/>
          </w:tcPr>
          <w:p>
            <w:pPr>
              <w:spacing w:after="0"/>
              <w:rPr>
                <w:sz w:val="20"/>
                <w:szCs w:val="20"/>
                <w:color w:val="auto"/>
              </w:rPr>
            </w:pPr>
            <w:r>
              <w:rPr>
                <w:rFonts w:ascii="Arial" w:cs="Arial" w:eastAsia="Arial" w:hAnsi="Arial"/>
                <w:sz w:val="16"/>
                <w:szCs w:val="16"/>
                <w:color w:val="auto"/>
                <w:w w:val="94"/>
              </w:rPr>
              <w:t>Provision for loan losses $</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150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504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63.5 %</w:t>
            </w: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EBT-adjusted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66"/>
        </w:trPr>
        <w:tc>
          <w:tcPr>
            <w:tcW w:w="1640" w:type="dxa"/>
            <w:vAlign w:val="bottom"/>
          </w:tcPr>
          <w:p>
            <w:pPr>
              <w:spacing w:after="0" w:line="166" w:lineRule="exact"/>
              <w:rPr>
                <w:sz w:val="20"/>
                <w:szCs w:val="20"/>
                <w:color w:val="auto"/>
              </w:rPr>
            </w:pPr>
            <w:r>
              <w:rPr>
                <w:rFonts w:ascii="Arial" w:cs="Arial" w:eastAsia="Arial" w:hAnsi="Arial"/>
                <w:sz w:val="16"/>
                <w:szCs w:val="16"/>
                <w:color w:val="auto"/>
              </w:rPr>
              <w:t>Average debt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ind w:left="180"/>
              <w:spacing w:after="0" w:line="162" w:lineRule="exact"/>
              <w:rPr>
                <w:sz w:val="20"/>
                <w:szCs w:val="20"/>
                <w:color w:val="auto"/>
              </w:rPr>
            </w:pPr>
            <w:r>
              <w:rPr>
                <w:rFonts w:ascii="Arial" w:cs="Arial" w:eastAsia="Arial" w:hAnsi="Arial"/>
                <w:sz w:val="16"/>
                <w:szCs w:val="16"/>
                <w:color w:val="auto"/>
              </w:rPr>
              <w:t>outstanding (dollars</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22"/>
              <w:spacing w:after="0"/>
              <w:rPr>
                <w:sz w:val="20"/>
                <w:szCs w:val="20"/>
                <w:color w:val="auto"/>
              </w:rPr>
            </w:pPr>
            <w:r>
              <w:rPr>
                <w:rFonts w:ascii="Arial" w:cs="Arial" w:eastAsia="Arial" w:hAnsi="Arial"/>
                <w:sz w:val="16"/>
                <w:szCs w:val="16"/>
                <w:color w:val="auto"/>
              </w:rPr>
              <w:t>90.5</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8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22"/>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39"/>
              <w:spacing w:after="0"/>
              <w:rPr>
                <w:sz w:val="20"/>
                <w:szCs w:val="20"/>
                <w:color w:val="auto"/>
              </w:rPr>
            </w:pPr>
            <w:r>
              <w:rPr>
                <w:rFonts w:ascii="Arial" w:cs="Arial" w:eastAsia="Arial" w:hAnsi="Arial"/>
                <w:sz w:val="18"/>
                <w:szCs w:val="18"/>
                <w:color w:val="auto"/>
              </w:rPr>
              <w:t>91.8</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8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Arial" w:cs="Arial" w:eastAsia="Arial" w:hAnsi="Arial"/>
                <w:sz w:val="16"/>
                <w:szCs w:val="16"/>
                <w:color w:val="auto"/>
              </w:rPr>
              <w:t>in billions)</w:t>
            </w:r>
          </w:p>
        </w:tc>
        <w:tc>
          <w:tcPr>
            <w:tcW w:w="1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6"/>
              </w:rPr>
              <w:t>Effective rate of interest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w:t>
            </w: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September 30, 2020, total revenue decreased primarily due to decreased leased vehicle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billion primarily due to a decrease in the leased vehicle portfolio.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nine months ended September 30, 2020, total revenue decreased primarily due to decreased leased vehicle income of $0.3 billion primarily due to a decrease in the leased vehicle portfolio and decreased investment income of $0.1 billion resulting from a decline in benchmark interest rates.</w:t>
      </w:r>
    </w:p>
    <w:p>
      <w:pPr>
        <w:spacing w:after="0" w:line="173"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b w:val="1"/>
          <w:bCs w:val="1"/>
          <w:i w:val="1"/>
          <w:iCs w:val="1"/>
          <w:color w:val="auto"/>
        </w:rPr>
        <w:t xml:space="preserve">GM Financial EBT-Adjusted </w:t>
      </w:r>
      <w:r>
        <w:rPr>
          <w:rFonts w:ascii="Arial" w:cs="Arial" w:eastAsia="Arial" w:hAnsi="Arial"/>
          <w:sz w:val="17"/>
          <w:szCs w:val="17"/>
          <w:color w:val="auto"/>
        </w:rPr>
        <w:t>In the three months ended September 30, 2020, EBT-adjusted increased primarily due to: (1) decreased leased vehicle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net of leased vehicle income of $0.3 billion primarily due to increased leased vehicle termination gains, due to outperformance of used vehicle prices compared to residual value estimates and a decrease in the leased vehicle portfolio; (2) decreased interest expense of $0.2 billion due to a lower effective rate of interest on debt resulting from a decline in benchmark interest rates; and (3) decreased provision for loan losses of $0.1 billion primarily due to an improved recovery rate forecast, inclusive of new CECL standard impacts.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7"/>
          <w:szCs w:val="17"/>
          <w:color w:val="auto"/>
        </w:rPr>
        <w:t>In the nine months ended September 30, 2020 EBT-adjusted increased primarily due to: (1) decreased interest expense of $0.4 billion due to a lower effective rate of interest on debt resulting from a decline in benchmark interest rates; (2) decreased leased vehicle expenses net of decreased leased vehicle income of $0.1 billion primarily due to increased leased vehicle termination gains and a decrease in the leased vehicle portfolio; partially offset by (3) increased provision for loan losses of $0.3 billion primarily due to increased expected charge-offs as a result of the forecasted economic impact of the COVID-19 pandemic, inclusive of new CECL standard impacts; and (4) decreased investment income of $0.1 billion.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As described in the “Overview” section of this MD&amp;A, the COVID-19 pandemic has had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and it may have a material impact on future periods, including our cash flows from operating activities and liquidity. The extent of COVID-19’s impact on our liquidity will depend upon, among other things, the duration and severity of the outbreak or subsequent outbreaks and related government responses such as required physical distancing, restrictions on business operations and travel, the pace of recovery of economic activity and the impact to consumers, all of which are uncertain and difficult to predict. Refer to Part II, Item 1A. Risk Factors for a full discussion of the risks associated with the COVID-19 pandemic.</w:t>
      </w:r>
    </w:p>
    <w:p>
      <w:pPr>
        <w:spacing w:after="0" w:line="21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To preserve financial flexibility in light of the current uncertainty in global markets resulting from the COVID-19 pandemic, we borrowed $15.9 billion under our revolving credit facilities, extended a portion of our revolving credit facilities for an additional year, issued $4.0 billion in senior unsecured notes and entered into a new unsecured 364-day, $2.0 billion revolving credit facility. In September 2020, we repaid $5.2 billion of the $15.9 billion drawn under the revolving credit facilities and in October 2020, we repaid an additional $3.9 billion. We expect to repay the revolver balance by the end of 2020; however, this is dependent on the impact of the COVID-19 pandemic on our Automotive liquidity. See the "Automotive Liquidity" section of this MD&amp;A for additional information on these liquidity actions. In response to the uncertainties created by the pandemic, during the first half of 2020 we executed a number of austerity measures to reduce costs, such as limiting advertising and other third-party spending, suspending our dividend on common shares, deferring salaried employee compensation and delaying non-critical projects, including certain future product programs. The majority of the austerity measures we put into place will normalize as production normalizes.</w:t>
      </w:r>
    </w:p>
    <w:p>
      <w:pPr>
        <w:spacing w:after="0" w:line="20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Despite the uncertainty resulting from the COVID-19 pandemic, we believe our current levels of cash, cash equivalents, marketable debt securities, available borrowing capacity under 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1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Our known current and future material uses of cash relate to funding near-term operations through the current economic cycle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discretionary and mandatory contributions to our pension plans; and (2) capital expenditures and payments for engineering and product development activities, which will be significantly less than originally forecasted for 2020 due to our austerity measures. Our future uses of cash will be focused on the three objectives of our capital allocation program: (1) reinvest in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Part II, Item 1A. Risk Factors in this Form 10-Q and Part I, Item 1A. Risk Factors of our 2019 Form 10-K, some of which are outside of our control.</w:t>
      </w:r>
    </w:p>
    <w:p>
      <w:pPr>
        <w:spacing w:after="0" w:line="21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In response to the COVID-19 pandemic, we took immediate actions to provide for additional liquidity, including drawing $15.9 billion on our revolving credit facilities and implementing austerity measures. 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for these types of securities, including a limitation on the amount of certain secured debt we may incur. The net proceeds from the issuance of these senior unsecured notes provides additional financial flexibility and will be used for general corporate purposes. In May 2020, we also entered into a new unsecured 364-day, $2.0 billion revolving credit facility as an additional source of available liquidity. In August 2020, we repaid $0.5 billion of floating rate senior unsecured debt upon maturity. In September 2020, we repaid $5.2 billion of the $15.9 billion drawn under the revolving credit facilities and in October 2020, we repaid an additional $3.9 billion. We expect to repay the revolver balance by the end of 2020; however, this is dependent on the impact of the COVID-19 pandemic on our Automotive liquidity. We have changed the management of our liquidity by borrowing on our credit facilities, changing our investment portfolio composition and taking significant austerity measures to provide better flexibility in response to COVID-19; however, we have not significantly changed our investment guidelines since December 31, 2019.</w:t>
      </w:r>
    </w:p>
    <w:p>
      <w:pPr>
        <w:spacing w:after="0" w:line="216" w:lineRule="exact"/>
        <w:rPr>
          <w:sz w:val="20"/>
          <w:szCs w:val="20"/>
          <w:color w:val="auto"/>
        </w:rPr>
      </w:pPr>
    </w:p>
    <w:p>
      <w:pPr>
        <w:jc w:val="both"/>
        <w:ind w:firstLine="162"/>
        <w:spacing w:after="0"/>
        <w:rPr>
          <w:sz w:val="20"/>
          <w:szCs w:val="20"/>
          <w:color w:val="auto"/>
        </w:rPr>
      </w:pPr>
      <w:r>
        <w:rPr>
          <w:rFonts w:ascii="Arial" w:cs="Arial" w:eastAsia="Arial" w:hAnsi="Arial"/>
          <w:sz w:val="18"/>
          <w:szCs w:val="18"/>
          <w:color w:val="auto"/>
        </w:rPr>
        <w:t>We use credit facilities as a mechanism to provide additional flexibility in managing our global liquidity. We increased our automotive borrowing capacity under credit facilities from $17.5 billion at December 31, 2019 to $18.5 billion at September 30, 2020. At September 30, 2020, our automotive borrowing capacity under credit facilities consisted of four revolving credit facilities. These facilities consist of a three-year, $4.0 billion facility that includes a letter of credit-sub facility of $1.1 billion, a five-year, $10.5 billion facility, a three-year, $2.0 billion transformation facility and a new 364-day, $2.0 billion revolving credit facility entered into in May 2020. Total borrowing capacity under our automotive credit facilities does not include a 364-day, $2.0 billion facility designated for exclusive use by GM Financial.</w:t>
      </w:r>
    </w:p>
    <w:p>
      <w:pPr>
        <w:spacing w:after="0" w:line="21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designated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7"/>
          <w:szCs w:val="17"/>
          <w:color w:val="auto"/>
        </w:rPr>
        <w:t>In the nine months ended September 30, 2020, we borrowed $3.4 billion against our three-year, $4.0 billion facility, $2.0 billion against our three-year, $2.0 billion transformation facility and $10.5 billion against our five-year, $10.5 billion facility to preserve financial flexibility in response to the current uncertainty in global markets and the economic environment resulting from the COVID-19 pandemic. In the three and nine months ended September 30, 2020, we repaid $3.2 billion of the three-year, $4.0 billion facility and repaid in full the three-year, $2.0 billion transformation facility. In October 2020, we repaid $3.9 billion of our five-year, $10.5 billion facility. We did not have any borrowings against our facilities at December 31, 2019. We had letters of credit outstanding under our sub-facility of $0.3 billion and $0.2 billion at September 30, 2020 and December 31, 2019. Refer to Note 11 to our condensed consolidated financial statements for additional information on the contractual maturities of our debt obligations.</w:t>
      </w:r>
    </w:p>
    <w:p>
      <w:pPr>
        <w:spacing w:after="0" w:line="20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If available capacity permits, GM Financial has access to our automotive credit facilities, except for the three-year, $2.0 billion transformation facility and the new 364-day, $2.0 billion facility. In addition, GM Financial has exclusive use of the 364-day, $2.0 billion facility that expires in April 2021. GM Financial did not have borrowings outstanding against any facilities at September 30, 2020 and December 31, 2019. We had intercompany loans from GM Financial of $0.4 billion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$0.5 billion at September 30, 2020 and December 31, 2019, which primarily consisted of commercial loans to dealers we consolidate. We did not have intercompany loans to GM Financial. Refer to Note 5 to our condensed consolidated financial statements for additional information.</w:t>
      </w:r>
    </w:p>
    <w:p>
      <w:pPr>
        <w:spacing w:after="0" w:line="197"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GM Financial's Board of Directors declared and paid dividends of $0.8 billion on its common stock in the nine months ended September 30, 2020. Future dividends from GM Financial will depend on several factors including business and economic conditions, its financial condition, earnings, liquidity requirements and leverage ratio. In addition, we expect to continue to receive dividends from our Automotive China JVs on a normal cadence.</w:t>
      </w:r>
    </w:p>
    <w:p>
      <w:pPr>
        <w:spacing w:after="0" w:line="17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2020 and determined we are in compliance and expect to remain in compliance in the future.</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2017 we announced that our Board of Directors had authorized the purchase of up to $5.0 billion of our common stock with no expiration date as part of our common stock repurchase program. We have completed $1.7 billion of the $5.0 billion program through September 30, 2020. In April 2020 we agreed not to execute any share repurchases until we no longer have outstanding borrowings under the revolving credit facilities, except for the three-year, $2.0 billion transformation facility.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September 30, 2020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Cruise cash and cash equivalents(a)</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Available liquidity(b)</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available liquidity(b)</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(a)  Amounts are designated exclusively for the use of Cruise.</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60" w:type="dxa"/>
            <w:vAlign w:val="bottom"/>
          </w:tcPr>
          <w:p>
            <w:pPr>
              <w:spacing w:after="0"/>
              <w:rPr>
                <w:sz w:val="20"/>
                <w:szCs w:val="20"/>
                <w:color w:val="auto"/>
              </w:rPr>
            </w:pPr>
            <w:r>
              <w:rPr>
                <w:rFonts w:ascii="Arial" w:cs="Arial" w:eastAsia="Arial" w:hAnsi="Arial"/>
                <w:sz w:val="16"/>
                <w:szCs w:val="16"/>
                <w:color w:val="auto"/>
              </w:rPr>
              <w:t>(b)  Amounts may not sum due to rounding.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300" w:type="dxa"/>
            <w:vAlign w:val="bottom"/>
            <w:gridSpan w:val="3"/>
          </w:tcPr>
          <w:p>
            <w:pPr>
              <w:ind w:left="180"/>
              <w:spacing w:after="0"/>
              <w:rPr>
                <w:sz w:val="20"/>
                <w:szCs w:val="20"/>
                <w:color w:val="auto"/>
              </w:rPr>
            </w:pPr>
            <w:r>
              <w:rPr>
                <w:rFonts w:ascii="Arial" w:cs="Arial" w:eastAsia="Arial" w:hAnsi="Arial"/>
                <w:sz w:val="18"/>
                <w:szCs w:val="18"/>
                <w:color w:val="auto"/>
                <w:w w:val="96"/>
              </w:rPr>
              <w:t>The following table summarizes the changes in our Automotive available liquidity (excluding Cruise, dollars in billions):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senior unsecured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Borrowings against credit facilities, net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non-operating(a)</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available credit facilities</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automotive 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includes $0.6 billion of proceeds from the sale of our remaining shares in Lyft.</w:t>
      </w:r>
    </w:p>
    <w:p>
      <w:pPr>
        <w:spacing w:after="0" w:line="200" w:lineRule="exact"/>
        <w:rPr>
          <w:rFonts w:ascii="Arial" w:cs="Arial" w:eastAsia="Arial" w:hAnsi="Arial"/>
          <w:sz w:val="16"/>
          <w:szCs w:val="16"/>
          <w:color w:val="auto"/>
        </w:rPr>
      </w:pPr>
    </w:p>
    <w:p>
      <w:pPr>
        <w:spacing w:after="0" w:line="38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6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1034"/>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95"/>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1"/>
              </w:rPr>
              <w:t>(3.5)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160" w:type="dxa"/>
            <w:vAlign w:val="bottom"/>
          </w:tcPr>
          <w:p>
            <w:pPr>
              <w:spacing w:after="0"/>
              <w:rPr>
                <w:sz w:val="19"/>
                <w:szCs w:val="19"/>
                <w:color w:val="auto"/>
              </w:rPr>
            </w:pPr>
          </w:p>
        </w:tc>
        <w:tc>
          <w:tcPr>
            <w:tcW w:w="1500" w:type="dxa"/>
            <w:vAlign w:val="bottom"/>
          </w:tcPr>
          <w:p>
            <w:pPr>
              <w:jc w:val="center"/>
              <w:ind w:left="1034"/>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32"/>
              <w:spacing w:after="0"/>
              <w:rPr>
                <w:sz w:val="20"/>
                <w:szCs w:val="20"/>
                <w:color w:val="auto"/>
              </w:rPr>
            </w:pPr>
            <w:r>
              <w:rPr>
                <w:rFonts w:ascii="Arial" w:cs="Arial" w:eastAsia="Arial" w:hAnsi="Arial"/>
                <w:sz w:val="18"/>
                <w:szCs w:val="18"/>
                <w:color w:val="auto"/>
                <w:w w:val="95"/>
              </w:rPr>
              <w:t>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91"/>
              </w:rPr>
              <w:t>(1.1)</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94"/>
              <w:spacing w:after="0"/>
              <w:rPr>
                <w:sz w:val="20"/>
                <w:szCs w:val="20"/>
                <w:color w:val="auto"/>
              </w:rPr>
            </w:pPr>
            <w:r>
              <w:rPr>
                <w:rFonts w:ascii="Arial" w:cs="Arial" w:eastAsia="Arial" w:hAnsi="Arial"/>
                <w:sz w:val="18"/>
                <w:szCs w:val="18"/>
                <w:color w:val="auto"/>
                <w:w w:val="91"/>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1"/>
              </w:rPr>
              <w:t>(0.3)</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19"/>
                <w:szCs w:val="19"/>
                <w:color w:val="auto"/>
              </w:rPr>
            </w:pPr>
          </w:p>
        </w:tc>
        <w:tc>
          <w:tcPr>
            <w:tcW w:w="1500" w:type="dxa"/>
            <w:vAlign w:val="bottom"/>
          </w:tcPr>
          <w:p>
            <w:pPr>
              <w:jc w:val="center"/>
              <w:ind w:left="994"/>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12"/>
              <w:spacing w:after="0"/>
              <w:rPr>
                <w:sz w:val="20"/>
                <w:szCs w:val="20"/>
                <w:color w:val="auto"/>
              </w:rPr>
            </w:pPr>
            <w:r>
              <w:rPr>
                <w:rFonts w:ascii="Arial" w:cs="Arial" w:eastAsia="Arial" w:hAnsi="Arial"/>
                <w:sz w:val="18"/>
                <w:szCs w:val="18"/>
                <w:color w:val="auto"/>
                <w:w w:val="91"/>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72"/>
              <w:spacing w:after="0"/>
              <w:rPr>
                <w:sz w:val="20"/>
                <w:szCs w:val="20"/>
                <w:color w:val="auto"/>
              </w:rPr>
            </w:pPr>
            <w:r>
              <w:rPr>
                <w:rFonts w:ascii="Arial" w:cs="Arial" w:eastAsia="Arial" w:hAnsi="Arial"/>
                <w:sz w:val="18"/>
                <w:szCs w:val="18"/>
                <w:color w:val="auto"/>
                <w:w w:val="95"/>
              </w:rPr>
              <w:t>0.6</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94"/>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95"/>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1"/>
              </w:rPr>
              <w:t>(2.4)</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1034"/>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5"/>
              </w:rPr>
              <w:t>2.4</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center"/>
              <w:ind w:left="1034"/>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1032"/>
              <w:spacing w:after="0"/>
              <w:rPr>
                <w:sz w:val="20"/>
                <w:szCs w:val="20"/>
                <w:color w:val="auto"/>
              </w:rPr>
            </w:pPr>
            <w:r>
              <w:rPr>
                <w:rFonts w:ascii="Arial" w:cs="Arial" w:eastAsia="Arial" w:hAnsi="Arial"/>
                <w:sz w:val="18"/>
                <w:szCs w:val="18"/>
                <w:color w:val="auto"/>
                <w:w w:val="95"/>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Arial" w:cs="Arial" w:eastAsia="Arial" w:hAnsi="Arial"/>
                <w:sz w:val="18"/>
                <w:szCs w:val="18"/>
                <w:color w:val="auto"/>
                <w:w w:val="91"/>
              </w:rPr>
              <w:t>(4.3)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2020, the decrease in Net automotive cash provided by operating activities was primarily due to: (1) lower pre-tax earnings of $3.3 billion and the unwind of sales incentives of $2.6 billion, both impacted by COVID-19; (2) lower dividends received from our nonconsolidated affiliates of $0.7 billion; partially offset by (3) dividends received from GM Financial of $0.8 billion; (4) working capital; and (5) several other insignificant items.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6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5"/>
              </w:rPr>
              <w:t>1.5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(4.0)</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5"/>
              </w:rPr>
              <w:t>0.7</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(0.2)</w:t>
            </w: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used in investing activities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1"/>
              </w:rPr>
              <w:t>(2.0)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$0.6 billion and $0.1 billion of proceeds from the sale of our shares in Lyft in the nine months ended September 30, 2020 and 2019.</w:t>
      </w:r>
    </w:p>
    <w:p>
      <w:pPr>
        <w:spacing w:after="0" w:line="23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nine months ended September 30, 2020, capital expenditures decreased due to the delay of non-critical projects, including certain future product programs, in response to the COVID-19 pandemic. Cash used in acquisitions and liquidations of marketable securities, net increased due to the increased purchases of marketable securities with proceeds from the issuance of debt in response to the COVID-19 pandemic.</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6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1"/>
                <w:szCs w:val="21"/>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Net proceeds from short-term debt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Repayment of senior unsecured notes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automotive cash provided by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In the nine months ended September 30, 2020, net automotive cash provided by operating activities under U.S. GAAP was $2.3 billion, capital expenditures were $3.3 billion, and adjustments for management actions were $0.2 billion.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nine months ended September 30, 2019, net automotive cash provided by operating activities under U.S. GAAP was $6.6 billion, capital expenditures were $4.8 billion, and adjustments for management actions primarily related to transformation activities were $0.6 billion.</w:t>
      </w:r>
    </w:p>
    <w:p>
      <w:pPr>
        <w:spacing w:after="0" w:line="17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(DBRS), Fitch Ratings (Fitch), Moody's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Service (Moody's) and Standard &amp; Poor's (S&amp;P). All four credit rating agencies currently rate our corporate credit at investment grade. The following table summarizes our credit ratings at October 19,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Corporate</w:t>
            </w: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Revolving Credit Facilities</w:t>
            </w: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Senior Unsecured</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8"/>
              </w:rPr>
              <w:t>Outlook</w:t>
            </w:r>
          </w:p>
        </w:tc>
      </w:tr>
      <w:tr>
        <w:trPr>
          <w:trHeight w:val="229"/>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DBRS</w:t>
            </w: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color w:val="auto"/>
              </w:rPr>
              <w:t>Fitch</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BBB-</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Investment Grade</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Baa2</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S&amp;P</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Negative</w:t>
            </w:r>
          </w:p>
        </w:tc>
      </w:tr>
    </w:tbl>
    <w:p>
      <w:pPr>
        <w:spacing w:after="0" w:line="30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7"/>
          <w:szCs w:val="17"/>
          <w:color w:val="auto"/>
        </w:rPr>
        <w:t>Rating actions taken by each of the credit rating agencies from January 1, 2020 through October 19, 2020 were as follows: (1) S&amp;P revised their outlook to Credit watch with negative implications from Stable in March 2020; confirmed our ratings and revised their outlook to Negative from Credit watch with negative implications in August 2020; (2) Moody’s revised their outlook to Under review for downgrade from Stable in March 2020; confirmed our ratings and revised their outlook to Negative from Under review for downgrade in May 2020; (3) DBRS revised their outlook to Under review with negative implications from Stable in March 2020; downgraded our ratings to BBB from BBB (high) and revised their outlook to Negative from Under review with negative implications in June 2020; and (4) Fitch downgraded our ratings to BBB- from BBB in May 2020.</w:t>
      </w:r>
    </w:p>
    <w:p>
      <w:pPr>
        <w:spacing w:after="0" w:line="20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The changes in our Cruise available liquidity in the nine months ended September 30, 2020 were primarily driven by operating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When Cruise's autonomous vehicles are ready for commercial deployment, The Vision Fund is obligated to purchase additional Cruise convertible preferred shares for $1.35 billion.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7"/>
                <w:szCs w:val="17"/>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975"/>
              <w:spacing w:after="0"/>
              <w:rPr>
                <w:sz w:val="20"/>
                <w:szCs w:val="20"/>
                <w:color w:val="auto"/>
              </w:rPr>
            </w:pPr>
            <w:r>
              <w:rPr>
                <w:rFonts w:ascii="Arial" w:cs="Arial" w:eastAsia="Arial" w:hAnsi="Arial"/>
                <w:sz w:val="18"/>
                <w:szCs w:val="18"/>
                <w:color w:val="auto"/>
                <w:w w:val="91"/>
              </w:rPr>
              <w:t>(0.6)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left="975"/>
              <w:spacing w:after="0"/>
              <w:rPr>
                <w:sz w:val="20"/>
                <w:szCs w:val="20"/>
                <w:color w:val="auto"/>
              </w:rPr>
            </w:pPr>
            <w:r>
              <w:rPr>
                <w:rFonts w:ascii="Arial" w:cs="Arial" w:eastAsia="Arial" w:hAnsi="Arial"/>
                <w:sz w:val="18"/>
                <w:szCs w:val="18"/>
                <w:color w:val="auto"/>
                <w:w w:val="91"/>
              </w:rPr>
              <w:t>(0.6)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87"/>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2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credit facilities, interest costs, and operating expenses.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43" w:lineRule="auto"/>
        <w:rPr>
          <w:sz w:val="20"/>
          <w:szCs w:val="20"/>
          <w:color w:val="auto"/>
        </w:rPr>
      </w:pPr>
      <w:r>
        <w:rPr>
          <w:rFonts w:ascii="Arial" w:cs="Arial" w:eastAsia="Arial" w:hAnsi="Arial"/>
          <w:sz w:val="18"/>
          <w:szCs w:val="18"/>
          <w:color w:val="auto"/>
        </w:rPr>
        <w:t>At September 30, 2020, GM Financial's available liquidity increased from December 31, 2019 due to an increase in cash and cash equivalents and borrowing capacity on secured revolving credit facilities resulting from the issuance of securitization transactions, unsecured debt and preferred stock. GM Financial structures liquidity to support at least six months of GM Financial's expected net cash flows, including new originations, without access to new debt financing transactions or other capital markets activity.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September 30, 2020 and December 31, 2019. Refer to the Automotive Liquidity section of this MD&amp;A for additional details.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September 30, 2020 secured, committed unsecured and uncommitted unsecured credit facilities totaled $25.9 billion, $0.5 billion and $1.4 billion with advances outstanding of $2.0 billion, an insignificant amount and $1.4 billion.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1037"/>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35"/>
              <w:spacing w:after="0"/>
              <w:rPr>
                <w:sz w:val="20"/>
                <w:szCs w:val="20"/>
                <w:color w:val="auto"/>
              </w:rPr>
            </w:pPr>
            <w:r>
              <w:rPr>
                <w:rFonts w:ascii="Arial" w:cs="Arial" w:eastAsia="Arial" w:hAnsi="Arial"/>
                <w:sz w:val="18"/>
                <w:szCs w:val="18"/>
                <w:color w:val="auto"/>
                <w:w w:val="95"/>
              </w:rPr>
              <w:t>6.3</w:t>
            </w:r>
          </w:p>
        </w:tc>
        <w:tc>
          <w:tcPr>
            <w:tcW w:w="12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(0.3)</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997"/>
              <w:spacing w:after="0"/>
              <w:rPr>
                <w:sz w:val="20"/>
                <w:szCs w:val="20"/>
                <w:color w:val="auto"/>
              </w:rPr>
            </w:pPr>
            <w:r>
              <w:rPr>
                <w:rFonts w:ascii="Arial" w:cs="Arial" w:eastAsia="Arial" w:hAnsi="Arial"/>
                <w:sz w:val="18"/>
                <w:szCs w:val="18"/>
                <w:color w:val="auto"/>
                <w:w w:val="91"/>
              </w:rPr>
              <w:t>(5.0)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1015"/>
              <w:spacing w:after="0"/>
              <w:rPr>
                <w:sz w:val="20"/>
                <w:szCs w:val="20"/>
                <w:color w:val="auto"/>
              </w:rPr>
            </w:pPr>
            <w:r>
              <w:rPr>
                <w:rFonts w:ascii="Arial" w:cs="Arial" w:eastAsia="Arial" w:hAnsi="Arial"/>
                <w:sz w:val="18"/>
                <w:szCs w:val="18"/>
                <w:color w:val="auto"/>
                <w:w w:val="91"/>
              </w:rPr>
              <w:t>(5.3)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375"/>
              <w:spacing w:after="0"/>
              <w:rPr>
                <w:sz w:val="20"/>
                <w:szCs w:val="20"/>
                <w:color w:val="auto"/>
              </w:rPr>
            </w:pPr>
            <w:r>
              <w:rPr>
                <w:rFonts w:ascii="Arial" w:cs="Arial" w:eastAsia="Arial" w:hAnsi="Arial"/>
                <w:sz w:val="18"/>
                <w:szCs w:val="18"/>
                <w:color w:val="auto"/>
                <w:w w:val="95"/>
              </w:rPr>
              <w:t>0.3</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5"/>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5"/>
              </w:rPr>
              <w:t>2.1</w:t>
            </w:r>
          </w:p>
        </w:tc>
      </w:tr>
    </w:tbl>
    <w:p>
      <w:pPr>
        <w:spacing w:after="0" w:line="296" w:lineRule="exact"/>
        <w:rPr>
          <w:sz w:val="20"/>
          <w:szCs w:val="20"/>
          <w:color w:val="auto"/>
        </w:rPr>
      </w:pPr>
    </w:p>
    <w:p>
      <w:pPr>
        <w:jc w:val="both"/>
        <w:ind w:firstLine="162"/>
        <w:spacing w:after="0" w:line="224" w:lineRule="auto"/>
        <w:rPr>
          <w:sz w:val="20"/>
          <w:szCs w:val="20"/>
          <w:color w:val="auto"/>
        </w:rPr>
      </w:pPr>
      <w:r>
        <w:rPr>
          <w:rFonts w:ascii="Arial" w:cs="Arial" w:eastAsia="Arial" w:hAnsi="Arial"/>
          <w:sz w:val="18"/>
          <w:szCs w:val="18"/>
          <w:color w:val="auto"/>
        </w:rPr>
        <w:t>In the nine months ended September 30, 2020, Net cash provided by operating activities decreased primarily due to: (1) a decrease in leased vehicle income of $0.3 billion; and (2) a decrease in derivative collateral posting activities of $0.2 billion; partially offset by (3) a decrease in interest paid of $0.3 billion.</w:t>
      </w:r>
    </w:p>
    <w:p>
      <w:pPr>
        <w:spacing w:after="0" w:line="190" w:lineRule="exact"/>
        <w:rPr>
          <w:sz w:val="20"/>
          <w:szCs w:val="20"/>
          <w:color w:val="auto"/>
        </w:rPr>
      </w:pPr>
    </w:p>
    <w:p>
      <w:pPr>
        <w:jc w:val="both"/>
        <w:ind w:firstLine="162"/>
        <w:spacing w:after="0" w:line="224" w:lineRule="auto"/>
        <w:rPr>
          <w:sz w:val="20"/>
          <w:szCs w:val="20"/>
          <w:color w:val="auto"/>
        </w:rPr>
      </w:pPr>
      <w:r>
        <w:rPr>
          <w:rFonts w:ascii="Arial" w:cs="Arial" w:eastAsia="Arial" w:hAnsi="Arial"/>
          <w:sz w:val="18"/>
          <w:szCs w:val="18"/>
          <w:color w:val="auto"/>
        </w:rPr>
        <w:t>In the nine months ended September 30, 2020, Net cash used in investing activities decreased primarily due to: (1) a decrease in purchases of leased vehicles of $2.0 billion; and (2) increased collections and recoveries on finance receivables of $0.2 billion; partially offset by (3) increased purchases of finance receivables of $2.0 billion.</w:t>
      </w:r>
    </w:p>
    <w:p>
      <w:pPr>
        <w:spacing w:after="0" w:line="20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nine months ended September 30, 2020, Net cash used in financing activities decreased primarily due to: (1) an increase in borrowings of $17.6 billion; and (2) issuance of preferred stock of $0.5 billion; partially offset by (3) an increase in debt repayments of $15.1 billion; and (4) an increase in dividend payments of $0.8 billion.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Contractual Obligations and Other Long-Term Liabilities </w:t>
      </w:r>
      <w:r>
        <w:rPr>
          <w:rFonts w:ascii="Arial" w:cs="Arial" w:eastAsia="Arial" w:hAnsi="Arial"/>
          <w:sz w:val="18"/>
          <w:szCs w:val="18"/>
          <w:color w:val="auto"/>
        </w:rPr>
        <w:t>We have minimum commitments under contractual obligations, including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that include fixed or minimum obligations. The majority of our purchases are not included in the table as they are made under purchase orders that are requirements-based and accordingly do not specify minimum quantities. The following table summarizes aggregated information about our outstanding contractual obligations and other long-term liabilities at September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October 1, 2020 to</w:t>
            </w:r>
          </w:p>
        </w:tc>
        <w:tc>
          <w:tcPr>
            <w:tcW w:w="24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8"/>
              </w:rPr>
              <w:t>2022-2023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2024-2025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2026 and after</w:t>
            </w:r>
          </w:p>
        </w:tc>
        <w:tc>
          <w:tcPr>
            <w:tcW w:w="220" w:type="dxa"/>
            <w:vAlign w:val="bottom"/>
          </w:tcPr>
          <w:p>
            <w:pPr>
              <w:spacing w:after="0"/>
              <w:rPr>
                <w:sz w:val="11"/>
                <w:szCs w:val="11"/>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Automotive interest payments(b)</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Automotive Financing interest payments(c)</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Postretirement benefits(d)</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Other contractual commitments: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contractual commitments(f)</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144,728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Non-contractual benefit(g)</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96"/>
        </w:trPr>
        <w:tc>
          <w:tcPr>
            <w:tcW w:w="3980" w:type="dxa"/>
            <w:vAlign w:val="bottom"/>
            <w:gridSpan w:val="2"/>
          </w:tcPr>
          <w:p>
            <w:pPr>
              <w:jc w:val="right"/>
              <w:ind w:right="2990"/>
              <w:spacing w:after="0"/>
              <w:rPr>
                <w:sz w:val="20"/>
                <w:szCs w:val="20"/>
                <w:color w:val="auto"/>
              </w:rPr>
            </w:pPr>
            <w:r>
              <w:rPr>
                <w:rFonts w:ascii="Arial" w:cs="Arial" w:eastAsia="Arial" w:hAnsi="Arial"/>
                <w:sz w:val="18"/>
                <w:szCs w:val="18"/>
                <w:color w:val="auto"/>
                <w:w w:val="87"/>
              </w:rPr>
              <w:t>__________</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$3.9 billion of the amount due in 2023 has been repaid on our five-year, $10.5 billion facility in October 2020.</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finance lease obligations. Automotive interest payments based on variable interest rates were determined using the interest rate in effect at September 30, 2020.</w:t>
      </w:r>
    </w:p>
    <w:p>
      <w:pPr>
        <w:jc w:val="both"/>
        <w:ind w:left="340" w:hanging="332"/>
        <w:spacing w:after="0" w:line="246"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September 30, 2020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Amounts include OPEB payments under the contract term of the current labor agreements in North America and do not include pension funding obligations.</w:t>
      </w:r>
    </w:p>
    <w:p>
      <w:pPr>
        <w:spacing w:after="0" w:line="16" w:lineRule="exact"/>
        <w:rPr>
          <w:rFonts w:ascii="Arial" w:cs="Arial" w:eastAsia="Arial" w:hAnsi="Arial"/>
          <w:sz w:val="15"/>
          <w:szCs w:val="15"/>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include $0.8 billion related to committed capital contributions to a non-consolidated VIE.</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do not include future cash payments for purchase obligations and certain other accrued expenditures (unless listed in the table above) that were recorded in Accounts payable, Accrued liabilities and Other liabilities in our condensed consolidated financial statements at September 30, 2020.</w:t>
      </w:r>
    </w:p>
    <w:p>
      <w:pPr>
        <w:jc w:val="both"/>
        <w:ind w:left="340" w:hanging="332"/>
        <w:spacing w:after="0" w:line="25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September 30, 2020 for OPEB obligations for salaried and hourly employees extending beyond the current North American union contract agreements, workers' compensation and extended disability benefits. Amounts do not include pension funding obligations.</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table above does not reflect product warranty and related liabilities, certified pre-owned, extended warranty and free maintenance of $7.9 billion and unrecognized tax benefits of $0.7 billion due to the uncertainty regarding the future cash outflows potentially associated with these amounts. In addition, future cash outflows related to previously announced restructuring actions are not included in the table above. Refer to Note 17 to our condensed consolidated financial statements for additional information.</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2019 Form 10-K, as supplemented by the subsequent discussions of the allowance for loan losses on GM Financial receivables and the residual value of GM Financial leased vehicles.</w:t>
      </w:r>
    </w:p>
    <w:p>
      <w:pPr>
        <w:spacing w:after="0" w:line="116"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Financial Allowance for Loan Losses </w:t>
      </w:r>
      <w:r>
        <w:rPr>
          <w:rFonts w:ascii="Arial" w:cs="Arial" w:eastAsia="Arial" w:hAnsi="Arial"/>
          <w:sz w:val="16"/>
          <w:szCs w:val="16"/>
          <w:color w:val="auto"/>
        </w:rPr>
        <w:t>Refer to Note 2 to our condensed consolidated financial statements for additional information regarding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loan losses on retail and commercial finance receivables. The GM Financial retail finance receivables portfolio consists of smaller-balance, homogeneous loans that are carried at amortized cost, net of allowance for loan losses. The allowance for loan losses on retail finance receivables reflects net credit losses expected to be incurred over the remaining life of the retail finance receivables. We believe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1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 Financial updated the forecast of economic performance in March 2020, following the onset of the COVID-19 pandemic, and has continued to monitor and update the forecast through September 30, 2020. Used vehicle prices rebounded after decreasing in March and April 2020, and recoveries outperformed the forecast. Therefore, GM Financial increased the recovery rate forecast as of September 30, 2020. Actual economic data and recovery rates that are lower than those we forecast would result in an increase to the allowance for loan losses.</w:t>
      </w:r>
    </w:p>
    <w:p>
      <w:pPr>
        <w:spacing w:after="0" w:line="11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GM Financial commercial finance receivables portfolio consists of floorplan financing as well as dealer loans, which are loans to finance improvements to dealership facilities, to provide working capital, and to purchase and/or finance dealership real estate. The allowance for loan losses on commercial finance receivables is also based on estimates that, effective January 1, 2020, include historical loss experience for the consolidated portfolio, as well as the forecast for industry vehicle sales. There can be no assurance that the ultimate charge-off amount will not exceed such estimates or that our credit loss assumptions will not increase.</w:t>
      </w:r>
    </w:p>
    <w:p>
      <w:pPr>
        <w:spacing w:after="0" w:line="21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Residual Value of GM Financial Leased Vehicles </w:t>
      </w:r>
      <w:r>
        <w:rPr>
          <w:rFonts w:ascii="Arial" w:cs="Arial" w:eastAsia="Arial" w:hAnsi="Arial"/>
          <w:sz w:val="17"/>
          <w:szCs w:val="17"/>
          <w:color w:val="auto"/>
        </w:rPr>
        <w:t>At September 30, 2020, the estimated residual value of GM Financial’s leased vehicles at the end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lease term was $28.9 billion. Depreciation reduces the carrying value of each leased asset in GM Financial’s operating lease portfolio over time from its original acquisition value to its expected residual value at the end of the lease term. GM Financial reviewed the operating lease portfolio for indicators of impairment and determined that no impairment indicators were present at September 30, 2020.</w:t>
      </w:r>
    </w:p>
    <w:p>
      <w:pPr>
        <w:spacing w:after="0" w:line="19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GM Financial updated the residual value estimates on the operating lease portfolio to reflect the decrease in forecasted used vehicle prices in March 2020, following the onset of the COVID-19 pandemic, and has continued to monitor and update the residual value estimates through September 30, 2020. Used vehicle prices rebounded after decreasing in March and April 2020, and sales proceeds on terminated leased vehicles outperformed the residual value estimates during the nine months ended September 30, 2020. The estimated residual value as of September 30, 2020 increased from June 30, 2020, resulting in a prospective decrease to the depreciation rate over the remaining term of the leased vehicle portfolio. If used vehicle prices decrease,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This report and the other reports filed by us with the SEC from time to time, as well as statements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w:t>
      </w:r>
    </w:p>
    <w:p>
      <w:pPr>
        <w:jc w:val="both"/>
        <w:ind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COVID-19 pandemic,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w:t>
      </w:r>
    </w:p>
    <w:p>
      <w:pPr>
        <w:spacing w:after="0" w:line="11" w:lineRule="exact"/>
        <w:rPr>
          <w:rFonts w:ascii="Arial" w:cs="Arial" w:eastAsia="Arial" w:hAnsi="Arial"/>
          <w:sz w:val="16"/>
          <w:szCs w:val="16"/>
          <w:color w:val="auto"/>
        </w:rPr>
      </w:pPr>
    </w:p>
    <w:p>
      <w:pPr>
        <w:jc w:val="both"/>
        <w:ind w:firstLine="8"/>
        <w:spacing w:after="0" w:line="255" w:lineRule="auto"/>
        <w:tabs>
          <w:tab w:leader="none" w:pos="3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tax expense or exposure; (22) our continued ability to develop captive financing capability through GM Financial; (23) any significant increase in our pension funding requirements; and (24) the ongoing COVID-19 pandemic. A further list and description of these risks, uncertainties and other factors can be found in our 2019 Form 10-K and our subsequent filings with the SEC.</w:t>
      </w:r>
    </w:p>
    <w:p>
      <w:pPr>
        <w:spacing w:after="0" w:line="21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been no significant changes in our exposure to market risk since December 31, 2019. For further discussion on market risk, refer to Item 7A of our 2019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September 30, 2020 as required by paragraph (b) of Rules 13a-15 or 15d-15. Based on this evaluation, our CEO and CFO concluded that our disclosure controls and procedures were effective at September 30, 2020.</w:t>
      </w:r>
    </w:p>
    <w:p>
      <w:pPr>
        <w:spacing w:after="0" w:line="188" w:lineRule="exact"/>
        <w:rPr>
          <w:sz w:val="20"/>
          <w:szCs w:val="20"/>
          <w:color w:val="auto"/>
        </w:rPr>
      </w:pPr>
    </w:p>
    <w:p>
      <w:pPr>
        <w:jc w:val="both"/>
        <w:ind w:firstLine="162"/>
        <w:spacing w:after="0" w:line="303"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September 30, 2020 that have materially affected, or are reasonably likely to materially affect, our internal control over financial reporting. However, due to the COVID-19 global pandemic, we are monitoring our control environment with increased vigilance to ensure changes as a result of physical distancing are addressed and all increased risks are mitigated. For additional information refer to Part II, Item 1A. Risk Factors.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15 to our condensed consolidated financial statements is incorporated by reference into this Part II,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The COVID-19 pandemic may disrupt our business and operations, which could materially adversely impact our business, financial condition, liquidity and results of operations. </w:t>
      </w:r>
      <w:r>
        <w:rPr>
          <w:rFonts w:ascii="Arial" w:cs="Arial" w:eastAsia="Arial" w:hAnsi="Arial"/>
          <w:sz w:val="16"/>
          <w:szCs w:val="16"/>
          <w:color w:val="auto"/>
        </w:rPr>
        <w:t>Pandemics, epidemics or disease outbreaks in the U.S. or globally may disrupt our business, which could materially</w:t>
      </w:r>
    </w:p>
    <w:p>
      <w:pPr>
        <w:jc w:val="both"/>
        <w:spacing w:after="0" w:line="290" w:lineRule="auto"/>
        <w:rPr>
          <w:sz w:val="20"/>
          <w:szCs w:val="20"/>
          <w:color w:val="auto"/>
        </w:rPr>
      </w:pPr>
      <w:r>
        <w:rPr>
          <w:rFonts w:ascii="Arial" w:cs="Arial" w:eastAsia="Arial" w:hAnsi="Arial"/>
          <w:sz w:val="16"/>
          <w:szCs w:val="16"/>
          <w:color w:val="auto"/>
        </w:rPr>
        <w:t>affect our results of operations, financial condition, liquidity and future expectations. In January 2020, the World Health Organization declared the COVID-19 outbreak a public health emergency and in March 2020 declared it a global pandemic. The outbreak caused significant disruption to the global economy, including the automotive industry. We responded by implementing work-from-home protocols for employees who can work remotely and systematically suspending the majority of our global manufacturing operations. By May 2020, we had resumed our global manufacturing operations. Our manufacturing operations resumed production under enhanced public health procedures, including temperature screening of employees before entry into facilities, shift adjustments to allow for physical distancing, deep cleaning of facilities after each shift, and the provision of personal protective equipment.</w:t>
      </w:r>
    </w:p>
    <w:p>
      <w:pPr>
        <w:spacing w:after="0" w:line="191"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6"/>
          <w:szCs w:val="16"/>
          <w:color w:val="auto"/>
        </w:rPr>
        <w:t>The COVID-19 pandemic had a material impact on our business as discussed in detail in Part 1, Item 2. Management's Discussion and Analysis of Financial Condition and Results of Operations. However, the full extent to which the COVID-19 pandemic will impact our operations will depend on future developments, including the duration and severity of the outbreak and any subsequent outbreaks. Future developments are highly uncertain and cannot be predicted with confidence and may adversely impact our global supply chain and global manufacturing operations and cause us to again suspend our operations in the U.S. and elsewhere. In particular, if COVID-19 continues to spread or re-emerges, particularly in North America where our profits are most concentrated, resulting in a prolonged period of travel, commercial, social and other similar restrictions, we could experience among other things: (1) global supply disruptions; (2) labor disruptions; (3) an inability to manufacture; (4) an inability to sell to our customers; (5) a decline in showroom traffic and customer demand during and following the pandemic; (6) customer defaults on automobile loans and leases; (7) lower than expected pricing on vehicles sold at auction; and (8) an impaired ability to access credit and the capital markets. We may also be subject to enhanced legal risks, including potential litigation related to the COVID-19 pandemic. Further, we expect the COVID-19 pandemic, and any related adverse economic impact, will result in a significant contraction of total industry volumes in 2020. We also have substantial cash requirements going forward,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mandatory contributions to our pension plans; and (2) capital expenditures and payments for engineering and product development activities. Our ability to meet these cash requirements may be negatively impacted by the ongoing COVID-19 pandemic. Any resulting financial impact cannot be reasonably estimated at this time, but the COVID-19 pandemic could have a material impact on our business, financial condition and results of operations. For a further discussion of the impact of the COVID-19 pandemic on our liquidity, refer to the “Liquidity and Capital Resources” section in Part 1, Item 2. Management’s Discussion and Analysis of Financial Condition and Results of Operations.</w:t>
      </w:r>
    </w:p>
    <w:p>
      <w:pPr>
        <w:spacing w:after="0" w:line="20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the COVID-19 pandemic continues, it may also heighten many of the other risks described in Item 1A. Risk Factors in our 2019 Form 10-K. In particular, see the risk factors regarding global automobile sales volumes, scale and footprint of our operations, disruptions at our manufacturing facilities, disruptions in our suppliers’ operations, and reliance on GM Financial.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Paid per</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2020 through July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August 1, 2020 through August 31,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2020 through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9" w:lineRule="exact"/>
        <w:rPr>
          <w:sz w:val="20"/>
          <w:szCs w:val="20"/>
          <w:color w:val="auto"/>
        </w:rPr>
      </w:pPr>
    </w:p>
    <w:p>
      <w:pPr>
        <w:ind w:left="340" w:right="20" w:hanging="332"/>
        <w:spacing w:after="0" w:line="281" w:lineRule="auto"/>
        <w:tabs>
          <w:tab w:leader="none" w:pos="331" w:val="left"/>
        </w:tabs>
        <w:numPr>
          <w:ilvl w:val="0"/>
          <w:numId w:val="31"/>
        </w:numPr>
        <w:rPr>
          <w:rFonts w:ascii="Arial" w:cs="Arial" w:eastAsia="Arial" w:hAnsi="Arial"/>
          <w:sz w:val="14"/>
          <w:szCs w:val="14"/>
          <w:color w:val="auto"/>
        </w:rPr>
      </w:pPr>
      <w:r>
        <w:rPr>
          <w:rFonts w:ascii="Arial" w:cs="Arial" w:eastAsia="Arial" w:hAnsi="Arial"/>
          <w:sz w:val="14"/>
          <w:szCs w:val="14"/>
          <w:color w:val="auto"/>
        </w:rPr>
        <w:t>Shares purchased consist of shares delivered by employees or directors to us for the payment of taxes resulting from the issuance of common stock upon the vesting of RSUs, PSUs and Restricted Stock Awards relating to compensation plans. Refer to our 2019 Form 10-K for additional details on employee stock incentive plans.</w:t>
      </w:r>
    </w:p>
    <w:p>
      <w:pPr>
        <w:spacing w:after="0" w:line="1" w:lineRule="exact"/>
        <w:rPr>
          <w:rFonts w:ascii="Arial" w:cs="Arial" w:eastAsia="Arial" w:hAnsi="Arial"/>
          <w:sz w:val="14"/>
          <w:szCs w:val="14"/>
          <w:color w:val="auto"/>
        </w:rPr>
      </w:pPr>
    </w:p>
    <w:p>
      <w:pPr>
        <w:jc w:val="both"/>
        <w:ind w:left="340" w:hanging="332"/>
        <w:spacing w:after="0" w:line="25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In April 2020, we agreed not to execute any share repurchases until we no longer have outstanding borrowings under the revolving credit facilities, except for the three-year, $2.0 billion transformation facility.</w:t>
      </w:r>
    </w:p>
    <w:p>
      <w:pPr>
        <w:spacing w:after="0" w:line="214"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80" w:type="dxa"/>
            <w:vAlign w:val="bottom"/>
            <w:gridSpan w:val="5"/>
          </w:tcPr>
          <w:p>
            <w:pPr>
              <w:ind w:left="1060"/>
              <w:spacing w:after="0"/>
              <w:rPr>
                <w:sz w:val="20"/>
                <w:szCs w:val="20"/>
                <w:color w:val="auto"/>
              </w:rPr>
            </w:pPr>
            <w:r>
              <w:rPr>
                <w:rFonts w:ascii="Arial" w:cs="Arial" w:eastAsia="Arial" w:hAnsi="Arial"/>
                <w:sz w:val="18"/>
                <w:szCs w:val="18"/>
                <w:b w:val="1"/>
                <w:bCs w:val="1"/>
                <w:color w:val="auto"/>
              </w:rPr>
              <w:t>GENERAL MOTORS COMPANY AND SUBSIDIARIES</w:t>
            </w:r>
          </w:p>
        </w:tc>
        <w:tc>
          <w:tcPr>
            <w:tcW w:w="1600" w:type="dxa"/>
            <w:vAlign w:val="bottom"/>
          </w:tcPr>
          <w:p>
            <w:pPr>
              <w:spacing w:after="0"/>
              <w:rPr>
                <w:sz w:val="20"/>
                <w:szCs w:val="20"/>
                <w:color w:val="auto"/>
              </w:rPr>
            </w:pPr>
          </w:p>
        </w:tc>
      </w:tr>
      <w:tr>
        <w:trPr>
          <w:trHeight w:val="68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5"/>
          </w:tcPr>
          <w:p>
            <w:pPr>
              <w:ind w:left="2660"/>
              <w:spacing w:after="0"/>
              <w:rPr>
                <w:sz w:val="20"/>
                <w:szCs w:val="20"/>
                <w:color w:val="auto"/>
              </w:rPr>
            </w:pPr>
            <w:r>
              <w:rPr>
                <w:rFonts w:ascii="Arial" w:cs="Arial" w:eastAsia="Arial" w:hAnsi="Arial"/>
                <w:sz w:val="18"/>
                <w:szCs w:val="18"/>
                <w:b w:val="1"/>
                <w:bCs w:val="1"/>
                <w:color w:val="auto"/>
              </w:rPr>
              <w:t>Exhibit Name</w:t>
            </w:r>
          </w:p>
        </w:tc>
        <w:tc>
          <w:tcPr>
            <w:tcW w:w="1600" w:type="dxa"/>
            <w:vAlign w:val="bottom"/>
          </w:tcPr>
          <w:p>
            <w:pPr>
              <w:spacing w:after="0"/>
              <w:rPr>
                <w:sz w:val="24"/>
                <w:szCs w:val="24"/>
                <w:color w:val="auto"/>
              </w:rPr>
            </w:pPr>
          </w:p>
        </w:tc>
      </w:tr>
      <w:tr>
        <w:trPr>
          <w:trHeight w:val="176"/>
        </w:trPr>
        <w:tc>
          <w:tcPr>
            <w:tcW w:w="1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40" w:type="dxa"/>
            <w:vAlign w:val="bottom"/>
            <w:tcBorders>
              <w:top w:val="single" w:sz="8" w:color="auto"/>
            </w:tcBorders>
            <w:gridSpan w:val="7"/>
            <w:shd w:val="clear" w:color="auto" w:fill="CCEEFF"/>
          </w:tcPr>
          <w:p>
            <w:pPr>
              <w:spacing w:after="0" w:line="169"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Restated Certificate of Incorporation of General Motors Company dated December 7, 2010, incorporated herein</w:t>
              </w:r>
            </w:hyperlink>
          </w:p>
        </w:tc>
        <w:tc>
          <w:tcPr>
            <w:tcW w:w="1600" w:type="dxa"/>
            <w:vAlign w:val="bottom"/>
            <w:tcBorders>
              <w:top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Incorporated by</w:t>
            </w:r>
          </w:p>
        </w:tc>
      </w:tr>
      <w:tr>
        <w:trPr>
          <w:trHeight w:val="162"/>
        </w:trPr>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100" w:type="dxa"/>
            <w:vAlign w:val="bottom"/>
            <w:tcBorders>
              <w:top w:val="single" w:sz="8" w:color="0000FF"/>
              <w:bottom w:val="single" w:sz="8" w:color="0000FF"/>
            </w:tcBorders>
            <w:gridSpan w:val="5"/>
            <w:shd w:val="clear" w:color="auto" w:fill="CCEEFF"/>
          </w:tcPr>
          <w:p>
            <w:pPr>
              <w:spacing w:after="0" w:line="162"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ind w:left="80"/>
              <w:spacing w:after="0" w:line="162" w:lineRule="exact"/>
              <w:rPr>
                <w:sz w:val="20"/>
                <w:szCs w:val="20"/>
                <w:color w:val="auto"/>
              </w:rPr>
            </w:pPr>
            <w:r>
              <w:rPr>
                <w:rFonts w:ascii="Arial" w:cs="Arial" w:eastAsia="Arial" w:hAnsi="Arial"/>
                <w:sz w:val="18"/>
                <w:szCs w:val="18"/>
                <w:color w:val="auto"/>
              </w:rPr>
              <w:t>Reference</w:t>
            </w:r>
          </w:p>
        </w:tc>
      </w:tr>
      <w:tr>
        <w:trPr>
          <w:trHeight w:val="156"/>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2010</w:t>
              </w:r>
            </w:hyperlink>
          </w:p>
        </w:tc>
        <w:tc>
          <w:tcPr>
            <w:tcW w:w="318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7"/>
          </w:tcPr>
          <w:p>
            <w:pPr>
              <w:spacing w:after="0" w:line="189" w:lineRule="exact"/>
              <w:rPr>
                <w:rFonts w:ascii="Arial" w:cs="Arial" w:eastAsia="Arial" w:hAnsi="Arial"/>
                <w:sz w:val="18"/>
                <w:szCs w:val="18"/>
                <w:color w:val="0000FF"/>
                <w:w w:val="96"/>
              </w:rPr>
            </w:pPr>
            <w:hyperlink r:id="rId82">
              <w:r>
                <w:rPr>
                  <w:rFonts w:ascii="Arial" w:cs="Arial" w:eastAsia="Arial" w:hAnsi="Arial"/>
                  <w:sz w:val="18"/>
                  <w:szCs w:val="18"/>
                  <w:color w:val="0000FF"/>
                  <w:w w:val="96"/>
                </w:rPr>
                <w:t>General Motors Company Amended and Restated Bylaws, as amended August 14, 2018, incorporated by</w:t>
              </w:r>
            </w:hyperlink>
          </w:p>
        </w:tc>
        <w:tc>
          <w:tcPr>
            <w:tcW w:w="1600" w:type="dxa"/>
            <w:vAlign w:val="bottom"/>
          </w:tcPr>
          <w:p>
            <w:pPr>
              <w:ind w:left="80"/>
              <w:spacing w:after="0" w:line="189" w:lineRule="exact"/>
              <w:rPr>
                <w:sz w:val="20"/>
                <w:szCs w:val="20"/>
                <w:color w:val="auto"/>
              </w:rPr>
            </w:pPr>
            <w:r>
              <w:rPr>
                <w:rFonts w:ascii="Arial" w:cs="Arial" w:eastAsia="Arial" w:hAnsi="Arial"/>
                <w:sz w:val="18"/>
                <w:szCs w:val="18"/>
                <w:color w:val="auto"/>
              </w:rPr>
              <w:t>Incorporated by</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6"/>
          </w:tcPr>
          <w:p>
            <w:pPr>
              <w:spacing w:after="0" w:line="15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reference to Exhibit 3.1 to the Current Report on Form 8-K of General Motors Company filed on August 20,</w:t>
              </w:r>
            </w:hyperlink>
          </w:p>
        </w:tc>
        <w:tc>
          <w:tcPr>
            <w:tcW w:w="20" w:type="dxa"/>
            <w:vAlign w:val="bottom"/>
          </w:tcPr>
          <w:p>
            <w:pPr>
              <w:spacing w:after="0"/>
              <w:rPr>
                <w:sz w:val="13"/>
                <w:szCs w:val="13"/>
                <w:color w:val="auto"/>
              </w:rPr>
            </w:pPr>
          </w:p>
        </w:tc>
        <w:tc>
          <w:tcPr>
            <w:tcW w:w="1600" w:type="dxa"/>
            <w:vAlign w:val="bottom"/>
          </w:tcPr>
          <w:p>
            <w:pPr>
              <w:ind w:left="80"/>
              <w:spacing w:after="0" w:line="156" w:lineRule="exact"/>
              <w:rPr>
                <w:sz w:val="20"/>
                <w:szCs w:val="20"/>
                <w:color w:val="auto"/>
              </w:rPr>
            </w:pPr>
            <w:r>
              <w:rPr>
                <w:rFonts w:ascii="Arial" w:cs="Arial" w:eastAsia="Arial" w:hAnsi="Arial"/>
                <w:sz w:val="18"/>
                <w:szCs w:val="18"/>
                <w:color w:val="auto"/>
              </w:rPr>
              <w:t>Reference</w:t>
            </w: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2018</w:t>
              </w:r>
            </w:hyperlink>
          </w:p>
        </w:tc>
        <w:tc>
          <w:tcPr>
            <w:tcW w:w="318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140" w:type="dxa"/>
            <w:vAlign w:val="bottom"/>
            <w:gridSpan w:val="7"/>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Section 302 Certification of the Chief Executive Officer</w:t>
              </w:r>
            </w:hyperlink>
          </w:p>
        </w:tc>
        <w:tc>
          <w:tcPr>
            <w:tcW w:w="16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Filed Herewith</w:t>
            </w:r>
          </w:p>
        </w:tc>
      </w:tr>
      <w:tr>
        <w:trPr>
          <w:trHeight w:val="230"/>
        </w:trPr>
        <w:tc>
          <w:tcPr>
            <w:tcW w:w="1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40" w:type="dxa"/>
            <w:vAlign w:val="bottom"/>
            <w:tcBorders>
              <w:top w:val="single" w:sz="8" w:color="0000FF"/>
            </w:tcBorders>
            <w:gridSpan w:val="3"/>
          </w:tcPr>
          <w:p>
            <w:pPr>
              <w:spacing w:after="0"/>
              <w:rPr>
                <w:rFonts w:ascii="Arial" w:cs="Arial" w:eastAsia="Arial" w:hAnsi="Arial"/>
                <w:sz w:val="18"/>
                <w:szCs w:val="18"/>
                <w:u w:val="single" w:color="auto"/>
                <w:color w:val="0000FF"/>
                <w:w w:val="94"/>
              </w:rPr>
            </w:pPr>
            <w:hyperlink w:anchor="page60">
              <w:r>
                <w:rPr>
                  <w:rFonts w:ascii="Arial" w:cs="Arial" w:eastAsia="Arial" w:hAnsi="Arial"/>
                  <w:sz w:val="18"/>
                  <w:szCs w:val="18"/>
                  <w:u w:val="single" w:color="auto"/>
                  <w:color w:val="0000FF"/>
                  <w:w w:val="94"/>
                </w:rPr>
                <w:t>Section 302 Certification of the Chief Financial Officer</w:t>
              </w:r>
            </w:hyperlink>
          </w:p>
        </w:tc>
        <w:tc>
          <w:tcPr>
            <w:tcW w:w="4100" w:type="dxa"/>
            <w:vAlign w:val="bottom"/>
            <w:tcBorders>
              <w:top w:val="single" w:sz="8" w:color="CCEEFF"/>
            </w:tcBorders>
            <w:gridSpan w:val="4"/>
          </w:tcPr>
          <w:p>
            <w:pPr>
              <w:spacing w:after="0"/>
              <w:rPr>
                <w:sz w:val="19"/>
                <w:szCs w:val="19"/>
                <w:color w:val="auto"/>
              </w:rPr>
            </w:pPr>
          </w:p>
        </w:tc>
        <w:tc>
          <w:tcPr>
            <w:tcW w:w="16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Filed Herewith</w:t>
            </w: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40" w:type="dxa"/>
            <w:vAlign w:val="bottom"/>
            <w:gridSpan w:val="7"/>
            <w:shd w:val="clear" w:color="auto" w:fill="CCEEFF"/>
          </w:tcPr>
          <w:p>
            <w:pPr>
              <w:spacing w:after="0" w:line="189"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Certification Pursuant to 18 U.S.C. Section 1350, As Adopted Pursuant to Section 906 of the Sarbanes-Oxley</w:t>
              </w:r>
            </w:hyperlink>
          </w:p>
        </w:tc>
        <w:tc>
          <w:tcPr>
            <w:tcW w:w="16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9"/>
              </w:rPr>
              <w:t>Furnished with this</w:t>
            </w:r>
          </w:p>
        </w:tc>
      </w:tr>
      <w:tr>
        <w:trPr>
          <w:trHeight w:val="156"/>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600" w:type="dxa"/>
            <w:vAlign w:val="bottom"/>
            <w:tcBorders>
              <w:top w:val="single" w:sz="8" w:color="CCEEFF"/>
            </w:tcBorders>
            <w:shd w:val="clear" w:color="auto" w:fill="CCEEFF"/>
          </w:tcPr>
          <w:p>
            <w:pPr>
              <w:ind w:left="80"/>
              <w:spacing w:after="0" w:line="156" w:lineRule="exact"/>
              <w:rPr>
                <w:sz w:val="20"/>
                <w:szCs w:val="20"/>
                <w:color w:val="auto"/>
              </w:rPr>
            </w:pPr>
            <w:r>
              <w:rPr>
                <w:rFonts w:ascii="Arial" w:cs="Arial" w:eastAsia="Arial" w:hAnsi="Arial"/>
                <w:sz w:val="18"/>
                <w:szCs w:val="18"/>
                <w:color w:val="auto"/>
              </w:rPr>
              <w:t>Report</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7"/>
          </w:tcPr>
          <w:p>
            <w:pPr>
              <w:spacing w:after="0" w:line="176" w:lineRule="exact"/>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w:t>
            </w:r>
          </w:p>
        </w:tc>
        <w:tc>
          <w:tcPr>
            <w:tcW w:w="1600" w:type="dxa"/>
            <w:vAlign w:val="bottom"/>
          </w:tcPr>
          <w:p>
            <w:pPr>
              <w:ind w:left="80"/>
              <w:spacing w:after="0" w:line="176" w:lineRule="exact"/>
              <w:rPr>
                <w:sz w:val="20"/>
                <w:szCs w:val="20"/>
                <w:color w:val="auto"/>
              </w:rPr>
            </w:pPr>
            <w:r>
              <w:rPr>
                <w:rFonts w:ascii="Arial" w:cs="Arial" w:eastAsia="Arial" w:hAnsi="Arial"/>
                <w:sz w:val="18"/>
                <w:szCs w:val="18"/>
                <w:color w:val="auto"/>
              </w:rPr>
              <w:t>Filed Herewith</w:t>
            </w:r>
          </w:p>
        </w:tc>
      </w:tr>
      <w:tr>
        <w:trPr>
          <w:trHeight w:val="176"/>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7"/>
          </w:tcPr>
          <w:p>
            <w:pPr>
              <w:spacing w:after="0" w:line="176" w:lineRule="exact"/>
              <w:rPr>
                <w:sz w:val="20"/>
                <w:szCs w:val="20"/>
                <w:color w:val="auto"/>
              </w:rPr>
            </w:pPr>
            <w:r>
              <w:rPr>
                <w:rFonts w:ascii="Arial" w:cs="Arial" w:eastAsia="Arial" w:hAnsi="Arial"/>
                <w:sz w:val="18"/>
                <w:szCs w:val="18"/>
                <w:color w:val="auto"/>
                <w:w w:val="96"/>
              </w:rPr>
              <w:t>September 30, 2020, formatted in Inline Extensible Business Reporting Language (iXBRL) includes: (i) the</w:t>
            </w:r>
          </w:p>
        </w:tc>
        <w:tc>
          <w:tcPr>
            <w:tcW w:w="160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7"/>
          </w:tcPr>
          <w:p>
            <w:pPr>
              <w:spacing w:after="0" w:line="176" w:lineRule="exact"/>
              <w:rPr>
                <w:sz w:val="20"/>
                <w:szCs w:val="20"/>
                <w:color w:val="auto"/>
              </w:rPr>
            </w:pPr>
            <w:r>
              <w:rPr>
                <w:rFonts w:ascii="Arial" w:cs="Arial" w:eastAsia="Arial" w:hAnsi="Arial"/>
                <w:sz w:val="18"/>
                <w:szCs w:val="18"/>
                <w:color w:val="auto"/>
                <w:w w:val="92"/>
              </w:rPr>
              <w:t>Condensed Consolidated Income Statements, (ii) the Condensed Consolidated Statements of Comprehensive</w:t>
            </w:r>
          </w:p>
        </w:tc>
        <w:tc>
          <w:tcPr>
            <w:tcW w:w="160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7"/>
          </w:tcPr>
          <w:p>
            <w:pPr>
              <w:spacing w:after="0" w:line="176" w:lineRule="exact"/>
              <w:rPr>
                <w:sz w:val="20"/>
                <w:szCs w:val="20"/>
                <w:color w:val="auto"/>
              </w:rPr>
            </w:pPr>
            <w:r>
              <w:rPr>
                <w:rFonts w:ascii="Arial" w:cs="Arial" w:eastAsia="Arial" w:hAnsi="Arial"/>
                <w:sz w:val="18"/>
                <w:szCs w:val="18"/>
                <w:color w:val="auto"/>
                <w:w w:val="90"/>
              </w:rPr>
              <w:t>Income, (iii) the Condensed Consolidated Balance Sheets, (iv) the Condensed Consolidated Statements of Cash</w:t>
            </w:r>
          </w:p>
        </w:tc>
        <w:tc>
          <w:tcPr>
            <w:tcW w:w="160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7"/>
          </w:tcPr>
          <w:p>
            <w:pPr>
              <w:spacing w:after="0" w:line="176" w:lineRule="exact"/>
              <w:rPr>
                <w:sz w:val="20"/>
                <w:szCs w:val="20"/>
                <w:color w:val="auto"/>
              </w:rPr>
            </w:pPr>
            <w:r>
              <w:rPr>
                <w:rFonts w:ascii="Arial" w:cs="Arial" w:eastAsia="Arial" w:hAnsi="Arial"/>
                <w:sz w:val="18"/>
                <w:szCs w:val="18"/>
                <w:color w:val="auto"/>
                <w:w w:val="94"/>
              </w:rPr>
              <w:t>Flows, (v) the Condensed Consolidated Statements of Equity and (vi) Notes to the Condensed Consolidated</w:t>
            </w:r>
          </w:p>
        </w:tc>
        <w:tc>
          <w:tcPr>
            <w:tcW w:w="1600" w:type="dxa"/>
            <w:vAlign w:val="bottom"/>
          </w:tcPr>
          <w:p>
            <w:pPr>
              <w:spacing w:after="0"/>
              <w:rPr>
                <w:sz w:val="15"/>
                <w:szCs w:val="15"/>
                <w:color w:val="auto"/>
              </w:rPr>
            </w:pPr>
          </w:p>
        </w:tc>
      </w:tr>
      <w:tr>
        <w:trPr>
          <w:trHeight w:val="229"/>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1600" w:type="dxa"/>
            <w:vAlign w:val="bottom"/>
          </w:tcPr>
          <w:p>
            <w:pPr>
              <w:spacing w:after="0"/>
              <w:rPr>
                <w:sz w:val="19"/>
                <w:szCs w:val="19"/>
                <w:color w:val="auto"/>
              </w:rPr>
            </w:pPr>
          </w:p>
        </w:tc>
      </w:tr>
      <w:tr>
        <w:trPr>
          <w:trHeight w:val="192"/>
        </w:trPr>
        <w:tc>
          <w:tcPr>
            <w:tcW w:w="1360" w:type="dxa"/>
            <w:vAlign w:val="bottom"/>
          </w:tcPr>
          <w:p>
            <w:pPr>
              <w:ind w:left="20"/>
              <w:spacing w:after="0" w:line="19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7"/>
          </w:tcPr>
          <w:p>
            <w:pPr>
              <w:spacing w:after="0" w:line="192" w:lineRule="exact"/>
              <w:rPr>
                <w:sz w:val="20"/>
                <w:szCs w:val="20"/>
                <w:color w:val="auto"/>
              </w:rPr>
            </w:pPr>
            <w:r>
              <w:rPr>
                <w:rFonts w:ascii="Arial" w:cs="Arial" w:eastAsia="Arial" w:hAnsi="Arial"/>
                <w:sz w:val="18"/>
                <w:szCs w:val="18"/>
                <w:color w:val="auto"/>
                <w:w w:val="91"/>
              </w:rPr>
              <w:t>The cover page from the Company's Quarterly Report on Form 10-Q for the quarter ended September 30, 2020,</w:t>
            </w:r>
          </w:p>
        </w:tc>
        <w:tc>
          <w:tcPr>
            <w:tcW w:w="1600" w:type="dxa"/>
            <w:vAlign w:val="bottom"/>
          </w:tcPr>
          <w:p>
            <w:pPr>
              <w:ind w:left="80"/>
              <w:spacing w:after="0" w:line="192" w:lineRule="exact"/>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formatted as Inline XBRL and contained in Exhibit 101</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SIGNATURE</w:t>
      </w:r>
    </w:p>
    <w:p>
      <w:pPr>
        <w:spacing w:after="0" w:line="24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6"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017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Chief Accounting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p>
      <w:pPr>
        <w:spacing w:after="0" w:line="200" w:lineRule="exact"/>
        <w:rPr>
          <w:sz w:val="20"/>
          <w:szCs w:val="20"/>
          <w:color w:val="auto"/>
        </w:rPr>
      </w:pP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20"/>
          </w:cols>
          <w:pgMar w:left="320" w:top="125" w:right="7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2" w:lineRule="exact"/>
        <w:rPr>
          <w:sz w:val="20"/>
          <w:szCs w:val="20"/>
          <w:color w:val="auto"/>
        </w:rPr>
      </w:pPr>
    </w:p>
    <w:p>
      <w:pPr>
        <w:ind w:left="400" w:hanging="190"/>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p>
      <w:pPr>
        <w:sectPr>
          <w:pgSz w:w="11900" w:h="16838" w:orient="portrait"/>
          <w:cols w:equalWidth="0" w:num="1">
            <w:col w:w="11240"/>
          </w:cols>
          <w:pgMar w:left="320" w:top="36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Stapleton, certify that:</w:t>
      </w:r>
    </w:p>
    <w:p>
      <w:pPr>
        <w:spacing w:after="0" w:line="252" w:lineRule="exact"/>
        <w:rPr>
          <w:sz w:val="20"/>
          <w:szCs w:val="20"/>
          <w:color w:val="auto"/>
        </w:rPr>
      </w:pPr>
    </w:p>
    <w:p>
      <w:pPr>
        <w:ind w:left="400" w:hanging="190"/>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P. STAPLETON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P. Stapleton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35"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p>
      <w:pPr>
        <w:sectPr>
          <w:pgSz w:w="11900" w:h="16838" w:orient="portrait"/>
          <w:cols w:equalWidth="0" w:num="1">
            <w:col w:w="11240"/>
          </w:cols>
          <w:pgMar w:left="320" w:top="36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2020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92" w:lineRule="exact"/>
        <w:rPr>
          <w:sz w:val="20"/>
          <w:szCs w:val="20"/>
          <w:color w:val="auto"/>
        </w:rPr>
      </w:pPr>
    </w:p>
    <w:p>
      <w:pPr>
        <w:ind w:left="760" w:hanging="185"/>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60" w:hanging="185"/>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P. STAPLETON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P. Stapleton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35"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November 5, 2020</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4"/>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7"/>
    </w:lvl>
  </w:abstractNum>
  <w:abstractNum w:abstractNumId="29">
    <w:nsid w:val="6CEAF087"/>
    <w:multiLevelType w:val="hybridMultilevel"/>
    <w:lvl w:ilvl="0">
      <w:lvlJc w:val="left"/>
      <w:lvlText w:val="(%1)"/>
      <w:numFmt w:val="decimal"/>
      <w:start w:val="21"/>
    </w:lvl>
  </w:abstractNum>
  <w:abstractNum w:abstractNumId="30">
    <w:nsid w:val="22221A70"/>
    <w:multiLevelType w:val="hybridMultilevel"/>
    <w:lvl w:ilvl="0">
      <w:lvlJc w:val="left"/>
      <w:lvlText w:val="(%1)"/>
      <w:numFmt w:val="lowerLetter"/>
      <w:start w:val="1"/>
    </w:lvl>
    <w:lvl w:ilvl="1">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1" Type="http://schemas.openxmlformats.org/officeDocument/2006/relationships/hyperlink" Target="http://www.sec.gov/Archives/edgar/data/1467858/000119312510279214/dex32.htm" TargetMode="External"/><Relationship Id="rId82" Type="http://schemas.openxmlformats.org/officeDocument/2006/relationships/hyperlink" Target="http://www.sec.gov/Archives/edgar/data/1467858/000119312518252892/d59562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2020-11-05T14:14:03Z</dcterms:created>
  <dcterms:modified xsi:type="dcterms:W3CDTF">2020-11-05T14:14:03Z</dcterms:modified>
</cp:coreProperties>
</file>