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40"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 w:lineRule="exact"/>
        <w:rPr>
          <w:sz w:val="24"/>
          <w:szCs w:val="24"/>
          <w:color w:val="auto"/>
        </w:rPr>
      </w:pPr>
    </w:p>
    <w:p>
      <w:pPr>
        <w:ind w:left="340" w:hanging="315"/>
        <w:spacing w:after="0"/>
        <w:tabs>
          <w:tab w:leader="none" w:pos="34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460"/>
        <w:spacing w:after="0"/>
        <w:tabs>
          <w:tab w:leader="none" w:pos="32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28575</wp:posOffset>
            </wp:positionV>
            <wp:extent cx="469265" cy="443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GENERAL MOTORS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41"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80" w:type="dxa"/>
            <w:vAlign w:val="bottom"/>
          </w:tcPr>
          <w:p>
            <w:pPr>
              <w:jc w:val="center"/>
              <w:ind w:right="31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27-0756180</w:t>
            </w:r>
          </w:p>
        </w:tc>
      </w:tr>
      <w:tr>
        <w:trPr>
          <w:trHeight w:val="167"/>
        </w:trPr>
        <w:tc>
          <w:tcPr>
            <w:tcW w:w="6280" w:type="dxa"/>
            <w:vAlign w:val="bottom"/>
          </w:tcPr>
          <w:p>
            <w:pPr>
              <w:jc w:val="center"/>
              <w:ind w:right="3219"/>
              <w:spacing w:after="0" w:line="167"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460" w:type="dxa"/>
            <w:vAlign w:val="bottom"/>
          </w:tcPr>
          <w:p>
            <w:pPr>
              <w:jc w:val="center"/>
              <w:ind w:left="139"/>
              <w:spacing w:after="0" w:line="167"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6280" w:type="dxa"/>
            <w:vAlign w:val="bottom"/>
          </w:tcPr>
          <w:p>
            <w:pPr>
              <w:jc w:val="center"/>
              <w:ind w:right="3179"/>
              <w:spacing w:after="0"/>
              <w:rPr>
                <w:sz w:val="20"/>
                <w:szCs w:val="20"/>
                <w:color w:val="auto"/>
              </w:rPr>
            </w:pPr>
            <w:r>
              <w:rPr>
                <w:rFonts w:ascii="Times New Roman" w:cs="Times New Roman" w:eastAsia="Times New Roman" w:hAnsi="Times New Roman"/>
                <w:sz w:val="16"/>
                <w:szCs w:val="16"/>
                <w:i w:val="1"/>
                <w:iCs w:val="1"/>
                <w:color w:val="auto"/>
                <w:w w:val="99"/>
              </w:rPr>
              <w:t>incorporation or organization)</w:t>
            </w:r>
          </w:p>
        </w:tc>
        <w:tc>
          <w:tcPr>
            <w:tcW w:w="1460" w:type="dxa"/>
            <w:vAlign w:val="bottom"/>
          </w:tcPr>
          <w:p>
            <w:pPr>
              <w:jc w:val="center"/>
              <w:ind w:left="19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266"/>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tc>
        <w:tc>
          <w:tcPr>
            <w:tcW w:w="14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48265 -3000</w:t>
            </w:r>
          </w:p>
        </w:tc>
      </w:tr>
      <w:tr>
        <w:trPr>
          <w:trHeight w:val="215"/>
        </w:trPr>
        <w:tc>
          <w:tcPr>
            <w:tcW w:w="6280" w:type="dxa"/>
            <w:vAlign w:val="bottom"/>
          </w:tcPr>
          <w:p>
            <w:pPr>
              <w:jc w:val="center"/>
              <w:ind w:right="31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60" w:type="dxa"/>
            <w:vAlign w:val="bottom"/>
          </w:tcPr>
          <w:p>
            <w:pPr>
              <w:jc w:val="center"/>
              <w:ind w:left="15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72"/>
        </w:trPr>
        <w:tc>
          <w:tcPr>
            <w:tcW w:w="628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(313) 667-1500</w:t>
            </w:r>
          </w:p>
        </w:tc>
        <w:tc>
          <w:tcPr>
            <w:tcW w:w="1460" w:type="dxa"/>
            <w:vAlign w:val="bottom"/>
          </w:tcPr>
          <w:p>
            <w:pPr>
              <w:spacing w:after="0"/>
              <w:rPr>
                <w:sz w:val="23"/>
                <w:szCs w:val="23"/>
                <w:color w:val="auto"/>
              </w:rPr>
            </w:pPr>
          </w:p>
        </w:tc>
      </w:tr>
      <w:tr>
        <w:trPr>
          <w:trHeight w:val="212"/>
        </w:trPr>
        <w:tc>
          <w:tcPr>
            <w:tcW w:w="6280" w:type="dxa"/>
            <w:vAlign w:val="bottom"/>
          </w:tcPr>
          <w:p>
            <w:pPr>
              <w:jc w:val="center"/>
              <w:ind w:left="22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60" w:type="dxa"/>
            <w:vAlign w:val="bottom"/>
          </w:tcPr>
          <w:p>
            <w:pPr>
              <w:spacing w:after="0"/>
              <w:rPr>
                <w:sz w:val="18"/>
                <w:szCs w:val="18"/>
                <w:color w:val="auto"/>
              </w:rPr>
            </w:pPr>
          </w:p>
        </w:tc>
      </w:tr>
    </w:tbl>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23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0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8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740" w:type="dxa"/>
            <w:vAlign w:val="bottom"/>
          </w:tcPr>
          <w:p>
            <w:pPr>
              <w:spacing w:after="0"/>
              <w:rPr>
                <w:sz w:val="19"/>
                <w:szCs w:val="19"/>
                <w:color w:val="auto"/>
              </w:rPr>
            </w:pPr>
          </w:p>
        </w:tc>
        <w:tc>
          <w:tcPr>
            <w:tcW w:w="234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1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 (g) of the Act: None</w:t>
      </w:r>
    </w:p>
    <w:p>
      <w:pPr>
        <w:spacing w:after="0" w:line="21" w:lineRule="exact"/>
        <w:rPr>
          <w:sz w:val="24"/>
          <w:szCs w:val="24"/>
          <w:color w:val="auto"/>
        </w:rPr>
      </w:pPr>
    </w:p>
    <w:p>
      <w:pPr>
        <w:ind w:left="160" w:right="3300"/>
        <w:spacing w:after="0" w:line="24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firstLine="161"/>
        <w:spacing w:after="0" w:line="29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160"/>
        <w:spacing w:after="0" w:line="161" w:lineRule="exact"/>
        <w:tabs>
          <w:tab w:leader="none" w:pos="63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46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42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73" w:lineRule="exact"/>
        <w:rPr>
          <w:sz w:val="24"/>
          <w:szCs w:val="24"/>
          <w:color w:val="auto"/>
        </w:rPr>
      </w:pPr>
    </w:p>
    <w:p>
      <w:pPr>
        <w:ind w:right="20" w:firstLine="161"/>
        <w:spacing w:after="0" w:line="19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3" w:lineRule="exact"/>
        <w:rPr>
          <w:sz w:val="24"/>
          <w:szCs w:val="24"/>
          <w:color w:val="auto"/>
        </w:rPr>
      </w:pPr>
    </w:p>
    <w:p>
      <w:pPr>
        <w:ind w:right="180" w:firstLine="161"/>
        <w:spacing w:after="0" w:line="19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5" w:lineRule="exact"/>
        <w:rPr>
          <w:sz w:val="24"/>
          <w:szCs w:val="24"/>
          <w:color w:val="auto"/>
        </w:rPr>
      </w:pPr>
    </w:p>
    <w:p>
      <w:pPr>
        <w:ind w:left="160"/>
        <w:spacing w:after="0" w:line="161" w:lineRule="exact"/>
        <w:tabs>
          <w:tab w:leader="none" w:pos="66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2" w:lineRule="exact"/>
        <w:rPr>
          <w:sz w:val="24"/>
          <w:szCs w:val="24"/>
          <w:color w:val="auto"/>
        </w:rPr>
      </w:pPr>
    </w:p>
    <w:p>
      <w:pPr>
        <w:ind w:right="240" w:firstLine="161"/>
        <w:spacing w:after="0" w:line="277"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(assuming only for purposes of this computation that directors and executive officers may be affiliates) was approximately $52.9 billion as of June 30, 2023.</w:t>
      </w:r>
    </w:p>
    <w:p>
      <w:pPr>
        <w:spacing w:after="0" w:line="7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As of January 16, 2024 there were 1,154,433,287 shares of common stock outstanding.</w:t>
      </w:r>
    </w:p>
    <w:p>
      <w:pPr>
        <w:spacing w:after="0" w:line="2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40"/>
          </w:cols>
          <w:pgMar w:left="320" w:top="1165" w:right="339" w:bottom="1440" w:gutter="0" w:footer="0" w:header="0"/>
        </w:sectPr>
      </w:pPr>
    </w:p>
    <w:p>
      <w:pPr>
        <w:spacing w:after="0" w:line="1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related to the Annual Stockholders Meeting to be filed subsequently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409575</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54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540" w:type="dxa"/>
            <w:vAlign w:val="bottom"/>
            <w:vMerge w:val="restart"/>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22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Business</w:t>
            </w:r>
          </w:p>
        </w:tc>
        <w:tc>
          <w:tcPr>
            <w:tcW w:w="8540" w:type="dxa"/>
            <w:vAlign w:val="bottom"/>
            <w:shd w:val="clear" w:color="auto" w:fill="CCEEFF"/>
          </w:tcPr>
          <w:p>
            <w:pPr>
              <w:spacing w:after="0"/>
              <w:rPr>
                <w:sz w:val="16"/>
                <w:szCs w:val="16"/>
                <w:color w:val="auto"/>
              </w:rPr>
            </w:pPr>
          </w:p>
        </w:tc>
        <w:tc>
          <w:tcPr>
            <w:tcW w:w="56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2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540" w:type="dxa"/>
            <w:vAlign w:val="bottom"/>
          </w:tcPr>
          <w:p>
            <w:pPr>
              <w:spacing w:after="0"/>
              <w:rPr>
                <w:sz w:val="16"/>
                <w:szCs w:val="16"/>
                <w:color w:val="auto"/>
              </w:rPr>
            </w:pPr>
          </w:p>
        </w:tc>
        <w:tc>
          <w:tcPr>
            <w:tcW w:w="5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Unresolved Staff Comments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12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w w:val="98"/>
              </w:rPr>
              <w:t>Cybersecurity</w:t>
            </w:r>
          </w:p>
        </w:tc>
        <w:tc>
          <w:tcPr>
            <w:tcW w:w="85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22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Properties</w:t>
            </w:r>
          </w:p>
        </w:tc>
        <w:tc>
          <w:tcPr>
            <w:tcW w:w="85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8540" w:type="dxa"/>
            <w:vAlign w:val="bottom"/>
            <w:tcBorders>
              <w:top w:val="single" w:sz="8" w:color="CCEEFF"/>
            </w:tcBorders>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2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[Reserved]</w:t>
            </w:r>
          </w:p>
        </w:tc>
        <w:tc>
          <w:tcPr>
            <w:tcW w:w="854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Consolidated Statements of Equity</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760" w:type="dxa"/>
            <w:vAlign w:val="bottom"/>
            <w:gridSpan w:val="2"/>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Significant Accounting Policies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Property</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Interest Income and Other Non-Operating Income</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20.</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21.</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22.</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360" w:type="dxa"/>
            <w:vAlign w:val="bottom"/>
            <w:gridSpan w:val="2"/>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22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23.</w:t>
            </w:r>
          </w:p>
        </w:tc>
        <w:tc>
          <w:tcPr>
            <w:tcW w:w="8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360" w:type="dxa"/>
            <w:vAlign w:val="bottom"/>
            <w:gridSpan w:val="2"/>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8"/>
                <w:szCs w:val="18"/>
                <w:color w:val="auto"/>
              </w:rPr>
              <w:t>Note 24.</w:t>
            </w:r>
          </w:p>
        </w:tc>
        <w:tc>
          <w:tcPr>
            <w:tcW w:w="8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Supplemental Information for the Consolidated Statements of Cash Flows</w:t>
            </w:r>
          </w:p>
        </w:tc>
        <w:tc>
          <w:tcPr>
            <w:tcW w:w="56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1"/>
        </w:trPr>
        <w:tc>
          <w:tcPr>
            <w:tcW w:w="880" w:type="dxa"/>
            <w:vAlign w:val="bottom"/>
            <w:tcBorders>
              <w:top w:val="single" w:sz="8" w:color="CCEEFF"/>
              <w:bottom w:val="single" w:sz="8" w:color="9A9A9A"/>
            </w:tcBorders>
          </w:tcPr>
          <w:p>
            <w:pPr>
              <w:spacing w:after="0"/>
              <w:rPr>
                <w:sz w:val="24"/>
                <w:szCs w:val="24"/>
                <w:color w:val="auto"/>
              </w:rPr>
            </w:pPr>
          </w:p>
        </w:tc>
        <w:tc>
          <w:tcPr>
            <w:tcW w:w="1220" w:type="dxa"/>
            <w:vAlign w:val="bottom"/>
            <w:tcBorders>
              <w:top w:val="single" w:sz="8" w:color="CCEEFF"/>
              <w:bottom w:val="single" w:sz="8" w:color="9A9A9A"/>
            </w:tcBorders>
          </w:tcPr>
          <w:p>
            <w:pPr>
              <w:spacing w:after="0"/>
              <w:rPr>
                <w:sz w:val="24"/>
                <w:szCs w:val="24"/>
                <w:color w:val="auto"/>
              </w:rPr>
            </w:pPr>
          </w:p>
        </w:tc>
        <w:tc>
          <w:tcPr>
            <w:tcW w:w="85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9700" w:type="dxa"/>
            <w:vAlign w:val="bottom"/>
          </w:tcPr>
          <w:p>
            <w:pPr>
              <w:spacing w:after="0"/>
              <w:rPr>
                <w:sz w:val="16"/>
                <w:szCs w:val="16"/>
                <w:color w:val="auto"/>
              </w:rPr>
            </w:pP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40" w:type="dxa"/>
            <w:vAlign w:val="bottom"/>
            <w:vMerge w:val="continue"/>
          </w:tcPr>
          <w:p>
            <w:pPr>
              <w:spacing w:after="0"/>
              <w:rPr>
                <w:sz w:val="15"/>
                <w:szCs w:val="15"/>
                <w:color w:val="auto"/>
              </w:rPr>
            </w:pPr>
          </w:p>
        </w:tc>
        <w:tc>
          <w:tcPr>
            <w:tcW w:w="9700" w:type="dxa"/>
            <w:vAlign w:val="bottom"/>
            <w:vMerge w:val="continue"/>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Borders>
              <w:top w:val="single" w:sz="8" w:color="CCEEFF"/>
            </w:tcBorders>
          </w:tcPr>
          <w:p>
            <w:pPr>
              <w:spacing w:after="0"/>
              <w:rPr>
                <w:sz w:val="19"/>
                <w:szCs w:val="19"/>
                <w:color w:val="auto"/>
              </w:rPr>
            </w:pPr>
          </w:p>
        </w:tc>
        <w:tc>
          <w:tcPr>
            <w:tcW w:w="9700" w:type="dxa"/>
            <w:vAlign w:val="bottom"/>
            <w:tcBorders>
              <w:top w:val="single" w:sz="8" w:color="CCEEFF"/>
            </w:tcBorders>
          </w:tcPr>
          <w:p>
            <w:pPr>
              <w:ind w:left="43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5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5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 w:type="dxa"/>
            <w:vAlign w:val="bottom"/>
            <w:tcBorders>
              <w:top w:val="single" w:sz="8" w:color="CCEEFF"/>
            </w:tcBorders>
          </w:tcPr>
          <w:p>
            <w:pPr>
              <w:spacing w:after="0"/>
              <w:rPr>
                <w:sz w:val="19"/>
                <w:szCs w:val="19"/>
                <w:color w:val="auto"/>
              </w:rPr>
            </w:pPr>
          </w:p>
        </w:tc>
        <w:tc>
          <w:tcPr>
            <w:tcW w:w="9700" w:type="dxa"/>
            <w:vAlign w:val="bottom"/>
            <w:tcBorders>
              <w:top w:val="single" w:sz="8" w:color="CCEEFF"/>
            </w:tcBorders>
          </w:tcPr>
          <w:p>
            <w:pPr>
              <w:ind w:left="43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 and Financial Statement Schedules</w:t>
            </w: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9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7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Form 10-K Summary</w:t>
            </w:r>
          </w:p>
        </w:tc>
        <w:tc>
          <w:tcPr>
            <w:tcW w:w="5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97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1"/>
        </w:trPr>
        <w:tc>
          <w:tcPr>
            <w:tcW w:w="940" w:type="dxa"/>
            <w:vAlign w:val="bottom"/>
            <w:tcBorders>
              <w:top w:val="single" w:sz="8" w:color="CCEEFF"/>
              <w:bottom w:val="single" w:sz="8" w:color="9A9A9A"/>
            </w:tcBorders>
          </w:tcPr>
          <w:p>
            <w:pPr>
              <w:spacing w:after="0"/>
              <w:rPr>
                <w:sz w:val="24"/>
                <w:szCs w:val="24"/>
                <w:color w:val="auto"/>
              </w:rPr>
            </w:pPr>
          </w:p>
        </w:tc>
        <w:tc>
          <w:tcPr>
            <w:tcW w:w="97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4" w:lineRule="exact"/>
        <w:rPr>
          <w:sz w:val="20"/>
          <w:szCs w:val="20"/>
          <w:color w:val="auto"/>
        </w:rPr>
      </w:pPr>
    </w:p>
    <w:p>
      <w:pPr>
        <w:jc w:val="both"/>
        <w:ind w:firstLine="202"/>
        <w:spacing w:after="0" w:line="251" w:lineRule="auto"/>
        <w:rPr>
          <w:sz w:val="20"/>
          <w:szCs w:val="20"/>
          <w:color w:val="auto"/>
        </w:rPr>
      </w:pPr>
      <w:r>
        <w:rPr>
          <w:rFonts w:ascii="Times New Roman" w:cs="Times New Roman" w:eastAsia="Times New Roman" w:hAnsi="Times New Roman"/>
          <w:sz w:val="18"/>
          <w:szCs w:val="18"/>
          <w:color w:val="auto"/>
        </w:rPr>
        <w:t>General Motors Company (sometimes referred to as we, our, us, ourselves, the Company, General Motors, or GM) was incorporated as a Delaware corporation in 2009. We design, build and sell trucks, crossovers, cars and automobile parts and provide software-enabled services and subscriptions worldwide. Our automotive operations meet the demands of our customers through our automotive segments: GM North America (GMNA) and GM International (GMI) with vehicles developed, manufactured and/or marketed under the Buick, Cadillac, Chevrolet and GMC brands. We also have equity ownership stakes in entities that meet the demands of customers in other countries, primarily in China, with vehicles developed, manufactured and/or marketed under the Baojun, Buick, Cadillac, Chevrolet and Wuling brands. Cruise is our global segment responsible for the development and commercialization of autonomous vehicle (AV) technology. We provide automotive financing services through our General Motors Financial Company, Inc. (GM Financial) segment. Refer to Part II, Item 7. Management's Discussion and Analysis of Financial Condition and Results of Operations (MD&amp;A) and Note 23 to our consolidated financial statements for financial information about our segments. Except for per share amounts or as otherwise specified, amounts presented within tables are stated in millions. Certain columns and rows may not add due to rounding. Forward-looking statements in this Business section are not guarantees of future performance and may involve risks and uncertainties that could cause actual results to differ materially from those projected. Refer to Item 1A. Risk Factors and the "Forward-Looking Statements" section of Part II, Item 7. MD&amp;A for a discussion of these risks and uncertainties.</w:t>
      </w:r>
    </w:p>
    <w:p>
      <w:pPr>
        <w:spacing w:after="0" w:line="223"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Our vision for the future is a world with zero crashes, zero emissions and zero congestion, which guides our growth-focused strategy to invest in electric vehicles (EVs) and AVs, software-enabled services and subscriptions and new business opportunities, while strengthening our market position in profitable internal combustion engine (ICE) vehicles, such as trucks and sport utility vehicles (SUVs).</w:t>
      </w:r>
    </w:p>
    <w:p>
      <w:pPr>
        <w:spacing w:after="0" w:line="204"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We have an opportunity to grow our vehicle and financing revenue by continuing to capitalize on the strength of our established vehicle franchises and customer base and scaling our EV production through this decade. We also have the potential of growing our revenue through our software-enabled services and subscriptions, including OnStar, our advanced driver-assistance systems (ADAS), including Super Cruise driver assistance technology, and our end-to-end software platform. Additionally, we are incubating several new businesses that we believe will enable us to attract new customers and generate revenues in new areas, like GM Defense which is helping global defense and government customers transition to a more electric, autonomous and connected future.</w:t>
      </w:r>
    </w:p>
    <w:p>
      <w:pPr>
        <w:spacing w:after="0" w:line="195" w:lineRule="exact"/>
        <w:rPr>
          <w:sz w:val="20"/>
          <w:szCs w:val="20"/>
          <w:color w:val="auto"/>
        </w:rPr>
      </w:pPr>
    </w:p>
    <w:p>
      <w:pPr>
        <w:jc w:val="both"/>
        <w:ind w:firstLine="20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Electric Vehicles </w:t>
      </w:r>
      <w:r>
        <w:rPr>
          <w:rFonts w:ascii="Times New Roman" w:cs="Times New Roman" w:eastAsia="Times New Roman" w:hAnsi="Times New Roman"/>
          <w:sz w:val="18"/>
          <w:szCs w:val="18"/>
          <w:color w:val="auto"/>
        </w:rPr>
        <w:t>We plan to have annual EV capacity of one million units in North America as we exit 2025. A key element in our EV strategy is Ultium,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dedicated EV propulsion architecture. This platform is flexible and will be deployed across multiple brands and vehicle sizes, styles and drive configurations, allowing for quick response to customer preferences and a shorter design and development lead time compared to our ICE vehicles. We plan to leverage Ultium to expand our EV portfolio over a wide variety of segments and price points with multiple launches planned in 2024 and additional EV entries planned for 2025 and beyond.</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2021, we began production at GM’s Factory ZERO Detroit-Hamtramck Assembly Center (Factory ZERO), which was re-tooled into a fully dedicated EV facility to produce a variety of vehicles, including the GMC HUMMER EV Pickup and SUV, the Chevrolet Silverado EV and the upcoming Cadillac ESCALADE IQ. In January 2022, we announced that we will convert Orion Assembly in Orion Township, Michigan to build electric pickups, with the plant slated to begin production in 2025. GM is also investing in our propulsion stamping and components plants to support EV production. GM’s CAMI Assembly – Canada’s first full-scale EV manufacturing facility – is the global production home of BrightDrop's Zevo 600 and Zevo 400. Additionally, we have announced plans to mass-produce battery cells for these and other future EVs through Ultium Cells Holdings LLC (an equally owned joint venture with LG Energy Solution) in Warren, Ohio; Spring Hill, Tennessee; and Lansing, Michigan.</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GM’s commitment to an all-electric future is focused not only on delivering a world-class portfolio of EVs, but investing in an ecosystem that will help enable mass EV adoption, including the development of turn-key charging solutions as well as fleet and facility energy management services. To support this goal, we are working to help ensure that our customers will have access to comprehensive energy management and fast, reliable charging solutions at home, at the workplace and in public locations. Currently, GM has integration relationships with 12 EV charging networks and GM EV drivers have access to over 174,000 chargers throughout the U.S. and Canada. Beginning in early 2024, GM’s EV drivers will gain access to 15,000 Tesla Superchargers, and growing, throughout North America. The first GM EVs will be built with the North American Charging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Standard (NACS) hardware on the vehicles beginning in 2025. In July 2023, GM also announced that it is collaborating with six other major automakers as part of a joint venture that will seek to create a high-powered charging network with a targeted installation of at least 30,000 chargers in urban and highway locations throughout North America.</w:t>
      </w:r>
    </w:p>
    <w:p>
      <w:pPr>
        <w:spacing w:after="0" w:line="202"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Software-Enabled Services and Subscriptions </w:t>
      </w:r>
      <w:r>
        <w:rPr>
          <w:rFonts w:ascii="Times New Roman" w:cs="Times New Roman" w:eastAsia="Times New Roman" w:hAnsi="Times New Roman"/>
          <w:sz w:val="18"/>
          <w:szCs w:val="18"/>
          <w:color w:val="auto"/>
        </w:rPr>
        <w:t>Our vehicles are equipped with a suite of software-enabled services, including OnStar services, Super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Cruise and others. With more than 25 years of experience, OnStar is a global leader in safety and digital services. OnStar is currently available in 15 markets globally and growing. As GM introduces more software-defined vehicles, OnStar is playing a key role as an enabler of active safety, infotainment, connectivity and driver assistance features. OnStar provides one ecosystem for retail and fleet customers to use, engage and shop through a broader set of digital technology offerings available at and after vehicle purchase. Our end-to-end software platform provides customers with software-defined features, apps and services over-the-air and will empower customers to update their ownership experiences with desirable features, software services, vehicle performance and Super Cruise. Super Cruise enables drivers of properly equipped vehicles to travel hands-free on more than 400,000 miles of compatible roads in the U.S. and Canada. Additional software-enabled features will be available later including security features, climate and comfort options, personal themes and EV ownership experience elements. Select vehicles, including the 2024 Cadillac LYRIQ and Chevrolet Silverado EV, are already employing this software platform as it begins its rollout across most products in the coming years.</w:t>
      </w:r>
    </w:p>
    <w:p>
      <w:pPr>
        <w:spacing w:after="0" w:line="21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Cruise </w:t>
      </w:r>
      <w:r>
        <w:rPr>
          <w:rFonts w:ascii="Times New Roman" w:cs="Times New Roman" w:eastAsia="Times New Roman" w:hAnsi="Times New Roman"/>
          <w:sz w:val="18"/>
          <w:szCs w:val="18"/>
          <w:color w:val="auto"/>
        </w:rPr>
        <w:t>GM Cruise Holdings LLC (Cruise Holdings), our majority-owned subsidiary, is pursuing the development and commercialization of AV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 October 2023, a hit-and-run accident involving a pedestrian and a third-party vehicle occurred, which resulted in the pedestrian being thrown into the path of a Cruise AV. During the resulting investigation, regulators perceived that Cruise representatives were not explicit about a secondary movement of the Cruise AV and, as a result, the California Department of Motor Vehicles (DMV) suspended Cruise’s permits to operate AVs in California without a safety driver. Shortly thereafter, Cruise voluntarily paused all of its driverless, supervised and manual AV operations in the U.S. while it examines its processes, systems and tools. This orderly pause is designed to rebuild public trust while Cruise undertakes a comprehensive safety review. Refer to Item 1A. Risk Factors for a further discussion of the risks associated with our AV strategy.</w:t>
      </w:r>
    </w:p>
    <w:p>
      <w:pPr>
        <w:spacing w:after="0" w:line="211"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Competitive Position and Vehicle Sales </w:t>
      </w:r>
      <w:r>
        <w:rPr>
          <w:rFonts w:ascii="Times New Roman" w:cs="Times New Roman" w:eastAsia="Times New Roman" w:hAnsi="Times New Roman"/>
          <w:sz w:val="18"/>
          <w:szCs w:val="18"/>
          <w:color w:val="auto"/>
        </w:rPr>
        <w:t>The principal factors that determine consumer vehicle preferences in the markets in which we operate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overall vehicle design, price, 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year ended December 31, 2023, 29.4%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538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80.7 %</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47"/>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GM</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Middle East and Africa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155"/>
        </w:trPr>
        <w:tc>
          <w:tcPr>
            <w:tcW w:w="302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Asia/Pacific, Middle East and</w:t>
            </w: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43,741</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45,626</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 GM markets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Worldwide(b)(c)</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86,600</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82,834</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SGMS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SGMW</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China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4" w:lineRule="auto"/>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Joint Ventures (Automotive China JVs): SAIC General Motors Sales Co., Ltd. (SGMS) and SAIC GM Wuling Automobile Co., Ltd. (SGMW).</w:t>
      </w:r>
    </w:p>
    <w:p>
      <w:pPr>
        <w:ind w:left="340" w:hanging="333"/>
        <w:spacing w:after="0" w:line="254" w:lineRule="auto"/>
        <w:tabs>
          <w:tab w:leader="none" w:pos="50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Accordingly, these countries are excluded from industry sales data and corresponding calculation of market share.</w:t>
      </w:r>
    </w:p>
    <w:p>
      <w:pPr>
        <w:spacing w:after="0" w:line="1"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2022, GM is no longer importing vehicles or parts to Russia, Belarus and other sanctioned provinces in Ukraine.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3"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We sell vehicles directly or through our dealer network to fleet customers, including daily rental car companies, commercial fleet customers, leasing companies and governments.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399</w:t>
            </w:r>
          </w:p>
        </w:tc>
      </w:tr>
      <w:tr>
        <w:trPr>
          <w:trHeight w:val="22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311</w:t>
            </w:r>
          </w:p>
        </w:tc>
      </w:tr>
      <w:tr>
        <w:trPr>
          <w:trHeight w:val="24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710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bl>
    <w:p>
      <w:pPr>
        <w:spacing w:after="0" w:line="3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Pricing </w:t>
      </w:r>
      <w:r>
        <w:rPr>
          <w:rFonts w:ascii="Times New Roman" w:cs="Times New Roman" w:eastAsia="Times New Roman" w:hAnsi="Times New Roman"/>
          <w:sz w:val="18"/>
          <w:szCs w:val="18"/>
          <w:color w:val="auto"/>
        </w:rPr>
        <w:t>Several methods are used to promote our products, including the use of dealer, retail and fleet incentives, such as customer rebates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rate support. The level of incentives is dependent upon the level of competition in the markets in which we operate and the level of demand for our products.</w:t>
      </w:r>
    </w:p>
    <w:p>
      <w:pPr>
        <w:spacing w:after="0" w:line="19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Cyclical and Seasonal Nature of Business </w:t>
      </w:r>
      <w:r>
        <w:rPr>
          <w:rFonts w:ascii="Times New Roman" w:cs="Times New Roman" w:eastAsia="Times New Roman" w:hAnsi="Times New Roman"/>
          <w:sz w:val="18"/>
          <w:szCs w:val="18"/>
          <w:color w:val="auto"/>
        </w:rPr>
        <w:t>The market for vehicles is cyclical and depends in part on general economic conditions, credit availability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spending. Vehicle markets are also seasonal. Production varies from month to month. Vehicle model changeovers occur throughout the year as a result of new market entries.</w:t>
      </w:r>
    </w:p>
    <w:p>
      <w:pPr>
        <w:spacing w:after="0" w:line="183"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Relationship with Dealers </w:t>
      </w:r>
      <w:r>
        <w:rPr>
          <w:rFonts w:ascii="Times New Roman" w:cs="Times New Roman" w:eastAsia="Times New Roman" w:hAnsi="Times New Roman"/>
          <w:sz w:val="18"/>
          <w:szCs w:val="18"/>
          <w:color w:val="auto"/>
        </w:rPr>
        <w:t>We market vehicles and automotive parts primarily through a network of independent authorized retail dealers. These outlets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distributors, dealers and authorized sales, service and parts outlets. Our customers can obtain a wide range of after-sale vehicle services and products through our dealer network, such as maintenance, light repairs, collision repairs, vehicle accessories and extended service warranties. The number of authorized dealerships and other agents performing similar functions were 4,618 in GMNA and 7,050 in GMI at December 31, 2023.</w:t>
      </w:r>
    </w:p>
    <w:p>
      <w:pPr>
        <w:spacing w:after="0" w:line="22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and our joint ventures, enter into a contract with each authorized dealer agreeing to sell to the dealer one or more specified product lines at wholesale prices and granting the dealer the right to sell those products to customers from an approved location. Our dealers often offer more than one GM brand at a single dealership in a number of our markets. Authorized dealers offer parts, accessories, service and repairs for GM vehicles in the product lines that they sell using GM parts and accessories. Our dealers are authorized to service GM vehicles under our limited warranty, and those repairs are made almost exclusively with GM parts. Our dealers generally provide their customers with access to credit or lease financing, vehicle insurance and extended service contracts, which may be provided by GM Financial and other financial institutions.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quality of GM dealerships and our relationship with our dealers are critical to our success, now, and as we transition to our all-electric future, given that they maintain the primary sales and service interface with the end consumer of our products. In addition to the terms of our contracts with our dealers, we are regulated by various country and state franchise laws and regulations that may supersede those contractual terms and impose specific regulatory requirements and standards for initiating dealer network changes, pursuing terminations for cause and other contractual matters.</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Product Development and Intellectual Property </w:t>
      </w:r>
      <w:r>
        <w:rPr>
          <w:rFonts w:ascii="Times New Roman" w:cs="Times New Roman" w:eastAsia="Times New Roman" w:hAnsi="Times New Roman"/>
          <w:sz w:val="18"/>
          <w:szCs w:val="18"/>
          <w:color w:val="auto"/>
        </w:rPr>
        <w:t>Costs for research, manufacturing engineering, software engineering, product engineering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 and development activities primarily relate to developing new products or services or improving existing products or services, including activities related to vehicle and greenhouse gas (GHG) emissions control, improved fuel economy, EVs, AVs and the safety of drivers and passengers. Research and development expenses were $9.9 billion, $9.8 billion and $7.9 billion in the years ended December 31, 2023, 2022 and 2021.</w:t>
      </w:r>
    </w:p>
    <w:p>
      <w:pPr>
        <w:spacing w:after="0" w:line="20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The Global Product Development organization is responsible for designing, developing, validating and integrating all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services and their components while aiming to maximize part sharing across multiple vehicle segments. Our global vehicle architecture development is headquartered at our Global Technical Center in Warren, Michigan, where our global teams in Design, Program Management &amp; Execution, Hardware, Systems &amp; Integration, Product Safety, Systems &amp; Certification, Software Defined Vehicle Embedded Platforms, Electrification &amp; Battery Systems, Technology Acceleration &amp; Commercialization and Purchasing &amp; Supply Chain collaborate to meet customer requirements and maximize global economies of scale.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continue to invest in key ICE segments, which are critical to fund our all-electric future. Cross-segment part sharing is an essential enabler to optimize our vehicle portfolio profitability, with more than 75% of our global internal combustion vehicle sales volume expected to come from five internal combustion vehicle architectures through this decade. We will continue to leverage our ICE portfolio to accommodate our customers around the world while achieving our financial goals.</w:t>
      </w:r>
    </w:p>
    <w:p>
      <w:pPr>
        <w:spacing w:after="0" w:line="206"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Software &amp; Services </w:t>
      </w:r>
      <w:r>
        <w:rPr>
          <w:rFonts w:ascii="Times New Roman" w:cs="Times New Roman" w:eastAsia="Times New Roman" w:hAnsi="Times New Roman"/>
          <w:sz w:val="18"/>
          <w:szCs w:val="18"/>
          <w:color w:val="auto"/>
        </w:rPr>
        <w:t>The newly created Software &amp; Services organization, with a presence in Silicon Valley, California and globally, is bringing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GM's software capabilities and assets under one team for the first time at GM. The team is developing and implementing an integrated strategy, working closely with the Global Product Development organization and others across the enterprise to deliver an end-to-end integrated software and services strategy that will make the driver experience even more compelling and seamless.</w:t>
      </w:r>
    </w:p>
    <w:p>
      <w:pPr>
        <w:spacing w:after="0" w:line="205"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We are constantly innovating and hold a significant number of patents, copyrights, trade secrets and other intellectual property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those innovations in numerous countries. While no single piece of intellectual property is individually material to our business as a whole, our intellectual property is important to our operations and continued technological development. Additionally, we hold a number of trademarks and service marks that are very important to our identity and recognition in the marketplace.</w:t>
      </w:r>
    </w:p>
    <w:p>
      <w:pPr>
        <w:spacing w:after="0" w:line="203"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Raw Materials, Services and Supplies </w:t>
      </w:r>
      <w:r>
        <w:rPr>
          <w:rFonts w:ascii="Times New Roman" w:cs="Times New Roman" w:eastAsia="Times New Roman" w:hAnsi="Times New Roman"/>
          <w:sz w:val="17"/>
          <w:szCs w:val="17"/>
          <w:color w:val="auto"/>
        </w:rPr>
        <w:t>We purchase a wide variety of raw materials, systems, components, parts, supplies, energy, freight, transportation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services from numerous suppliers to manufacture our products. The raw materials primarily include steel, aluminum, resins, copper, lead, precious metals and raw materials used in EVs. We do not normally carry substantial inventories of these raw materials in excess of levels reasonably required to meet our production requirements, and while we have not experienced any significant shortages of raw materials, we have recently experienced supply disruptions resulting in temporary production stoppages. Processing of certain EV raw materials required for production of EVs are currently concentrated in China and may be subject to import or export restrictions. In addition, our transition to EVs will require developing a more resilient, scalable and sustainable North America-focused EV supply chain, which includes advancing our strategic sourcing initiatives to secure supply through investments in raw materials suppliers and the execution of strategic, multi-year supply agreements with suppliers throughout the value chain. This includes securing supply through offtake agreements for EV raw materials and derivatives thereof, such as lithium, cathode active material, manganese, synthetic and natural graphite, nickel, cobalt, rare earth elements and permanent motor magnets. These EV-related agreements may require us to hold higher than normal levels of EV raw materials inventory and to make long-term commitments to purchase raw materials. Expected demand for these raw materials currently exceeds the capacity of the existing supply chain and our raw material sourcing strategy aims to secure raw material supply to support our EV transition.</w:t>
      </w:r>
    </w:p>
    <w:p>
      <w:pPr>
        <w:spacing w:after="0" w:line="20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Commodity costs are reflecting greater variability and are expected to remain elevated due to the macro-economic environment and the continuing existence of government policies. Furthermore, an increased demand for EV critical minerals is increasing scrutiny of the sustainability and human rights implications of these supply chains.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some instances, we purchase systems, components, parts and supplies from a single source, which may increase risk to supply disruptions. The inability or unwillingness of these sources to provide us with parts and supplies could have a material adverse effect on our production. Combined purchases from our two largest suppliers were approximately 11% of our total purchases in each of the years ended December 31, 2023 and 2022, and approximately 12% of our total purchases in the year ended December 31, 2021. Refer to Item 1A. Risk Factors for further discussion of these risks.</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Automotive Financing - GM Financial </w:t>
      </w:r>
      <w:r>
        <w:rPr>
          <w:rFonts w:ascii="Times New Roman" w:cs="Times New Roman" w:eastAsia="Times New Roman" w:hAnsi="Times New Roman"/>
          <w:sz w:val="18"/>
          <w:szCs w:val="18"/>
          <w:color w:val="auto"/>
        </w:rPr>
        <w:t>GM Financial is our global captive automotive finance company and our global provider of automobile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GM Financial conducts its business in North America, South America and through joint ventures in China.</w:t>
      </w:r>
    </w:p>
    <w:p>
      <w:pPr>
        <w:spacing w:after="0" w:line="18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or to purchase and/or finance dealership real estate. GM Financial provides lending products to commercial vehicle upfitters and advances to certain GM subsidiaries.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of funding to minimize currency and country risk. GM Financial primarily finances its loan, lease and commercial origination volume through the use of secured and unsecured credit facilities, securitization transactions and the issuance of unsecured debt in the capital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foundation of GM’s business is our Purpose: We pioneer the innovations that move and connect people to what matters. It is why we exist. Our Purpose, growth strategy and culture all help us on our path towards achieving our vision of a world with zero crashes, zero emissions and zero congestion. Our people are our most valuable asset, and we must continue to attract and retain the best talent in the world in order to achieve this vision. As a result, we strive to create a Workplace of Choice to attract, retain and develop top talent by adhering to a responsible employer philosophy, which includes, among other things, commitments to create job opportunities, pay workers fairly, ensure safety and well-being and promote diversity, equity and inclusion (DEI). Fundamental to these commitments are our company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146685</wp:posOffset>
            </wp:positionV>
            <wp:extent cx="5836285" cy="2397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6285" cy="239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eight GM behaviors are the foundation of our culture; and how we behave encompasses key measures of our performance, including the ways we conduct ourselves as we work with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140335</wp:posOffset>
            </wp:positionV>
            <wp:extent cx="5836285" cy="3020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6285" cy="302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61"/>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At GM, we are committed to fostering a culture of diversity, equity and inclusion for our workforce, business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communities as we aspire to be the most inclusive company in the world. We believe these strengths will allow us to not only lead the industry but to impact communities around the world as we transition to an all-electric future. This unwavering commitment includes taking steps to ensure that all areas of our business are supportive of a world-class inclusive, equitable and diverse organization. Our ability to meet the needs of a diverse and global customer base is tied closely to the behaviors of the people within our Company, which is why we are committed to fostering a culture that celebrates our differences. This commitment is embraced at all levels of the organization, including our diverse Board of Directors, which is currently made up of almost 50% women (6 out of 13 members) and is more than 30% racially or ethnically diverse (4 out of 13 members).</w:t>
      </w:r>
    </w:p>
    <w:p>
      <w:pPr>
        <w:spacing w:after="0" w:line="227" w:lineRule="exact"/>
        <w:rPr>
          <w:sz w:val="20"/>
          <w:szCs w:val="20"/>
          <w:color w:val="auto"/>
        </w:rPr>
      </w:pPr>
    </w:p>
    <w:p>
      <w:pPr>
        <w:jc w:val="both"/>
        <w:ind w:firstLine="161"/>
        <w:spacing w:after="0" w:line="249" w:lineRule="auto"/>
        <w:rPr>
          <w:sz w:val="20"/>
          <w:szCs w:val="20"/>
          <w:color w:val="auto"/>
        </w:rPr>
      </w:pPr>
      <w:r>
        <w:rPr>
          <w:rFonts w:ascii="Times New Roman" w:cs="Times New Roman" w:eastAsia="Times New Roman" w:hAnsi="Times New Roman"/>
          <w:sz w:val="18"/>
          <w:szCs w:val="18"/>
          <w:color w:val="auto"/>
        </w:rPr>
        <w:t>Based on these longstanding values, we have a number of programs and partnerships aimed at enhancing our culture of inclusion throughout the Company. For example, we have 12 voluntary, employee-led resource groups that provide a forum for diverse employees and allies from a variety of different backgrounds to share experiences and contribute to our collective cultural intelligence and growth. Each group also works to attract and retain new talent and offers employees opportunities to support our Company’s diversity initiatives within the community.</w:t>
      </w:r>
    </w:p>
    <w:p>
      <w:pPr>
        <w:spacing w:after="0" w:line="189" w:lineRule="exact"/>
        <w:rPr>
          <w:sz w:val="20"/>
          <w:szCs w:val="20"/>
          <w:color w:val="auto"/>
        </w:rPr>
      </w:pPr>
    </w:p>
    <w:p>
      <w:pPr>
        <w:jc w:val="both"/>
        <w:ind w:firstLine="161"/>
        <w:spacing w:after="0" w:line="243" w:lineRule="auto"/>
        <w:rPr>
          <w:sz w:val="20"/>
          <w:szCs w:val="20"/>
          <w:color w:val="auto"/>
        </w:rPr>
      </w:pPr>
      <w:r>
        <w:rPr>
          <w:rFonts w:ascii="Times New Roman" w:cs="Times New Roman" w:eastAsia="Times New Roman" w:hAnsi="Times New Roman"/>
          <w:sz w:val="18"/>
          <w:szCs w:val="18"/>
          <w:color w:val="auto"/>
        </w:rPr>
        <w:t>GM continues to align DEI efforts with business objectives, including investing in talent pipelines to support current and future workforce needs, bolstering inclusive and accessible solutions across all key stakeholders and fostering meaningful community partnerships to enable GM’s all-electric future. These investments are designed to help increase overall DEI maturity throughout our enterprise, increasing pathways for talent entry and development in the Company and foster partnerships that improve equity inside and outside of GM.</w:t>
      </w:r>
    </w:p>
    <w:p>
      <w:pPr>
        <w:spacing w:after="0" w:line="21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Develop and Retain Talented People </w:t>
      </w:r>
      <w:r>
        <w:rPr>
          <w:rFonts w:ascii="Times New Roman" w:cs="Times New Roman" w:eastAsia="Times New Roman" w:hAnsi="Times New Roman"/>
          <w:sz w:val="17"/>
          <w:szCs w:val="17"/>
          <w:color w:val="auto"/>
        </w:rPr>
        <w:t>Today, we compete for talent against other automotive companies and against businesses in other sectors,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technology. To win and keep top talent, we must provide a workplace culture that encourages employee behaviors aligned with our values, fulfills employees' long-term individual aspirations and provides experiences that make individuals feel valued, included and engaged. In furtherance of this goal, we invest significant resources to retain and develop our talent. In addition to mentoring and networking opportunities, we offer a vast array of career development resources to help develop, grow and enable employees to make the most of their careers at GM. Formal resources include, among other things, the Technical Education Program, which offers our employees an opportunity to complete corporate strategically aligned degrees and certificate programs at leading universities, and our Degreed Learning Platform, which brings forth a variety of external and in-house content in learning pathways and other micro learnings. It is also tied to our GM competency and skills model. Employees in some of our technical roles also have the opportunity to participate in the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Technical Learning University — a training and upskilling program designed to expand and update the technical prowess of our workforce.</w:t>
      </w:r>
    </w:p>
    <w:p>
      <w:pPr>
        <w:spacing w:after="0" w:line="23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recognizes that leadership effectiveness is a critical business need. All new managers in the Company are entered into a three-month immersive learning program and all new executives come together for an upskilling and targeted development program designed around the GM leadership profile.</w:t>
      </w:r>
    </w:p>
    <w:p>
      <w:pPr>
        <w:spacing w:after="0" w:line="17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Safety and Well-Being </w:t>
      </w:r>
      <w:r>
        <w:rPr>
          <w:rFonts w:ascii="Times New Roman" w:cs="Times New Roman" w:eastAsia="Times New Roman" w:hAnsi="Times New Roman"/>
          <w:sz w:val="17"/>
          <w:szCs w:val="17"/>
          <w:color w:val="auto"/>
        </w:rPr>
        <w:t>The safety and well-being of our employees is also a critical component of our ability to transform the future of personal mobility.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GM, we pride ourselves on our commitment to live values that return people home safely — Every Person, Every Site, Every Day. Our unwavering commitment to safety is manifested through empowering employees to “Speak Up for Safety” and the Employee Safety Concern Process. These resources make it easier for salaried, hourly or represented and contract employees to report potential vehicle or workplace safety issues, or to suggest safety related improvements without fear of retaliation. The well-being of our employees is equally as important to entice and stimulate creativity and innovation.</w:t>
      </w:r>
    </w:p>
    <w:p>
      <w:pPr>
        <w:spacing w:after="0" w:line="205" w:lineRule="exact"/>
        <w:rPr>
          <w:sz w:val="20"/>
          <w:szCs w:val="20"/>
          <w:color w:val="auto"/>
        </w:rPr>
      </w:pPr>
    </w:p>
    <w:p>
      <w:pPr>
        <w:jc w:val="both"/>
        <w:ind w:firstLine="161"/>
        <w:spacing w:after="0" w:line="245" w:lineRule="auto"/>
        <w:rPr>
          <w:sz w:val="20"/>
          <w:szCs w:val="20"/>
          <w:color w:val="auto"/>
        </w:rPr>
      </w:pPr>
      <w:r>
        <w:rPr>
          <w:rFonts w:ascii="Times New Roman" w:cs="Times New Roman" w:eastAsia="Times New Roman" w:hAnsi="Times New Roman"/>
          <w:sz w:val="18"/>
          <w:szCs w:val="18"/>
          <w:color w:val="auto"/>
        </w:rPr>
        <w:t>Our award-winning Total Rewards package includes support for physical, emotional and financial wellness. We provide a comprehensive, competitive offering that includes compensation, a 401(k) company contribution and matching program, paid time off for holidays and vacations, a high-quality health care plan, and GM Family First savings on GM vehicles, parts, and services. We are committed to creating spaces where people can show up and thrive as their authentic selves at work as well as at home. GM encourages and supports healthy behaviors, attitudes and actions in our workplaces to improve health outcomes for team members and their families and to contribute to the success of our business.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At December 31, 2023, we employed approximately 87,000 (54%) hourly employees and approximately 76,000 (46%) salaried employees.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approximately 46,000 (46%) of our U.S. employees were represented by unions, a majority of which were represented by the International Union, United Automobile, Aerospace and Agricultural Implement Workers of America (UAW). The following table summarizes worldwide employment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20" w:type="dxa"/>
            <w:vAlign w:val="bottom"/>
          </w:tcPr>
          <w:p>
            <w:pPr>
              <w:spacing w:after="0"/>
              <w:rPr>
                <w:sz w:val="16"/>
                <w:szCs w:val="16"/>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96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8"/>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2"/>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Worldwide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9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8"/>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 Salaried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 Hourly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Includes Cruise.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Information About our Executive Officers </w:t>
      </w:r>
      <w:r>
        <w:rPr>
          <w:rFonts w:ascii="Times New Roman" w:cs="Times New Roman" w:eastAsia="Times New Roman" w:hAnsi="Times New Roman"/>
          <w:sz w:val="18"/>
          <w:szCs w:val="18"/>
          <w:color w:val="auto"/>
        </w:rPr>
        <w:t>As of January 30, 2024, the names and ages of our executive officers and their positions with GM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Name (Age)</w:t>
            </w:r>
          </w:p>
        </w:tc>
        <w:tc>
          <w:tcPr>
            <w:tcW w:w="3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Present GM Position (Effective Date)</w:t>
            </w:r>
          </w:p>
        </w:tc>
        <w:tc>
          <w:tcPr>
            <w:tcW w:w="542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Positions Held During the Past Five Years (Effective Date)</w:t>
            </w:r>
          </w:p>
        </w:tc>
      </w:tr>
      <w:tr>
        <w:trPr>
          <w:trHeight w:val="25"/>
        </w:trPr>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Abbott (51)</w:t>
            </w: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Software (2023)</w:t>
            </w:r>
          </w:p>
        </w:tc>
        <w:tc>
          <w:tcPr>
            <w:tcW w:w="1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Apple, Vice President of Engineering, Cloud Services Division (2018)</w:t>
            </w:r>
          </w:p>
        </w:tc>
      </w:tr>
      <w:tr>
        <w:trPr>
          <w:trHeight w:val="212"/>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 T. Barra (62)</w:t>
            </w: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 and Chief Executive Officer (2016)</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Julian Blissett (57)</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President,</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Senior Vice President, International Operations (2019)</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GM China (2020)</w:t>
            </w: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Vice President, Executive Shanghai GM (2014)</w:t>
            </w: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Craig B. Glidden (66)</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Legal, Policy,</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and General Counsel (2015)</w:t>
            </w:r>
          </w:p>
        </w:tc>
      </w:t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Cybersecurity, and Corporate Secretary</w:t>
            </w:r>
          </w:p>
        </w:tc>
        <w:tc>
          <w:tcPr>
            <w:tcW w:w="5420" w:type="dxa"/>
            <w:vAlign w:val="bottom"/>
          </w:tcPr>
          <w:p>
            <w:pPr>
              <w:spacing w:after="0"/>
              <w:rPr>
                <w:sz w:val="14"/>
                <w:szCs w:val="14"/>
                <w:color w:val="auto"/>
              </w:rPr>
            </w:pP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Rory V. Harvey (56)</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President,</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President, North America (2023) Vice President,</w:t>
            </w:r>
          </w:p>
        </w:tc>
      </w:tr>
      <w:tr>
        <w:trPr>
          <w:trHeight w:val="161"/>
        </w:trPr>
        <w:tc>
          <w:tcPr>
            <w:tcW w:w="2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Global Markets (2024)</w:t>
            </w:r>
          </w:p>
        </w:tc>
        <w:tc>
          <w:tcPr>
            <w:tcW w:w="54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Global Cadillac (2020)</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Vice President, Cadillac North America Sales, Service and Marketing (2018)</w:t>
            </w: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Christopher T. Hatto (53)</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Vice President, Global Business Solutions</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Vice President, Controller and Chief Accounting Officer (2018)</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Chief Accounting Officer (2020)</w:t>
            </w:r>
          </w:p>
        </w:tc>
        <w:tc>
          <w:tcPr>
            <w:tcW w:w="5420" w:type="dxa"/>
            <w:vAlign w:val="bottom"/>
          </w:tcPr>
          <w:p>
            <w:pPr>
              <w:spacing w:after="0"/>
              <w:rPr>
                <w:sz w:val="18"/>
                <w:szCs w:val="18"/>
                <w:color w:val="auto"/>
              </w:rPr>
            </w:pPr>
          </w:p>
        </w:tc>
      </w:tr>
      <w:tr>
        <w:trPr>
          <w:trHeight w:val="164"/>
        </w:trPr>
        <w:tc>
          <w:tcPr>
            <w:tcW w:w="27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Paul A. Jacobson (52)</w:t>
            </w:r>
          </w:p>
        </w:tc>
        <w:tc>
          <w:tcPr>
            <w:tcW w:w="300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Executive Vice President and Chief</w:t>
            </w:r>
          </w:p>
        </w:tc>
        <w:tc>
          <w:tcPr>
            <w:tcW w:w="54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Delta Air Lines, Executive Vice President — Chief Financial Officer (2013)</w:t>
            </w:r>
          </w:p>
        </w:tc>
      </w:tr>
      <w:tr>
        <w:trPr>
          <w:trHeight w:val="215"/>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Officer (2020)</w:t>
            </w:r>
          </w:p>
        </w:tc>
        <w:tc>
          <w:tcPr>
            <w:tcW w:w="5420" w:type="dxa"/>
            <w:vAlign w:val="bottom"/>
            <w:shd w:val="clear" w:color="auto" w:fill="CCEEFF"/>
          </w:tcPr>
          <w:p>
            <w:pPr>
              <w:spacing w:after="0"/>
              <w:rPr>
                <w:sz w:val="18"/>
                <w:szCs w:val="18"/>
                <w:color w:val="auto"/>
              </w:rPr>
            </w:pPr>
          </w:p>
        </w:tc>
      </w:tr>
      <w:tr>
        <w:trPr>
          <w:trHeight w:val="161"/>
        </w:trPr>
        <w:tc>
          <w:tcPr>
            <w:tcW w:w="27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Gerald Johnson (61)</w:t>
            </w:r>
          </w:p>
        </w:tc>
        <w:tc>
          <w:tcPr>
            <w:tcW w:w="300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Executive Vice President, Global</w:t>
            </w:r>
          </w:p>
        </w:tc>
        <w:tc>
          <w:tcPr>
            <w:tcW w:w="54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Vice President, North America Manufacturing and Labor Relations (2017)</w:t>
            </w:r>
          </w:p>
        </w:tc>
      </w:tr>
      <w:tr>
        <w:trPr>
          <w:trHeight w:val="212"/>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Manufacturing and Sustainability (2019)</w:t>
            </w:r>
          </w:p>
        </w:tc>
        <w:tc>
          <w:tcPr>
            <w:tcW w:w="5420" w:type="dxa"/>
            <w:vAlign w:val="bottom"/>
          </w:tcPr>
          <w:p>
            <w:pPr>
              <w:spacing w:after="0"/>
              <w:rPr>
                <w:sz w:val="18"/>
                <w:szCs w:val="18"/>
                <w:color w:val="auto"/>
              </w:rPr>
            </w:pPr>
          </w:p>
        </w:tc>
      </w:tr>
      <w:tr>
        <w:trPr>
          <w:trHeight w:val="204"/>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L. Reuss (60)</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(2019)</w:t>
            </w: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and President, Global Product Development Group and</w:t>
            </w:r>
          </w:p>
        </w:tc>
      </w:tr>
      <w:tr>
        <w:trPr>
          <w:trHeight w:val="210"/>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Cadillac (2018)</w:t>
            </w:r>
          </w:p>
        </w:tc>
      </w:tr>
      <w:tr>
        <w:trPr>
          <w:trHeight w:val="33"/>
        </w:trPr>
        <w:tc>
          <w:tcPr>
            <w:tcW w:w="2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no family relationships between any of the officers named above and there is no arrangement or understanding between any of the officers named above and any other person pursuant to which he or she was selected as an officer. Each of the officers named above was elected by the Board of Directors to hold office until his or her successor is elected and qualified or until his or her earlier resignation or removal.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Regulatory Matters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Criteria Emissions Control </w:t>
      </w:r>
      <w:r>
        <w:rPr>
          <w:rFonts w:ascii="Times New Roman" w:cs="Times New Roman" w:eastAsia="Times New Roman" w:hAnsi="Times New Roman"/>
          <w:sz w:val="18"/>
          <w:szCs w:val="18"/>
          <w:color w:val="auto"/>
        </w:rPr>
        <w:t>Our products are subject to laws and regulations globally that require us to control certain non-GHG automotive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emissions, including vehicle and engine exhaust emission standards, vehicle evaporative emission standards and onboard diagnostic (OBD) system requirements. Emission requirements have become more stringent as a result of stricter standards and new diagnostic requirements that have come into force in many markets around the world, often with very little harmonization. Regulatory authorities may conduct ongoing evaluations of products from all manufacturers. Refer to Item 1A. Risk Factors for additional information.</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U.S. federal government, through the Environmental Protection Agency (EPA), imposes stringent exhaust and evaporative emission control requirements on vehicles sold in the U.S. The California Air Resources Board (CARB) likewise imposes stringent exhaust and evaporative emission standards. The Clean Air Act permits states that have areas with air quality compliance issues to adopt California emission standards in lieu of federal requirements. Various other states have adopted California emission standards, and there is a possibility that additional U.S. jurisdictions could adopt California emission standards in the future. The EPA has issued a proposal for its Tier 4 Multipollutant Rule that will begin with the 2027 model year. The historically stringent proposal calls for ever-increasing volumes of zero emission vehicles (ZEVs) in order to maintain compliance.</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each model year, we must obtain certification that our vehicles and engines will meet emission requirements of the EPA before we can sell vehicles in the U.S. and Canada, and of CARB before we can sell vehicles in California and the states that have adopted California emission standards.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Canadian federal government's current vehicle pollutant emission requirements are generally aligned with U.S. federal requirements.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2019, certain areas within China began implementation of the China 6 emission standard (China 6) requirements. China 6 combines elements of both European Union (EU) and U.S. standards and increases the time and mileage periods over which manufacturers are responsible for a vehicle's emission performance. Nationwide implementation of China 6a for new registrations occurred in January 2021, and the more stringent China 6b was implemented in July 2023. In 2022, China began studies regarding the next generation of vehicle emission standards (China 7), which will likely be influenced by the European (Euro 7) standards.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Brazil has approved a set of national emission standards referred to as L7, implemented in 2022, and L8, to be implemented from 2025 onward. L7 standards cover vehicle exhaust emissions, durability for emissions, evaporative emissions and noise limits, and include additional OBD requirements and a phase-in for onboard refueling vapor recovery systems. L8 standards include corporate average vehicle emissions targets, which increase in stringency every two years until 2031. Some of the requirements are aligned with those of the EPA.</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As a result of the sale of the Opel and Vauxhall businesses and certain other assets in Europe (the Opel/Vauxhall Business), GM’s vehicle presence in Europe is smaller, but GM may still be affected by actions taken by regulators related both to Opel/Vauxhall vehicles sold before the sale of the Opel/Vauxhall Business as well as to other vehicles GM continues to sell in Europe. In Europe, increased scrutiny of emission standards compliance may result in changes to these standards, as well as stricter interpretations or redefinition of these standards and more rigorous enforcement. Beyond this, as a part of the EU's desire to accelerate the shift to sustainable mobility, the EU is looking to develop stricter emission standards (Euro 7) for all vehicles (including cars, vans, lorries and buses), as it moves to end the sale of ICE vehicles past 2035, and place requirements on batteries to be used in EVs. For additional information, refer to Note 16 to our consolidated financial statements.</w:t>
      </w:r>
    </w:p>
    <w:p>
      <w:pPr>
        <w:spacing w:after="0" w:line="20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Fuel Economy and GHG Emissions </w:t>
      </w:r>
      <w:r>
        <w:rPr>
          <w:rFonts w:ascii="Times New Roman" w:cs="Times New Roman" w:eastAsia="Times New Roman" w:hAnsi="Times New Roman"/>
          <w:sz w:val="18"/>
          <w:szCs w:val="18"/>
          <w:color w:val="auto"/>
        </w:rPr>
        <w:t>In the U.S., the National Highway Traffic Safety Administration (NHTSA) promulgates and enforces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Average Fuel Economy (CAFE) standards for three separate fleets: domestic cars, import cars and light-duty trucks. Manufacturers may use one or a combination of the following to resolve fleet deficits: credits from the five prior model years, expected credits for the next three model years, credits obtained from other manufacturers or payment of civil penalties. Manufacturers that do not resolve deficits for a model year may be subject to substantial civil penalties. In addition to federal CAFE standards, the EPA promulgates and enforces GHG emission standards. NHTSA and the EPA have separately finalized standards with differing stringency levels and affected model years, with the CAFE standards addressing the 2024–2026 model years and the GHG standards addressing the 2023–2026 model years and both standards have been challenged through litigation. NHTSA has also proposed CAFE standards for the 2027–2031 model years and the EPA has proposed standards for the 2027–2032 model years that are not yet final. NHTSA and the EPA have also proposed on-going fuel efficiency and GHG emissions requirements for medium- and heavy-duty vehicles. These requirements also increase in stringency over time.</w:t>
      </w:r>
    </w:p>
    <w:p>
      <w:pPr>
        <w:spacing w:after="0" w:line="21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addition, CARB has asserted the right to promulgate and enforce its own state GHG standards for motor vehicles, and other states have asserted the right to adopt CARB's standards. CARB regulations previously stated that compliance with the light-duty EPA GHG program is deemed compliance with CARB standards. However, in December 2018, CARB amended this regulation to state that, in the event the EPA were to alter federal GHG stringency, which it now has, compliance with the EPA's GHG emission standards will no longer be deemed compliance with CARB's separate requirements. While NHTSA and the EPA previously took actions to preempt California’s GHG standards, NHTSA repealed its assertion of preemption and the EPA rescinded its withdrawal of California’s preemption waiver, enabling CARB to enforce GHG standards from the Advanced Clean Cars (ACC) program for the 2021– 2025 model years. As a result, GM is required to meet state GHG standards in California and the states that have adopted California’s GHG standards. The EPA’s rescission of its withdrawal of California’s waiver has been challenged through litigation. CARB has not proposed separate GHG standards for the 2026 or later model years, but may do so in the future.</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CARB has also imposed a requirement that increases percentages of ZEVs that must be sold in California. While NHTSA and the EPA previously took actions to preempt California’s ZEV standards, NHTSA repealed its assertion of preemption and the EPA rescinded its withdrawal of California’s waiver, enabling CARB and the other adopting states to enforce ZEV standards from the ACC program. The EPA’s rescission of its withdrawal of California’s waiver has been challenged through litigation. Further, in August 2022, CARB finalized its Advanced Clean Cars II (ACC II) program, including ZEV standards requiring increasing percentages of ZEVs for the 2026–2035 model years, ending with a 100% sales target in the 2035 model year. CARB must obtain a waiver from the EPA to implement its ACC II program. Additional U.S. jurisdictions could adopt CARB’s ACC and ACC II requirements in the future.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Canada, federal light- and heavy-duty GHG regulations are currently patterned after the U.S. EPA GHG emission standards given the integrated nature of the auto sector between Canada and the U.S. The Canadian light-duty GHG standards continue to largely align with the U.S. EPA GHG standards for the 2023–2026 model years. Additionally, in 2022, the Canadian federal government issued the 2030 Emissions Reduction Plan requiring the implementation of increasingly stringent ZEV supply regulations for the 2026–2035 model years starting with 20% ZEVs in the 2026 model year and ending with 100% in the 2035 model year. The Canadian federal government recently published the ZEV Availability Standard outlining the regulatory requirements for ZEV supply in Canada, with non-compliance resulting in enforcement action up to and including criminal charges. Additionally, both Quebec and British Columbia have ZEV sales requirements in place where non-compliance results in monetary penalties. Quebec’s ZEV requirements regulating the 2018–2025 model years are largely based on California program requirements. Quebec recently passed new light-duty ZEV regulations for the 2025–2035 model years that are more stringent than the California program requirements. The province of British Columbia’s light-duty ZEV regulations were completed in July 2020 and cover the 2020–2039 model years. British Columbia has proposed revised and very aggressive regulatory ZEV sales targets for the 2026–2035 model years, including a stringent 90% ZEV by the 2030 model year leading up to a 100% in the 2035 model year, making it the most stringent ZEV regulation of any jurisdiction in North America.</w:t>
      </w:r>
    </w:p>
    <w:p>
      <w:pPr>
        <w:spacing w:after="0" w:line="21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China has two fuel consumption requirements for passenger vehicles enforced by the Ministry of Industry and Information Technology (MIIT): an individual vehicle pass-fail type approval requirement and a corporate average fuel consumption (CAFC) requirement. Specific to the CAFC requirement, China introduced Phase 5 in 2021 with full compliance required by 2025. In addition, China has established a mandate that requires passenger car manufacturers to produce a certain volume of plug-in hybrid, battery electric and fuel cell vehicles, which are referred to as New Energy Vehicles (NEVs), from 2019 and beyond. The number of NEV credits per car is based on the electric range, energy efficiency and battery energy density with the goal of increasing NEV volume penetrations and improving technological sophistication over time. Uncommitted NEV credits may be used to assist compliance with the corporate average fuel consumption requirement. China previously issued NEV credit targets between 2019 and 2023 and has set new NEV credit targets aimed at further increasing NEV volumes for 2024 and 2025. In 2022, China began to study the CAFC requirement and NEV credit mandates for 2026–2030 (referred to as Phase 6). These standards are anticipated to be more stringent, aligned with the trend observed in other key global markets.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Brazil, the Secretary of Industry and Development promulgates and enforces CAFE standards and has enforced a new CAFE program for the period October 2020–September 2026 for light-duty and mid-size trucks and SUVs, including diesel vehicles. The next phases of the program are yet to be finalized and are expected to gradually become more stringent.</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have several options to comply with existing and potential new regulations that we have utilized and may continue to utilize, including increasing production and sale of certain vehicles, such as EVs, and curtailing production of others, which could include profitable ICE vehicles; technology changes, including fuel consumption efficiency and engine upgrades; payment of penalties; and/or the purchase of credits from third parties. We regularly evaluate our current and future product plans and strategies for compliance with fuel economy and GHG regulations.</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remains committed to an all-electric future. The Company has approved science-based targets for scope 1, 2 and 3 (Category 11) emissions and has announced plans to become carbon neutral in its global products and operations by 2040. In addition, the Company plans to eliminate tailpipe emissions from new light-duty vehicles in the U.S. by 2035. These targets align with our growth and transformation plan, including our commitment to an all-electric future.</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Industrial Environmental Control </w:t>
      </w:r>
      <w:r>
        <w:rPr>
          <w:rFonts w:ascii="Times New Roman" w:cs="Times New Roman" w:eastAsia="Times New Roman" w:hAnsi="Times New Roman"/>
          <w:sz w:val="18"/>
          <w:szCs w:val="18"/>
          <w:color w:val="auto"/>
        </w:rPr>
        <w:t>Our operations are subject to a wide range of environmental protection laws including those regulating air emissions,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 discharge, waste management and environmental cleanup. Certain environmental statutes require that responsible parties fund remediation actions regardless of fault, legality of original disposal or ownership of a disposal site. Under certain circumstances these laws impose joint and several liability as well as liability for related damages to natural resources.</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To further mitigate the impacts of our worldwide operations on the environment, including climate change, we are supplementing our compliance programs with sustainability efforts focused on reducing operational GHG emissions, water consumption and discharge and operational waste.</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have surpassed our goal of diverting more than 90% of our operational waste from landfills, incinerators and energy recovery facilities by 2025, compared to our 2018 baseline, and are now building upon our strategies and ambitions. We also continue our efforts to increase our use of renewable energy, improve our energy efficiency and work to drive growth and scale of renewables. We have finalized the energy sourcing agreements required to secure 100% of the energy needed to power all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our U.S. facilities with renewable energy by the end of 2025. This is in line with the accelerated target announced in September 2021 and 25 years ahead of the initial target of 2050, set in 2016. We are on target to meet the remaining needs of our global operations with 100% renewable energy by 2035.</w:t>
      </w:r>
    </w:p>
    <w:p>
      <w:pPr>
        <w:spacing w:after="0" w:line="185" w:lineRule="exact"/>
        <w:rPr>
          <w:sz w:val="20"/>
          <w:szCs w:val="20"/>
          <w:color w:val="auto"/>
        </w:rPr>
      </w:pPr>
    </w:p>
    <w:p>
      <w:pPr>
        <w:jc w:val="both"/>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Chemical Regulations </w:t>
      </w:r>
      <w:r>
        <w:rPr>
          <w:rFonts w:ascii="Times New Roman" w:cs="Times New Roman" w:eastAsia="Times New Roman" w:hAnsi="Times New Roman"/>
          <w:sz w:val="18"/>
          <w:szCs w:val="18"/>
          <w:color w:val="auto"/>
        </w:rPr>
        <w:t>We continually monitor the implementation of chemical regulations to maintain compliance and evaluate their effect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suppliers and the automotive industry.</w:t>
      </w:r>
    </w:p>
    <w:p>
      <w:pPr>
        <w:spacing w:after="0" w:line="186"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color w:val="auto"/>
        </w:rPr>
        <w:t>Globally, governments continue to introduce new legislation and regulations related to the selection and use of chemicals by mandating broad prohibitions or restrictions and implementing vehicle interior air quality, green chemistry, life cycle analysis and product stewardship initiatives. These initiatives give broad regulatory authority to ban or restrict the use of certain chemical substances and potentially affect automobile manufacturers' responsibilities for vehicle components at the end of a vehicle's life, as well as chemical selection for product development and manufacturing. Global treaties and initiatives such as the Basel, Rotterdam and Stockholm Conventions on Chemicals and Waste, the Minamata Convention on Mercury and EU Registration, Evaluation, Authorization and Restriction of Chemicals (REACH), are driving chemical regulations across signatory countries. Increases in the use of circuit boards and other electronics may require additional assessment under the Restriction of Hazardous Substances and Waste from Electrical and Electronic Equipment directives. New European requirements require suppliers of parts and vehicles to the European market to disclose substances of concern in parts.</w:t>
      </w:r>
    </w:p>
    <w:p>
      <w:pPr>
        <w:spacing w:after="0" w:line="20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Chemical regulations are increasing in North America. In the U.S., the EPA is moving forward with risk analysis and management of high priority chemicals under the authority of the 2016 Lautenberg Chemical Safety for the 21st Century Act. The EPA has also issued a per- and polyfluoroalkyl substances (PFAS) reporting rule that requires PFAS use reporting by manufacturers between 2011 and 2022. In addition, several U.S. states have chemical management regulations that can affect vehicle design and manufacturing such as chemical restriction and use requirements. For example, Maine and Minnesota will require the reporting of PFAS in 2025 and 2026 and the elimination of PFAS in 2030 and 2032, except for unavoidable uses. Chemical restrictions and export controls in Canada continue to steadily progress under the Environment and Climate Change Canada's Chemical Management Plan to assess existing substances and implement risk management controls on any chemical deemed toxic.</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These emerging laws and regulations will potentially lead to increases in costs and supply chain complexity. Manufacturers, including joint venture partners and suppliers, that do not comply with global and specific country regulations could be subject to civil penalties, production disruptions or limitations on the sale of affected products. We believe we are materially in compliance with substantially all these requirements or expect to be materially in compliance by the required dates.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Vehicle Safety</w:t>
      </w:r>
    </w:p>
    <w:p>
      <w:pPr>
        <w:spacing w:after="0" w:line="25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U.S. Requirements </w:t>
      </w:r>
      <w:r>
        <w:rPr>
          <w:rFonts w:ascii="Times New Roman" w:cs="Times New Roman" w:eastAsia="Times New Roman" w:hAnsi="Times New Roman"/>
          <w:sz w:val="18"/>
          <w:szCs w:val="18"/>
          <w:color w:val="auto"/>
        </w:rPr>
        <w:t>The National Traffic and Motor Vehicle Safety Act of 1966 (the Safety Act) regulates the vehicles and items of motor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that we manufacture and sell. The Safety Act prohibits the sale in the U.S. of any new vehicle or equipment that does not conform to applicable federal motor vehicle safety standards established by NHTSA. Meeting or exceeding the many safety standards is costly as global compliance and non-governmental assessment requirements continue to evolve and grow more complex, and lack harmonization globally. The Safety Act further requires that if we or NHTSA determine a vehicle or an item of vehicle equipment does not comply with a safety standard, or that vehicle or equipment contains a defect that poses an unreasonable safety risk, we must conduct a safety recall to remedy that condition in the affected vehicles. Should we or NHTSA determine a safety defect or noncompliance issue exists with respect to any of our vehicles, the cost of such recall campaigns could be substantial.</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Other National Requirements </w:t>
      </w:r>
      <w:r>
        <w:rPr>
          <w:rFonts w:ascii="Times New Roman" w:cs="Times New Roman" w:eastAsia="Times New Roman" w:hAnsi="Times New Roman"/>
          <w:sz w:val="18"/>
          <w:szCs w:val="18"/>
          <w:color w:val="auto"/>
        </w:rPr>
        <w:t>Outside of the U.S., many countries have established vehicle safety standards and regulations and are likely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more stringent requirements in the future. The European General Safety Regulation has introduced United Nations Economic Commission for Europe (UNECE) regulations, which are required for the European Type Approval process. Globally, governments generally have been adopting UNECE based regulations with some variations to address local concerns. Any difference between North American and UNECE based regulations can add complexity and costs to vehicle development, and we continue to support efforts to harmonize regulations to reduce complexity. Safety and recall requirements in various countries around the world, including in China, Brazil and Gulf Cooperation Council countries, also may add substantial costs and complexity to our safety and field action activities globally. In Canada, vehicle regulatory requirements are generally aligned with U.S. regulations; however, under the Canadian Motor Vehicle Safety Act, recall thresholds are different and the Minister of Transport has broad powers to order manufacturers to submit a notice of defect or non-compliance when the Minister considers it to be in the interest of safety. Global regulations continue to increase in scope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new technologies, some of which can be market-specific, that can add complexity and increase our cost of compliance globally.</w:t>
      </w:r>
    </w:p>
    <w:p>
      <w:pPr>
        <w:spacing w:after="0" w:line="248"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Crash Test Ratings and New Car Assessment Programs </w:t>
      </w:r>
      <w:r>
        <w:rPr>
          <w:rFonts w:ascii="Times New Roman" w:cs="Times New Roman" w:eastAsia="Times New Roman" w:hAnsi="Times New Roman"/>
          <w:sz w:val="18"/>
          <w:szCs w:val="18"/>
          <w:color w:val="auto"/>
        </w:rPr>
        <w:t>Organizations in various regions around the world, including in the U.S., rate and compare motor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through various New Car Assessment Programs (NCAPs) to provide consumers and businesses with additional information about the safety of new vehicles. NCAPs use crash tests and other evaluations that are different than what is required by applicable regulations, and use stars or other grading systems, depending on the region, to rate vehicle safety. Achieving high NCAP ratings, which can vary by country and region, can add complexity and cost to vehicles.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Website Access to Our Reports </w:t>
      </w:r>
      <w:r>
        <w:rPr>
          <w:rFonts w:ascii="Times New Roman" w:cs="Times New Roman" w:eastAsia="Times New Roman" w:hAnsi="Times New Roman"/>
          <w:sz w:val="18"/>
          <w:szCs w:val="18"/>
          <w:color w:val="auto"/>
        </w:rPr>
        <w:t>Our internet website address is https://www.gm.com. In addition to the information about us and our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2023 Form 10-K, information about us can be found on our website including information on our corporate governance principles and practices. Our Investor Relations website at https://investor.gm.com contains a significant amount of information about us, including financial and other information for investors. We encourage investors to visit our website, as we frequently update and post new information about our company on our website and it is possible that this information could be deemed to be material information. Our website and information included in or linked to our website are not part of this 2023 Form 10-K.</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(Exchange Act), are available free of charge through our website as soon as reasonably practicable after they are electronically filed with or furnished to the U.S. Securities and Exchange Commission (SEC). The SEC maintains a website that contains reports, proxy and information statements, and other information regarding our filings at https://www.sec.gov.</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have listed below the most material risk factors applicable to us. These risk factors are not necessarily in the order of importance or probability of occurrence: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competition and strategy</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do not deliver new products, services, technologies and customer experiences in response to increased competition and changing consumer needs and preferences, our business could suffer. </w:t>
      </w:r>
      <w:r>
        <w:rPr>
          <w:rFonts w:ascii="Times New Roman" w:cs="Times New Roman" w:eastAsia="Times New Roman" w:hAnsi="Times New Roman"/>
          <w:sz w:val="18"/>
          <w:szCs w:val="18"/>
          <w:color w:val="auto"/>
        </w:rPr>
        <w:t>We believe that the automotive industry will continue to experience significant change in the 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particularly as traditional automotive original equipment manufacturers (OEMs) continue to shift resources to the development of EVs. In addition to our traditional competitors, we must also be responsive to the entrance of start-ups and other non-traditional competitors in the automotive industry, such as software and ridesharing services supported by large technology companies. These new competitors, as well as established industry participants, are disrupting the historic business model of our industry through the introduction of new technologies, products, services, direct-to-consumer sales channels, methods of transportation and vehicle ownership. To successfully execute our long-term strategy, we must continue to develop and commercialize new products and services, including products and services that are outside of our historically core ICE business, such as EVs and AVs, software-enabled connected services and other new businesses.</w:t>
      </w:r>
    </w:p>
    <w:p>
      <w:pPr>
        <w:spacing w:after="0" w:line="217"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There can be no assurance that advances in technology will occur in a timely or feasible way, if at all, that others will not acquire similar or superior technologies sooner than we do, or that we will acquire technologies on an exclusive basis or at a significant price advantage. The process of designing and developing new technology, products and services is costly and uncertain and requires extensive capital investment. If our access to capital were to become significantly constrained, if costs of capital increased significantly, or if our ability to raise capital is challenged relative to our peers, our ability to execute on our strategic plans could be adversely affected. Further, if we are unable to prevent or effectively remedy errors, bugs, vulnerabilities or defects in our software and hardware, or fail to deploy updates to our software properly, or if we do not adequately prepare for and respond to new kinds of technological innovations, market developments and changing customer needs and preferences, our sales, profitability and long-term competitiveness may be materially harmed.</w:t>
      </w:r>
    </w:p>
    <w:p>
      <w:pPr>
        <w:spacing w:after="0" w:line="212" w:lineRule="exact"/>
        <w:rPr>
          <w:sz w:val="20"/>
          <w:szCs w:val="20"/>
          <w:color w:val="auto"/>
        </w:rPr>
      </w:pPr>
    </w:p>
    <w:p>
      <w:pPr>
        <w:jc w:val="both"/>
        <w:ind w:right="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attract and retain talented, diverse and highly skilled employees is critical to our success and competitiveness. </w:t>
      </w:r>
      <w:r>
        <w:rPr>
          <w:rFonts w:ascii="Times New Roman" w:cs="Times New Roman" w:eastAsia="Times New Roman" w:hAnsi="Times New Roman"/>
          <w:sz w:val="18"/>
          <w:szCs w:val="18"/>
          <w:color w:val="auto"/>
        </w:rPr>
        <w:t>Our success depends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recruit and retain talented and diverse employees who are highly skilled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their areas. In particular, our vehicles and connected services increasingly rely on software and hardware that is highly technical and complex and our success in this area is dependent upon our ability to retain and recruit the best talent. The market for highly skilled workers and leaders in our industry is extremely competitive. In addition to compensation considerations, current and potential employees are increasingly placing a premium on culture and other various intangibles, such as working for companies with a clear purpose and strong brand reputation, flexible work arrangements, and other considerations, such as embracing sustainability and diversity, equity and inclusion initiatives. Failure to attract, hire, develop, motivate and retain highly qualified and diverse employees could disrupt our operations and adversely affect our strategic plans.</w:t>
      </w:r>
    </w:p>
    <w:p>
      <w:pPr>
        <w:spacing w:after="0" w:line="20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maintain profitability is dependent upon our ability to timely fund and introduce new and improved vehicle models, including EVs, that are able to attract a sufficient number of consumers. </w:t>
      </w:r>
      <w:r>
        <w:rPr>
          <w:rFonts w:ascii="Times New Roman" w:cs="Times New Roman" w:eastAsia="Times New Roman" w:hAnsi="Times New Roman"/>
          <w:sz w:val="18"/>
          <w:szCs w:val="18"/>
          <w:color w:val="auto"/>
        </w:rPr>
        <w:t>We operate in a very competitive industry with market participants routinely introducing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improved vehicle models and features, at decreasing price points, designed to meet rapidly evolving consumer expectations. Producing new and improved vehicle models, including EVs, that preserve our reputation for designing, building and selling safe, high-quality cars, crossovers, trucks and SUVs is critical to our long-term profitability. Successful launches of our new vehicles are critical to our short-term profitability. The new vehicle development process can take two years or more, and a number of factors may lengthen that time period. Because of this product development cycle and the various elements that may contribute to consumers’ acceptance of new vehicle designs, including competitors’ product introductions, technological innovations, fuel prices, general economic conditions, regulatory developments, including tax credits or other government policies in various countries, transportation infrastructure and changes in quality, safety, reliability and styling demands and preferences, an initial product concept or design may not result in a saleable vehicle or a vehicle that generates sales in sufficient quantities and at high enough prices to be profitable. Our high proportion of fixed costs, both due to our significant investment in property, plant and equipment as well as other requirements of our collective bargaining agreements, which limit our flexibility to adjust personnel costs to changes in demands for our products, may further exacerbate the risks associated with incorrectly assessing demand for our vehicles.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long-term strategy is dependent upon our ability to profitably deliver a strategic portfolio of EVs. </w:t>
      </w:r>
      <w:r>
        <w:rPr>
          <w:rFonts w:ascii="Times New Roman" w:cs="Times New Roman" w:eastAsia="Times New Roman" w:hAnsi="Times New Roman"/>
          <w:sz w:val="18"/>
          <w:szCs w:val="18"/>
          <w:color w:val="auto"/>
        </w:rPr>
        <w:t>The production and profitable sale of EVs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increasingly important to our long-term business as we continue our transition to an all-electric future. Our EV strategy is dependent on our ability to deliver a strategic portfolio of high-quality EVs that are competitive and meet consumer demands; scale our EV manufacturing capabilities; reduce the costs associated with the manufacture of EVs, particularly with respect to battery cells and packs; increase vehicle range and the energy density of our batteries; efficiently source sufficient materials for the manufacture of battery cells; license and monetize our proprietary platforms and related innovations; successfully invest in new technologies relative to our peers; develop new software and services; and leverage our scale, manufacturing capabilities and synergies with existing ICE vehicles. Our progress towards these objectives has impacted, and may continue to impact, the need to record losses on our EV-related inventory, including battery cells.</w:t>
      </w:r>
    </w:p>
    <w:p>
      <w:pPr>
        <w:spacing w:after="0" w:line="21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addition, the success of our long-term strategy is dependent on consumer adoption of EVs. Consumer adoption of EVs could be impacted by numerous factors, including the breadth of the portfolio of EVs available; perceptions about EV features, quality, safety, performance and cost relative to ICE vehicles; the range over which EVs may be driven on a given battery charge; the proliferation and speed of charging infrastructure, in particular with respect to public EV charging stations, and the success of the Company's charging infrastructure programs and strategic joint ventures and other relationships; cost and availability of high fuel-economy ICE vehicles; volatility, or a sustained decrease, in the cost of petroleum-based fuel; failure by governments and other third parties to make the investments necessary to make infrastructure improvements, such as greater availability of cleaner energy grids and EV charging stations, and to provide meaningful and fully utilizable economic incentives promoting the adoption of EVs, including production and consumer credits contemplated by the Inflation Reduction Act (IRA); and negative feedback from stakeholders impacting investor and consumer confidence in our company or industry. If we are unable to successfully deliver on our EV strategy, it could materially and adversely affect our results of operations, financial condition and growth prospects, and could negatively impact our brand and reputation.</w:t>
      </w:r>
    </w:p>
    <w:p>
      <w:pPr>
        <w:spacing w:after="0" w:line="21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near-term profitability is dependent upon the success of our current line of ICE vehicles, particularly our full-size ICE SUVs and full-size ICE pickup trucks. </w:t>
      </w:r>
      <w:r>
        <w:rPr>
          <w:rFonts w:ascii="Times New Roman" w:cs="Times New Roman" w:eastAsia="Times New Roman" w:hAnsi="Times New Roman"/>
          <w:sz w:val="18"/>
          <w:szCs w:val="18"/>
          <w:color w:val="auto"/>
        </w:rPr>
        <w:t>While we offer a broad portfolio of cars, crossovers, SUVs and trucks, and we have announced significant plans to design, build and sell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portfolio of EVs, we currently recognize the highest profit margins on our full-size ICE SUVs and full-size ICE pickup trucks. As a result, our near-term success is dependent upon our ability to sell higher margin vehicles in sufficient volumes. We are also using the cash generated by our ICE vehicles to fund our growth strategy, including with respect to EVs and AVs. Any near-term shift in consumer preferences toward smaller, more fuel-efficient vehicles, whether as a result of increases in the price of oil or any sustained shortage of oil, including as a result of global political instability (such as related to the ongoing conflicts in Ukraine and Gaza), concerns about fuel consumption or GHG emissions, or other reasons, could weaken the demand for our higher margin vehicles. More stringent fuel economy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regulations could also impact our ability to sell these vehicles or could result in additional costs associated with these vehicles, which could be material. See “Our operations and products are subject to extensive laws, regulations and policies, including those related to vehicle emissions and fuel economy standards, which can significantly increase our costs and affect how we do business.”</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a highly competitive industry that has historically had excess manufacturing capacity, and attempts by our competitors to sell more vehicles could have a significant negative effect on our vehicle pricing, market share and operating results. </w:t>
      </w:r>
      <w:r>
        <w:rPr>
          <w:rFonts w:ascii="Times New Roman" w:cs="Times New Roman" w:eastAsia="Times New Roman" w:hAnsi="Times New Roman"/>
          <w:sz w:val="18"/>
          <w:szCs w:val="18"/>
          <w:color w:val="auto"/>
        </w:rPr>
        <w:t>The global automotive industry is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in terms of the quality, innovation, new technologies, pricing, fuel economy, reliability, safety, customer service and financial services offered. Additionally, despite the fact that OEMs have experienced supply constraints in recent years due to the COVID-19 pandemic and certain supply chain and logistics challenges, overall manufacturing capacity in the automotive industry has historically far exceeded demand, and we expect conditions to normalize in the near term. In addition, we have made, and plan to continue to make, significant investments in EV manufacturing capacity based on our expectations for EV demand, which is subject to various risks and uncertainties as described above. Many manufacturers, including GM, have relatively high fixed labor costs as well as limitations on their ability to efficiently close facilities and reduce fixed costs, including as a result of collective bargaining agreements. In light of any excess capacity and high fixed costs, many industry participants have attempted to sell more vehicles by providing subsidized financing or leasing programs, offering marketing incentives or reducing vehicle prices. As a result, we have had, and may in the future need, to offer similar incentives, which may result in vehicle prices that do not offset our costs, including any cost increases or the impact of adverse currency fluctuations, which could affect our profitability. Our competitors may also seek to benefit from economies of scale by consolidating or entering into other strategic agreements such as alliances or joint ventures intended to enhance their competitiveness.</w:t>
      </w:r>
    </w:p>
    <w:p>
      <w:pPr>
        <w:spacing w:after="0" w:line="21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Manufacturers in countries that have lower production costs, such as China and India, have become competitors in key emerging markets and have begun offering their products in established markets, as well as a low-cost alternative to established entry-level automobiles. In addition, foreign governments may decide to implement tax and other policies that favor their domestic manufacturers at the expense of international manufacturers, including GM and its joint venture partners. These actions have had, and are expected to continue to have, a significant negative effect on our vehicle pricing, market share and operating results in these markets.</w:t>
      </w:r>
    </w:p>
    <w:p>
      <w:pPr>
        <w:spacing w:after="0" w:line="209"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AV strategy is dependent upon our ability to successfully mitigate unique technological, operational and regulatory risks, including the various regulatory approvals and permits required for operating driverless AVs in multiple markets. </w:t>
      </w:r>
      <w:r>
        <w:rPr>
          <w:rFonts w:ascii="Times New Roman" w:cs="Times New Roman" w:eastAsia="Times New Roman" w:hAnsi="Times New Roman"/>
          <w:sz w:val="18"/>
          <w:szCs w:val="18"/>
          <w:color w:val="auto"/>
        </w:rPr>
        <w:t>Cruise Holdings, our majority-owned subsidiary, is pursuing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development and commercialization of AV technology. Our AV operations are capital intensive and subject to a variety of risks inherent with the development of new technologies, including our ability to continue to develop self-driving software and hardware, such as Light Detection and Ranging (LiDAR) sensors and other components; access to sufficient capital; risks related to the manufacture of purpose-built AVs; and significant competition from both established automotive companies and technology companies, some of which may have more resources and capital to devote to AV technologies than we do. In addition, we face risks related to the commercial deployment of AVs on our targeted timeline or at all, including consumer acceptance, reputation of our brand, achievement of adequate safety and other performance standards and compliance with uncertain, evolving and potentially conflicting federal, state, provincial or local regulations. Advanced technologies such as AVs present novel issues with which domestic and foreign regulators have only limited experience, and will be subject to evolving regulatory frameworks. Any current or future regulations in these areas, and our relationships with regulators, could impede the successful commercialization of these technologies and impact whether and how these technologies are designed and integrated into our products, and may ultimately subject us to increased costs and uncertainty. In order for Cruise to successfully execute its business plan and achieve its revenue targets, legislation and regulations must evolve to permit widespread commercial AV deployment. To the extent accidents, cybersecurity breaches or other adverse events associated with our autonomous driving systems occur, we could be subject to liability, reputational harm, government scrutiny and further regulation, and it could deter consumer adoption of AV technology. Any of the foregoing could materially and adversely affect our results of operations, financial condition and growth prospects.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a hit-and-run accident involving a pedestrian and a third-party vehicle occurred, which resulted in the pedestrian being thrown into the path of a Cruise AV. During the resulting investigation, regulators perceived that Cruise representatives were not explicit about a secondary movement of the Cruise AV and, as a result, the California DMV suspended Cruise's permits to operate AVs in California without a safety driver. Shortly thereafter, Cruise voluntarily paused all of its driverless, supervised and manual AV operations in the U.S. while it examines its processes, systems and tools. This orderly pause is designed to rebuild public trust while Cruise undertakes a comprehensive safety review. In addition, certain federal and state agencies, including the California DMV, the California Public Utilities Commission, NHTSA, the U.S. Department of</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Justice and the SEC, have opened investigations or made inquiries in connection with the incident. We and Cruise are investigating these matters internally and intend to cooperate with all government regulators and agencies in connection with these matters. At this time, we are not able to predict when Cruise will resume driverless testing or commercial AV operations.</w:t>
      </w:r>
    </w:p>
    <w:p>
      <w:pPr>
        <w:spacing w:after="0" w:line="200"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climate change, including increased regulation of GHG emissions, changing consumer preferences and other risks related to our transition to EVs and the potential increased impacts of severe weather events on our operations and infrastructure. </w:t>
      </w:r>
      <w:r>
        <w:rPr>
          <w:rFonts w:ascii="Times New Roman" w:cs="Times New Roman" w:eastAsia="Times New Roman" w:hAnsi="Times New Roman"/>
          <w:sz w:val="18"/>
          <w:szCs w:val="18"/>
          <w:color w:val="auto"/>
        </w:rPr>
        <w:t>Increasing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attention to climate change, rising societal expectations on companies to address climate change, requirements for increased disclosure and changes in consumer and investor preferences may result in increased costs, reduced demand for our products, reduced profits, risks associated with new regulatory requirements, risks to our reputation and the potential for increased litigation and governmental investigations. Regulations at the federal, state or local level or in international jurisdictions could require us to further limit emissions associated with customer use of products we sell, change our manufacturing processes or product portfolio or undertake other activities that may require us to incur additional expense, which may be material. These requirements may increase the cost of, and/or diminish demand for, our ICE vehicles. See “Our operations and products are subject to extensive laws, regulations and policies, including those related to vehicle emissions and fuel economy standards, which can significantly increase our costs and affect how we do business.” In addition, at the state and federal level in the U.S. and abroad there are an increasing number of sustainability-related rules and regulations that have been adopted or proposed. Such regulations may subject us to new disclosure requirements, new supply chain requirements, new trade restrictions and increased risk of litigation or regulatory action, which could result in increased costs (in our operations and supply chain) and risks to our reputation or consumer demand for our products if we do not meet increasingly demanding stakeholder expectations and standards. Furthermore, our practices may be judged against sustainability standards that are continually evolving and not always clear. Prevailing sustainability standards, expectations and regulations may also reflect contrasting or conflicting values or agendas.</w:t>
      </w:r>
    </w:p>
    <w:p>
      <w:pPr>
        <w:spacing w:after="0" w:line="22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Part of our strategy to address these risks includes our transition to EVs, which presents additional risks, including reduced demand for, and therefore profits from, our ICE vehicles, which we are using to fund our growth strategy and transition to EVs; higher costs or reduced availability of materials related to EV technologies, whether as a result of increased competition or more stringent regulatory requirements, impacting profitability, particularly with respect to batteries and battery raw material; risks related to the success of our EV strategy, particularly with respect to advancement of battery cell technology, charging infrastructure and competition; and uncertainty over how EVs will be treated under upcoming CAFE regulations. See “Our long-term strategy is dependent upon our ability to profitably deliver a strategic portfolio of EVs” and “Our near-term profitability is dependent upon the success of our current line of full-size ICE SUVs and full-size ICE pickup trucks.”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Finally, increased intensity, frequency or duration of storms, droughts, wildfires or other severe weather events as a result of climate change may disrupt our production and the production, logistics, cost and procurement of products from our suppliers and timely delivery of vehicles to customers, and could negatively impact working conditions at our plants and those of our suppliers. Such weather events may also adversely impact the financial condition of our customers, and thereby reduce demand for our products and services. Any of the foregoing could have a material adverse effect on our financial condition and results of operations.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5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highly dependent upon global automobile market sales volume, which can be volatile. </w:t>
      </w:r>
      <w:r>
        <w:rPr>
          <w:rFonts w:ascii="Times New Roman" w:cs="Times New Roman" w:eastAsia="Times New Roman" w:hAnsi="Times New Roman"/>
          <w:sz w:val="18"/>
          <w:szCs w:val="18"/>
          <w:color w:val="auto"/>
        </w:rPr>
        <w:t>Because we have a high proportion of relatively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structural costs, small changes in sales volume can have a disproportionately large effect on our profitability. A number of economic and market conditions drive changes in new vehicle sales, including disruptions in the new vehicle supply chain, the availability and prices of used vehicles, levels of unemployment and inflation, availability of affordable financing, elevated interest rates, fluctuations in the cost of fuel, consumer confidence and demand for vehicles, political unrest or uncertainty, the occurrence of a public health crisis, barriers to trade and other global economic conditions. For a discussion of economic and market trends, see the "Overview" section in Part II, Item 7. MD&amp;A. If our operating environment deteriorates for these or other reasons, including a moderate to severe recession in any of the markets in which we operate, it could lead to a significant decrease in new vehicle sales, which could materially and adversely affect our results of operations and financial condition.</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Inflationary pressures and persistently high prices and uncertain availability of commodities, raw materials or other inputs used by us and our suppliers, or instability in logistics and related costs, could negatively impact our profitability. </w:t>
      </w:r>
      <w:r>
        <w:rPr>
          <w:rFonts w:ascii="Times New Roman" w:cs="Times New Roman" w:eastAsia="Times New Roman" w:hAnsi="Times New Roman"/>
          <w:sz w:val="18"/>
          <w:szCs w:val="18"/>
          <w:color w:val="auto"/>
        </w:rPr>
        <w:t>Increases in prices, including as a result of inflation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rising interest rates, for commodities, raw materials, energy or other inputs that we and our suppliers use in manufacturing products, systems, components and parts, such as steel, precious metals, non-ferrous metals, critical minerals or other similar raw materials, or increases in logistics and related costs, have led and may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 to lead to higher production costs for parts, components and vehicles. In addition, elevated cost, or reduced availability, of critical materials for our EV propulsion systems, including lithium, nickel, cobalt and certain rare earth metals, could lead to higher production costs for our EVs and could impede our ability to successfully deliver on our EV strategy. Further, increasing global demand for, and uncertain supply of, such materials could disrupt our or our suppliers’ ability to obtain such materials in a timely manner and/or could lead to increased costs. Geopolitical risk, fluctuations in supply and demand, fluctuations in interest rates, any weakening of the U.S. dollar and other economic and political factors have created and may continue to create pricing pressure for commodities, raw materials, energy and other inputs. These inflationary pressures could, in turn, negatively impact our profitability because we may not be able to pass all of those costs on to our customers or require our suppliers to absorb such costs.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in China subjects us to unique operational, competitive and regulatory risks. </w:t>
      </w:r>
      <w:r>
        <w:rPr>
          <w:rFonts w:ascii="Times New Roman" w:cs="Times New Roman" w:eastAsia="Times New Roman" w:hAnsi="Times New Roman"/>
          <w:sz w:val="18"/>
          <w:szCs w:val="18"/>
          <w:color w:val="auto"/>
        </w:rPr>
        <w:t>Our business in China is subject to aggressive competition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many of the largest global manufacturers and numerous domestic manufacturers, which have experienced significant growth in customer acceptance, as well as non-traditional market participants, such as domestic technology companies. In addition, our success in China depends upon our ability to adequately address unique market and consumer preferences driven by advancements related to EVs, infotainment, software-enabled connected services and other new technologies while achieving industry-leading affordability. Our ability to fully deploy our technologies in China may be impacted by evolving laws and regulations in the U.S. and China and the unique regulatory landscape in China. Increased competition, continued U.S.-China trade tensions, weakening economic conditions in China or China's level of integration with key components in our global supply chain, among other factors, may result in cost increases, price reductions, reduced sales, profitability and margins, and challenges to gaining or holding market share.</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the scope of our investments and business conducted within China. The Chinese government may adopt new regulations that may impact entities operating in China or the ability of non-Chinese entities to obtain critical materials from China, potentially with little advance notice. In order to maintain access to the Chinese market, we may be required to comply with significant technical and other regulatory requirements, including under such regulatory actions, that are unique to the Chinese market, at times with short notice. These actions may increase the cost of doing business in China or limit how we may do business in China, which could materially and adversely affect the profitability and financial condition of our China business.</w:t>
      </w:r>
    </w:p>
    <w:p>
      <w:pPr>
        <w:spacing w:after="0" w:line="208"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benefit from many ongoing strategic business relationships, particularly with respect to facilitating access to raw materials necessary for the production of EVs, and a significant amount of our operations are conducted by joint ventures, which we cannot operate solely for our benefit.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engaged in many strategic business relationships, and we expect that such arrangements will continue to be an important factor in the growth and success of our business, particularly in light of industry consolidation. However, there are no assurances that we will be able to identify or secure suitable business relationships in the future or that our competitors will not capitalize on such opportunities before we do, or that any strategic business relationships that we enter into will be successful. If we are unable to successfully source and execute on strategic business relationships in the future, our overall growth could be impaired, and our business, prospects and results of operations could be materially adversely affected. In particular, to secure critical materials for the production of EVs, we have entered, and plan to continue to enter, into offtake agreements with raw material suppliers and make investments in certain raw material suppliers. The terms of these offtake agreements may obligate us to purchase defined quantities of output over a specified period of time, subject to certain conditions. If we are unable to utilize or otherwise monetize the raw materials we are obligated to purchase under these offtake agreements, whether as a result of lower than expected EV production volumes, changes in battery technology that reduce the need for certain raw materials or other reasons, it could materially adversely affect our cash flows and increase our inventory. Further, our investments in raw materials suppliers could expose us to distinct risks not traditionally associated with the automotive sector, and if the raw materials suppliers in which we have invested are unsuccessful, our investments could lose their value.</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addition, many of our operations, primarily in China and Korea as well as certain of our battery manufacturing and raw material sourcing operations in the U.S. and Canada, are carried out by joint ventures. In joint ventures, we share ownership and management of a company with one or more parties who may not have the same goals, strategies, priorities, business incentives or resources as we do and may compete with us outside the joint venture. Joint ventures are intended to be operated for the benefit of all co-owners, rather than for our exclusive benefit. Operating a business as a joint venture often requires additional organizational formalities as well as time-consuming procedures for sharing information and making decisions that must further take into consideration our partners' interests. In joint ventures, we are required to foster our relationships with our co-owners as well as promote the overall success of the joint venture, and if a co-owner changes, relationships deteriorate or strategic objectives diverge, our success in the joint venture may be materially adversely affected. Further, because most of the benefits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successful joint venture are shared among the co-owners, we do not receive all the benefits from our successful joint ventures.</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addition, because we share ownership and management with one or more parties, we may have limited control over the actions of a joint venture, particularly when we own a minority interest. As a result, we may be unable to prevent violations of applicable laws or other misconduct by a joint venture or the failure to satisfy contractual obligations by one or more parties. Moreover, a joint venture may not be subject to the same financial reporting, corporate governance, or compliance approaches that we follow. To the extent another party makes decisions that negatively impact the joint venture or internal control issues arise within the joint venture, we may have to take responsive actions, or we may be subject to penalties, fines or other punitive actions or suffer reputational harm for these activities.</w:t>
      </w:r>
    </w:p>
    <w:p>
      <w:pPr>
        <w:spacing w:after="0" w:line="208"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international scale and footprint of our operations expose us to additional risks. </w:t>
      </w:r>
      <w:r>
        <w:rPr>
          <w:rFonts w:ascii="Times New Roman" w:cs="Times New Roman" w:eastAsia="Times New Roman" w:hAnsi="Times New Roman"/>
          <w:sz w:val="18"/>
          <w:szCs w:val="18"/>
          <w:color w:val="auto"/>
        </w:rPr>
        <w:t>We manufacture, sell and service products globally and rely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integrated global supply chain to deliver the raw materials, components, systems and parts that we need to manufacture our products. Our global operations subject us to extensive domestic and foreign legal and regulatory requirements, and a variety of other political, economic and regulatory risks, which may have a material adverse effect on our financial condition or results of operations, including: (1) changes in government leadership; (2) changes in trade compliance, labor, employment, tax, privacy, environmental and other laws, regulations or government policies impacting our overall business model or practices or restricting our ability to manufacture, purchase or sell products consistent with market demand and our business objectives; (3) political pressures to change any aspect of our business model or practices or that impair our ability to source raw materials, services, components, systems and parts, or manufacture products on competitive terms in a manner consistent with our business objectives (including with respect to full utilization of the incentives contemplated by the IRA); (4) political uncertainty, instability, civil unrest, government controls over certain sectors or human rights concerns; (5) political and economic tensions between governments and changes in international economic policies, including restrictions on the repatriation of dividends or in the export of technology, especially between China and the U.S.; (6) changes to customs requirements or procedures (e.g., inspections) or new or higher tariffs, for example, on products imported into or exported from the U.S., including under U.S. or other trade laws or measures, or other key markets; (7) new or evolving non-tariff barriers or domestic preference procurement requirements, or enforcement of, changes to, withdrawals from or impediments to implementing free trade agreements, or preferences of foreign nationals for domestically manufactured products; (8) changes in foreign currency exchange rates, particularly in Argentina, and interest rates; (9) economic downturns or significant changes in macroeconomic conditions in the countries in which we operate; (10) differing local product preferences and product requirements, including government certification requirements related to, among other things, fuel economy, vehicle emissions, EVs and AVs, connected services and safety; (11) impact of changes to and compliance with U.S. and foreign countries’ export controls, economic sanctions and other similar measures; (12) impacts on our operations or liabilities resulting from U.S. and foreign laws and regulations, including, but not limited to, those related to the Foreign Corrupt Practices Act and certain other anti-corruption laws; (13) differing labor regulations, agreements, requirements and union relationships; (14) differing dealer and franchise regulations and relationships; (15) difficulties in obtaining financing in foreign countries for local operations; and (16) natural disasters, public health crises, and other catastrophic events.</w:t>
      </w:r>
    </w:p>
    <w:p>
      <w:pPr>
        <w:spacing w:after="0" w:line="21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significant disruption at one of our manufacturing facilities could disrupt our production schedule. </w:t>
      </w:r>
      <w:r>
        <w:rPr>
          <w:rFonts w:ascii="Times New Roman" w:cs="Times New Roman" w:eastAsia="Times New Roman" w:hAnsi="Times New Roman"/>
          <w:sz w:val="18"/>
          <w:szCs w:val="18"/>
          <w:color w:val="auto"/>
        </w:rPr>
        <w:t>We assemble vehicles at various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around the world. Our facilities are typically designed to produce particular models for particular geographic markets. No single facility is designed to manufacture our full range of vehicles. In some cases, certain facilities produce products, systems, components and parts that disproportionately contribute a greater degree to our profitability than others and create significant interdependencies among manufacturing facilities around the world. When these or other facilities become unavailable, either temporarily or permanently and for any number of reasons, including labor disruptions or shortages, supply chain disruptions, the occurrence of a public health crisis or catastrophic weather events, whether or not as a result of climate change, the inability to manufacture at the affected facility has resulted, and may in the future result, in harm to our reputation, increased costs, lower revenues and the loss of customers. We may not be able to easily shift production to other facilities or to make up for lost production. Any new facility needed to replace an inoperable manufacturing facility would need to comply with the necessary regulatory requirements, need to satisfy our specialized manufacturing requirements and require specialized equipment.</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substantially all of our hourly employees are represented by unions and covered by collective bargaining agreements that must be negotiated from time-to-time, including at the local facility level. As a result, we may be subject to an increased risk of strikes, work stoppages or other types of conflicts with labor unions and employees.</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Disruption in our suppliers’ operations have disrupted, and could in the future disrupt, our production schedule. </w:t>
      </w:r>
      <w:r>
        <w:rPr>
          <w:rFonts w:ascii="Times New Roman" w:cs="Times New Roman" w:eastAsia="Times New Roman" w:hAnsi="Times New Roman"/>
          <w:sz w:val="18"/>
          <w:szCs w:val="18"/>
          <w:color w:val="auto"/>
        </w:rPr>
        <w:t>Our automotive operations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dependent upon the continued ability of our suppliers to deliver the systems, components, raw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materials and parts that we need to manufacture our products. Other than with respect to certain of our offtake agreements with battery raw material suppliers, our use of “just-in-time” manufacturing processes typically allows us to maintain minimal inventory. As a result, our ability to maintain production is dependent upon our suppliers delivering sufficient quantities of systems, components, raw materials and parts on time to meet our production schedules and specifications. In some instances, we purchase systems, components, raw materials and parts that are ultimately derived from a single source and may be at an increased risk for supply disruptions. Any number of factors, including labor disruptions, catastrophic weather events, the occurrence of a public health crisis, contractual or other disputes, unfavorable economic or industry conditions, restrictions on transactions involving certain territories, entities or individuals, delivery delays or other performance problems or financial difficulties or solvency problems, could disrupt our suppliers’ operations and lead to uncertainty in our supply chain or cause supply disruptions for us, which could, in turn, disrupt our operations, including the production of certain higher margin vehicles. When we experience supply disruptions, we may not be able to develop alternate sourcing quickly. Any disruption of our production schedule caused by an unexpected shortage of systems, components, raw materials or parts even for a relatively short period of time could cause us to alter production schedules, increase work-in-process inventory or suspend production entirely, which could cause a loss of revenues or an increase in working capital, which would adversely affect our profitability and financial condition.</w:t>
      </w:r>
    </w:p>
    <w:p>
      <w:pPr>
        <w:spacing w:after="0" w:line="210"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Pandemics, epidemics, disease outbreaks and other public health crises have disrupted our business and operations, and future public health crises could materially adversely impact our business, financial condition, liquidity and results of operations. </w:t>
      </w:r>
      <w:r>
        <w:rPr>
          <w:rFonts w:ascii="Times New Roman" w:cs="Times New Roman" w:eastAsia="Times New Roman" w:hAnsi="Times New Roman"/>
          <w:sz w:val="17"/>
          <w:szCs w:val="17"/>
          <w:color w:val="auto"/>
        </w:rPr>
        <w:t>Pandemics, epidemics or disease outbreaks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or globally, such as the COVID-19 pandemic, have previously disrupted, and may in the future disrupt, our business, which could materially affect our results of operations, financial condition, liquidity and future expectations. Any such events may adversely impact our global supply chain and global manufacturing operations and cause us to suspend our operations in the affected markets. In particular, we could experience, among other things: (1) continued or additional global supply disruptions; (2) labor disruptions or shortages; (3) an inability to manufacture; (4) an inability to sell to our customers;</w:t>
      </w:r>
    </w:p>
    <w:p>
      <w:pPr>
        <w:spacing w:after="0" w:line="3" w:lineRule="exact"/>
        <w:rPr>
          <w:sz w:val="20"/>
          <w:szCs w:val="20"/>
          <w:color w:val="auto"/>
        </w:rPr>
      </w:pPr>
    </w:p>
    <w:p>
      <w:pPr>
        <w:jc w:val="both"/>
        <w:ind w:firstLine="7"/>
        <w:spacing w:after="0" w:line="253"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showroom traffic and customer demand; (6) customer defaults on automobile loans and leases; (7) lower than expected pricing on vehicles sold at auction; and (8) an impaired ability to access credit and the capital markets. Any new public health crisis could have a material impact on our business, financial condition and results of operations going forward.</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cybersecurity, information technology and data management practices</w:t>
      </w:r>
    </w:p>
    <w:p>
      <w:pPr>
        <w:spacing w:after="0" w:line="25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Competitors may independently develop products and services similar to ours, and there are no guarantees that GM’s intellectual property rights would prevent competitors from independently developing or selling those products and services. </w:t>
      </w:r>
      <w:r>
        <w:rPr>
          <w:rFonts w:ascii="Times New Roman" w:cs="Times New Roman" w:eastAsia="Times New Roman" w:hAnsi="Times New Roman"/>
          <w:sz w:val="18"/>
          <w:szCs w:val="18"/>
          <w:color w:val="auto"/>
        </w:rPr>
        <w:t>There may be instances where, notwithstanding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property position, competitive products or services may impact the value of our brands and other intangible assets, and our business may be adversely affected. Moreover, although GM takes reasonable steps to maintain the confidentiality of GM proprietary information, there can be no assurance that such efforts will completely deter or prevent misappropriation or improper use of our intellectual property. We sometimes face attempts to gain unauthorized access to our information technology networks and systems for the purpose of improperly acquiring our trade secrets or confidential business information. The theft or unauthorized use or publication of our trade secrets and other confidential business information as a result of such an incident could adversely affect our competitive position. In addition, we have been, and in the future may be, the target of patent enforcement actions by third parties, including aggressive and opportunistic enforcement claims by non-practicing entities. Regardless of the merit of such claims, responding to infringement claims can be expensive and time-consuming. Although we have taken steps to mitigate such risks, if we are found to have infringed any third-party intellectual property rights, we could be required to pay substantial damages, or we could be enjoined from offering some of our products and services. In addition, to prevent unauthorized use of our intellectual property, it may be necessary to prosecute actions for infringement, misappropriation or other violations of our intellectual property against third parties. Any such action could result in significant costs and diversion of our resources and management’s attention, and there can be no assurance that we will be successful in any such action.</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breaches, cyberattacks and other disruptions to information technology systems and networked products, including connected vehicles, owned or maintained by us, GM Financial, or third parties, such as vendors or suppliers, could interfere with our operations and could compromise the confidentiality of private customer data or our proprietary information. </w:t>
      </w:r>
      <w:r>
        <w:rPr>
          <w:rFonts w:ascii="Times New Roman" w:cs="Times New Roman" w:eastAsia="Times New Roman" w:hAnsi="Times New Roman"/>
          <w:sz w:val="18"/>
          <w:szCs w:val="18"/>
          <w:color w:val="auto"/>
        </w:rPr>
        <w:t>We rely upon information technology systems and manufacture networked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connected products, some of which are managed by third parties, to process, transmit and store electronic information and to manage or support a variety of our business processes, activities and products. Additionally, we and GM Financial collect and store sensitive data, including intellectual property and proprietary business information (including that of our dealers and suppliers), as well as personally identifiable information of our customers and employees, in data centers and on information technology networks (including networks that may be controlled or maintained by third parties). The secure operation of these systems and products, and the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processing and maintenance of the information processed by these systems and products, is critical to our business operations and strategy. Further, customers using our systems rely on the security of our infrastructure, including hardware and other elements provided by third parties, to ensure the reliability of our products and the protection of their data. We also face the risk of operational disruption, failure, termination or capacity constraints of any of the third parties that facilitate our business activities, including vendors, service providers, suppliers, customers, counterparties, exchanges, clearing agents, clearinghouses or other financial intermediaries. Such parties and other third parties who provide us services or with whom we communicate could also be the source of a cyberattack on, or breach of, our operational systems, network, data or infrastructure.</w:t>
      </w:r>
    </w:p>
    <w:p>
      <w:pPr>
        <w:spacing w:after="0" w:line="212"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Despite our security measures and business continuity plans, our information technology systems and networked and connected products may be vulnerable to intrusion, damage, disruptions or shutdowns caused by attacks by hackers, computer viruses or worms, malware (including “ransomware”), phishing attacks, denial of service attacks or breaches due to errors, negligence or malfeasance by employees, contractors and others who have access to these systems and products. Techniques used in cyberattacks to obtain unauthorized access to, disable or sabotage information technology systems are increasingly diverse and sophisticated. Data breaches and other cybersecurity events have become increasingly commonplace, including as a result of the intensification of state-sponsored cyberattacks during periods of geopolitical conflict. The occurrence of any of these events could compromise the confidentiality, operational integrity and accessibility of these systems and products and the data that resides within them. Similarly, such an occurrence could result in the compromise or loss of the information processed by these systems and products. Such events could result in, among other things, the loss of proprietary data, interruptions or delays in our business operations and damage to our reputation. In addition, such events could increase the risk of claims alleging that we are non-compliant with applicable laws or regulations, subjecting us to potential liability or regulatory penalties and related costs under laws protecting the privacy of personal information; disrupt our operations; or reduce the competitive advantage we hope to derive from our investment in advanced technologies. Various events described above have occurred in the past and may occur in the future. Although impacts of past events have been immaterial, the impacts of such events in the future may be material.</w:t>
      </w:r>
    </w:p>
    <w:p>
      <w:pPr>
        <w:spacing w:after="0" w:line="2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could impact the safety of our customers and reduce confidence in GM and our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vehicles contain complex information technology systems. These systems control various vehicle functions including engine, transmission,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steering, navigation, acceleration, braking, window, door lock functions and battery and electric motors. We have designed, implemented and tested security measures intended to prevent unauthorized access to these systems. However, hackers and other malicious actors have reportedly attempted, and may attempt in the future, to gain unauthorized access to modify, alter and use networks, vehicle software or their systems to gain control of, or to change, our vehicles’ functionality, user interface and performance characteristics, or to gain access to data stored in or generated by the vehicle. Any unauthorized access to, or control of, our vehicles or their systems or any unauthorized access to or loss of data could adversely impact the safety of our customers or result in failure of our systems, any of which could result in interruptions to our business, legal claims or proceedings, liability or regulatory penalties. Laws that would permit third-party access to vehicle data and related systems could expose our vehicles and vehicle systems to third-party access without appropriate security measures in place, leading to new safety and security risks for our customers and reducing customer trust and confidence in our products. In addition, regardless of their veracity, reports of unauthorized access to our vehicles or their systems or data, as well as other factors that may result in the perception that our vehicles or their systems or data are capable of being "hacked" and lack appropriate safety controls, could negatively affect our brand and harm our reputation, which could adversely impact our business and operating results.</w:t>
      </w:r>
    </w:p>
    <w:p>
      <w:pPr>
        <w:spacing w:after="0" w:line="21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enterprise data practices, including the collection, use, sharing and security of the personal information of our customers, employees and suppliers, are subject to increasingly complex and restrictive regulations in all key market regions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these regulations, which include the California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Privacy Act of 2018, as amended by the California Privacy Rights Act, and the EU's General Data Protection Regulation 2016/679, the U.K. Data Protection Act of 2018, and other international data protection, privacy, data security, data localization and similar national, state, provincial, and local laws, the failure to maintain compliant data practices could result in consumer complaints and regulatory inquiry, resulting in civil or criminal penalties, as well as have a negative impact on our brand or result in other harm to our business. In addition, increased consumer sensitivity to real or perceived failures in maintaining acceptable data practices could damage our reputation and deter current and potential users or customers from using our products and services. The cost of compliance with these laws and regulations will be high and is likely to increase in the future. The growing patchwork of state and country regulations imposes burdensome obligations on companies to quickly respond to consumer requests, such as requests to delete, disclose and stop selling personal information, with significant fines for noncompliance. Complying with these new laws has significantly increased, and may continue to increase, our operating costs and is driving increased complexity in our operations.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 and litigation</w:t>
      </w:r>
    </w:p>
    <w:p>
      <w:pPr>
        <w:spacing w:after="0" w:line="250"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and products are subject to extensive laws, regulations and policies, including those related to vehicle emissions and fuel economy standards, which can significantly increase our costs and affect how we do business. </w:t>
      </w:r>
      <w:r>
        <w:rPr>
          <w:rFonts w:ascii="Times New Roman" w:cs="Times New Roman" w:eastAsia="Times New Roman" w:hAnsi="Times New Roman"/>
          <w:sz w:val="18"/>
          <w:szCs w:val="18"/>
          <w:color w:val="auto"/>
        </w:rPr>
        <w:t>We are significantly affected by governmental regulations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basis that can increase costs related to the production of our vehicles and affect our product portfolio, particularly regulations relating to fuel economy standards and GHG emissions. Meeting or exceeding the requirements of these regulations is costly, often technologically challenging and may require phase-out of internal combustion propulsion vehicles in certain major jurisdictions, and these standards are often not harmonized across jurisdictions. We anticipate that the number and extent of these and other regulations, laws and policies, and the related costs and changes to our product portfolio, may increase significantly in the future, primarily motivated by efforts to reduce GHG emissions. Specifically, fuel economy and GHG emission regulations at the federal, state or local level or in international jurisdictions could require us to further limit the sale of certain profitable products, subsidize the sale of less profitable ones, change our manufacturing processes, pay increased penalties, purchase additional credits from our competitors or undertake other activities that may require us to incur additional expense, which may be material. These requirements may increase the cost of, and/or diminish demand for, our vehicles. These regulatory requirements, among others, could significantly affect our plans for global product development and, given the uncertainty surrounding enforcement and regulatory definitions and interpretations, may result in substantial costs, including civil or criminal penalties. In addition, an evolving but un-harmonized emissions and fuel economy regulatory framework that could include specific sales mandates may limit or dictate the types of vehicles we sell and where we sell them, which can affect our revenues and profitability. Refer to the “Environmental and Regulatory Matters” section of Item 1. Business for further information on regulatory and environmental requirements.</w:t>
      </w:r>
    </w:p>
    <w:p>
      <w:pPr>
        <w:spacing w:after="0" w:line="22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We expect that to comply with fuel economy and GHG emission standards and mandates to sell specific volumes of ZEVs in certain jurisdictions, we will be required to sell a significant volume of EVs, and potentially develop and implement new technologies for conventional internal combustion engines, all of which will require substantial investment and expense. There are limits on our ability to achieve fuel economy improvements over a given time frame, primarily relating to the cost and effectiveness of available technologies, lack of sufficient consumer acceptance of new technologies and of changes in vehicle mix, lack of willingness of consumers to absorb the additional costs of new technologies, the appropriateness (or lack thereof) of certain technologies for use in particular vehicles, the widespread availability (or lack thereof) of supporting infrastructure for new technologies, especially with respect to EVs, the availability (or lack thereof) of the raw materials and component supply to make batteries and other elements of EVs, and the human, engineering and financial resources necessary to deploy new technologies across a wide range of products and powertrains in a short time. There is no assurance that we will be able to produce and sell vehicles that use such new technologies on a profitable basis or that our customers will purchase such vehicles in the quantities necessary for us to comply with current or future regulatory requirements.</w:t>
      </w:r>
    </w:p>
    <w:p>
      <w:pPr>
        <w:spacing w:after="0" w:line="21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current uncertain regulatory framework, compliance costs for which we may be responsible and that are not reasonably estimable could be substantial. Alleged violations of fuel economy or vehicle emission standards could result in legal proceedings, the recall of one or more of our products, negotiated remedial actions, fines and penalties, restricted product offerings or a combination of any of those items. Any of these actions could have a material adverse effect on our profitability, financial condition and operations, including facility idling, reduced employment, increased costs and loss of revenue.</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many of our advanced technologies, including AVs, present novel issues with which domestic and foreign regulators have only limited experience, and will be subject to evolving regulatory frameworks. Current or any future regulations in these areas could impede the successful commercialization of these technologies and impact whether and how these technologies are designed and integrated into our products, and may ultimately subject us to increased costs and uncertainty.</w:t>
      </w:r>
    </w:p>
    <w:p>
      <w:pPr>
        <w:spacing w:after="0" w:line="204" w:lineRule="exact"/>
        <w:rPr>
          <w:sz w:val="20"/>
          <w:szCs w:val="20"/>
          <w:color w:val="auto"/>
        </w:rPr>
      </w:pPr>
    </w:p>
    <w:p>
      <w:pPr>
        <w:jc w:val="both"/>
        <w:ind w:firstLine="161"/>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could be materially adversely affected by unusual or significant litigation, governmental investigations or other proceedings. </w:t>
      </w:r>
      <w:r>
        <w:rPr>
          <w:rFonts w:ascii="Times New Roman" w:cs="Times New Roman" w:eastAsia="Times New Roman" w:hAnsi="Times New Roman"/>
          <w:sz w:val="17"/>
          <w:szCs w:val="17"/>
          <w:color w:val="auto"/>
        </w:rPr>
        <w:t>We are subject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legal proceedings in the U.S. and elsewhere involving various issues, including product liability lawsuits, warranty litigation, class action litigations alleging product defects, emissions litigation, stockholder litigation, labor and employment litigation and claims and actions arising from restructurings and divestitures of operations and assets. In addition, we are subject to various governmental proceedings and investigations. A negative outcome in one or more of these proceedings could result in the imposition of damages, including punitive damages, fines, reputational harm, civil lawsuits and criminal penalties, interruptions of business, modification of business practices, equitable remedies and other sanctions against us or our personnel as well as legal and other costs, all of which may be significant. For a further discussion of certain of these matters, refer to Note 16 to our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costs and effect on our reputation of product safety recalls and alleged defects in products and services could materially adversely affect our business. </w:t>
      </w:r>
      <w:r>
        <w:rPr>
          <w:rFonts w:ascii="Times New Roman" w:cs="Times New Roman" w:eastAsia="Times New Roman" w:hAnsi="Times New Roman"/>
          <w:sz w:val="18"/>
          <w:szCs w:val="18"/>
          <w:color w:val="auto"/>
        </w:rPr>
        <w:t>Government safety standards require manufacturers to remedy certain product safety defects through recall campaigns and vehicle repurchases.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these standards, we could be subject to civil or criminal penalties or may incur various costs, including significant costs for repairs made at no cost to the consumer. The costs we incur in connection with these recalls typically include the cost of the part being replaced and labor to remove and replace the defective part. The costs to complete a recall could be exacerbated to the extent that such action relates to a global platform. Concerns about the safety of our products, including advanced technologies like AVs, whether raised internally or by regulators or consumer advocates, and whether or not based on scientific evidence or supported by data, can result in product delays, recalls, field actions, lost sales, governmental investigations, regulatory action, private claims, lawsuits and settlements and reputational damage. These circumstances can also result in damage to brand image, brand equity and consumer trust in our products and ability to lead the industry with respect to new technologies, such as EVs and AVs.</w:t>
      </w:r>
    </w:p>
    <w:p>
      <w:pPr>
        <w:spacing w:after="0" w:line="21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currently source a variety of systems, components, raw materials and parts from third parties. From time to time these items may have performance or quality issues that could harm our reputation and cause us to incur significant costs, particularly if the affected items relate to global platforms or involve defects that are identified years after production. Our ability to recover costs associated with recalls or other campaigns caused by parts or components purchased from suppliers may be limited by the suppliers’ financial condition or a number of other reasons or defenses.</w:t>
      </w:r>
    </w:p>
    <w:p>
      <w:pPr>
        <w:spacing w:after="0" w:line="2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incur additional tax expense or become subject to additional tax exposure. </w:t>
      </w:r>
      <w:r>
        <w:rPr>
          <w:rFonts w:ascii="Times New Roman" w:cs="Times New Roman" w:eastAsia="Times New Roman" w:hAnsi="Times New Roman"/>
          <w:sz w:val="18"/>
          <w:szCs w:val="18"/>
          <w:color w:val="auto"/>
        </w:rPr>
        <w:t>We are subject to the tax laws and regulations of the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numerous other jurisdictions in which we do business. Many judgments are required in determining our worldwide provision for income taxes and other tax liabilities, and we are regularly under audit by the U.S. Internal Revenue Service and other tax authorities, which may not agree with our tax positions. In addition, our tax liabilities are subject to other significant risks and uncertainties, including those arising from potential changes in laws and regulations in the countries in which we do business (for example, the Organisation for Economic Co-Operation and Development proposals, including the introduction of global minimum tax standards), the possibility of tax controversy related to adverse determinations with respect to the application of existing laws (in particular, with respect to full realization of the incentives contemplated by the IRA), changes in our business or structure and changes in the valuation of our deferred tax assets and liabilities. Any unfavorable resolution of these and other uncertainties may have a significant adverse impact on our tax rate and results of operations. If our tax expense were to increase, or if the ultimate determination of our taxes owed is for an amount in excess of amounts previously accrued, our operating results, cash flows and financial condition could be adversely affected.</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Automotive Financing - GM Financial</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GM Financial to provide financial services to our customers and dealers. </w:t>
      </w:r>
      <w:r>
        <w:rPr>
          <w:rFonts w:ascii="Times New Roman" w:cs="Times New Roman" w:eastAsia="Times New Roman" w:hAnsi="Times New Roman"/>
          <w:sz w:val="18"/>
          <w:szCs w:val="18"/>
          <w:color w:val="auto"/>
        </w:rPr>
        <w:t>GM Financial faces a number of business, economic and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risks that could impair its access to capital and negatively affect its business and operations, which in turn could impede its ability to provide leasing and financing to customers and commercial lending to our dealers. Any reduction in GM Financial’s ability to provide such financial services would negatively affect our efforts to support additional sales of our vehicles and expand our market penetration among customers and dealers.</w:t>
      </w:r>
    </w:p>
    <w:p>
      <w:pPr>
        <w:spacing w:after="0" w:line="2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primary factors that could adversely affect GM Financial’s business and operations and reduce its ability to provide financing services at competitive rates include the sufficiency, availability and cost of sources of funding, including credit facilities, securitization programs and secured and unsecured debt issuances; the performance of loans and leases in its portfolio, which could be materially affected by charge-offs, delinquencies and prepayments; wholesale auction values of used vehicles; vehicle return rates and the residual value performance on vehicles GM Financial leases to customers; fluctuations in interest rates and currency exchange rates; competition for customers from commercial banks, credit unions and other financing and leasing companies; and changes to regulation, supervision, enforcement and licensing across various jurisdictions.</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addition, GM Financial has certain floating-rate obligations, hedging transactions and floating-rate commercial loans that determine their applicable interest rate or payment amount by reference to a benchmark rate, generally the Secured Overnight Financing Rate (SOFR), which is a broad measure of the cost of borrowing cash overnight collateralized by Treasury securities. Any uncertainties associated with these benchmark rates may impact GM Financial's ability to manage interest rate risk effectively.</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Further, as an entity operating in the financial services sector, GM Financial is required to comply with a wide variety of laws and regulations that may be costly to adhere to and may affect our consolidated operating results. Compliance with these laws and regulations requires that GM Financial maintain forms, processes, procedures, controls and the infrastructure to support these requirements. Laws in the financial services industry are designed primarily for the protection of consumers. The failure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to comply with these laws could result in significant statutory civil and criminal penalties, monetary damages, attorneys’ fees and costs, possible revocation of licenses and damage to reputation, brand and valued customer relationships.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defined benefit pension plans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pension funding requirements could increase significantly due to a reduction in funded status as a result of a variety of factors, including weak performance of financial markets, declining interest rates, changes in the level of benefits provided for by the plans, changes in laws or regulations, or changes in assumptions or investments that do not achieve adequate returns. </w:t>
      </w:r>
      <w:r>
        <w:rPr>
          <w:rFonts w:ascii="Times New Roman" w:cs="Times New Roman" w:eastAsia="Times New Roman" w:hAnsi="Times New Roman"/>
          <w:sz w:val="18"/>
          <w:szCs w:val="18"/>
          <w:color w:val="auto"/>
        </w:rPr>
        <w:t>Our employee benefit plans currently hold a significant amount of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fixed income securities. A detailed description of the investment funds and strategies and our potential funding requirements are disclosed in Note 15 to our consolidated financial statements, which also describes significant concentrations of risk to the plan investments.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future funding requirements for our defined benefit pension plans depend upon the future performance of assets placed in trusts for these plans, the level of interest rates used to determine funding levels, the level of benefits provided for by the plans and any changes in laws and regulations. Future funding requirements generally increase if the discount rate decreases or if actual asset returns are lower than expected asset returns, assuming other factors are held constant. We estimate future contributions to these plans using assumptions with respect to these and other items. Changes to those assumptions could have a significant effect on future contributions.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are additional risks due to the complexity and magnitude of our investments. Examples include implementation of significant changes in investment policy, insufficient market liquidity in particular asset classes and the inability to quickly rebalance illiquid and long-term investments.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Factors that affect future funding requirements for our U.S. defined benefit plans generally affect the required funding for non-U.S. plans. Certain plans outside the U.S. do not have assets and therefore the obligation is funded as benefits are paid. If local legal authorities increase the minimum funding requirements for our non-U.S. plans, we could be required to contribute more funds, which could negatively affect our liquidity and financial condition.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Material risks from cybersecurity threats are managed across GM, GM Financial, Cruise and third-party suppliers and vendors, and monitoring such risks and threats is integrated into the Company’s overall risk management program.</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has a Cybersecurity Management Board that brings together representatives from senior management across the Company’s Software &amp; Services, Product Development, Information Technology, Manufacturing, Finance, Communications, Human Resources, Legal and Public Policy organizations to provide guidance and monitor overall company cybersecurity risk. The Company’s cybersecurity maturity scorecard, cybersecurity threats and certain incident information are reviewed by the Company’s Chief Cybersecurity Officer (CCO), the Risk and Cybersecurity Committee of the Company’s Board of Directors and the Cybersecurity Management Board during standing meetings as well as in impromptu sessions, when appropriate. During the reviews, various topics are discussed, which may include:</w:t>
      </w:r>
    </w:p>
    <w:p>
      <w:pPr>
        <w:spacing w:after="0" w:line="212" w:lineRule="exact"/>
        <w:rPr>
          <w:sz w:val="20"/>
          <w:szCs w:val="20"/>
          <w:color w:val="auto"/>
        </w:rPr>
      </w:pPr>
    </w:p>
    <w:p>
      <w:pPr>
        <w:ind w:left="660" w:hanging="330"/>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and maturity of the Company’s cybersecurity program, risk management framework, including cybersecurity risk policies, procedures and governance;</w:t>
      </w:r>
    </w:p>
    <w:p>
      <w:pPr>
        <w:ind w:left="660" w:hanging="330"/>
        <w:spacing w:after="0" w:line="24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 including potential impact to the Company’s employees, customers, supply chain, joint ventures and other stakeholders;</w:t>
      </w:r>
    </w:p>
    <w:p>
      <w:pPr>
        <w:ind w:left="640" w:hanging="31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intelligence briefings on notable cyber events impacting the industry; and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640" w:hanging="310"/>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budget and resource allocation, including industry benchmarking and economic modeling of various potential cybersecurity events.</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Company maintains technical and organizational safeguards, including employee training, incident response capability reviews and exercises, cybersecurity insurance and business continuity mechanisms for the protection of the Company’s assets. From time to time, the Company’s processes are audited and validated by internal and external experts. The Company leverages a third-party cybersecurity program with the goal of minimizing disruption to the Company’s business and production operations, strengthening supply chain resilience in response to cyber-related events and supporting the integrity of components and systems used in its products and services.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As cybersecurity incidents occur, the GM Cybersecurity team focuses on responding to and containing the threat and minimizing any business impact, as appropriate. In the event of an incident, the Cybersecurity team assesses, among other factors, safety impact, supply chain and manufacturing disruption, data and personal information loss, business operations disruption, projected cost and potential for reputational harm, with support from external technical, legal and law enforcement support, as appropriate.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last three fiscal years, the Company has not experienced any material cybersecurity incidents and expenses incurred from cybersecurity incidents were immaterial (including penalties and settlements, of which there were none). For a discussion of whether and how any risks from cybersecurity threats, including as a result of any previous cybersecurity incidents, have materially affected or are reasonably likely to materially affect the Company, including its business strategy, results of operations or financial condition, see Item 1A. Risk Factors – "Risks related to our intellectual property, cybersecurity, information technology and data management practices", which are incorporated by reference into this Item 1C.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GM Board of Directors is responsible for overseeing the Company’s enterprise risk, and has established its Risk and Cybersecurity Committee with specific responsibility for overseeing cybersecurity threats, among other things. The Company’s cybersecurity organization is led by the CCO, who is responsible for assessing and managing material risks from cybersecurity threats and reports to GM’s Executive Vice President, Legal, Policy, Cybersecurity, and Corporate Secretary as well as to the Risk and Cybersecurity Committee. The CCO has served in this role for four years, and has more than 11 years of experience in various roles involving managing cybersecurity functions, developing cybersecurity strategies to protect privacy, customer safety and intellectual property, and developing key capabilities such as product security engineering, risk management and cybersecurity governance. The CCO holds a bachelor’s degree in electrical engineering and a master’s degree in systems engineering, with over 10 years of previous software and hardware systems engineering experience. The CCO chairs the Automotive – Information Sharing and Analysis Center (ISAC) and serves on the Department of Homeland Security – Cybersecurity and Infrastructure Security Agency (DHS-CISA) Advisory Committee.</w:t>
      </w:r>
    </w:p>
    <w:p>
      <w:pPr>
        <w:spacing w:after="0" w:line="213"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CCO and the Cybersecurity Management Board monitor the prevention, mitigation, detection and remediation of cybersecurity incidents through their management of, and participation in, the cybersecurity risk management and strategy processes described above, including through the operation of the Company’s incident response plans, which include escalation to the CCO and the Cybersecurity Management Board, as appropriate. As discussed above, the CCO reports out to the Risk and Cybersecurity Committee about cybersecurity threat risks, among other cybersecurity related matters, at least quarterly.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2023, we had over 100 locations in the U.S. (excluding our automotive financing operations and dealerships), which are primarily for manufacturing, assembly, distribution, warehousing, engineering and testing. We, our subsidiaries or associated companies in which we own an equity interest, own most of these properties and/or lease a portion of these properties. Leased properties are primarily composed of warehouses and administration, engineering and sales offices.</w:t>
      </w:r>
    </w:p>
    <w:p>
      <w:pPr>
        <w:spacing w:after="0" w:line="195" w:lineRule="exact"/>
        <w:rPr>
          <w:sz w:val="20"/>
          <w:szCs w:val="20"/>
          <w:color w:val="auto"/>
        </w:rPr>
      </w:pPr>
    </w:p>
    <w:p>
      <w:pPr>
        <w:jc w:val="both"/>
        <w:ind w:right="20" w:firstLine="161"/>
        <w:spacing w:after="0" w:line="249" w:lineRule="auto"/>
        <w:rPr>
          <w:sz w:val="20"/>
          <w:szCs w:val="20"/>
          <w:color w:val="auto"/>
        </w:rPr>
      </w:pPr>
      <w:r>
        <w:rPr>
          <w:rFonts w:ascii="Times New Roman" w:cs="Times New Roman" w:eastAsia="Times New Roman" w:hAnsi="Times New Roman"/>
          <w:sz w:val="18"/>
          <w:szCs w:val="18"/>
          <w:color w:val="auto"/>
        </w:rPr>
        <w:t>We have manufacturing, assembly, distribution, office or warehousing operations in 32 countries, including equity interests in associated companies, which perform manufacturing, assembly or distribution operations. The major facilities outside the U.S., which are principally vehicle manufacturing and assembly operations, are located in Brazil, Canada, China, Mexico and South Korea.</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facilities are used to support our automotive segments and are suitable and adequate for the conduct of our business.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 owns or leases facilities for administration and regional credit centers. GM Financial has 35 facilities, of which 22 are located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facilities outside the U.S. are located in Brazil, Canada, China and Mexico.</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In February 2023, GM self-disclosed potential violations of the Toxic Substances Control Act's (TSCA) requirements applicable to the import of new chemical substances at our Ultium Cells LLC joint venture to the EPA. In November 2023, these potential violations were settled via consent agreement with the EPA, the terms of which include, among other items, payment of civil penalties currently estimated at approximately $5.1 million, which could grow depending upon import activity prior to receipt of a TSCA 5(e) order. These penalties are assessed jointly and severally to GM and Ultium Cells LLC.</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16 to our consolidated financial statements is incorporated by reference into this Part I, Item 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Market Information </w:t>
      </w:r>
      <w:r>
        <w:rPr>
          <w:rFonts w:ascii="Times New Roman" w:cs="Times New Roman" w:eastAsia="Times New Roman" w:hAnsi="Times New Roman"/>
          <w:sz w:val="18"/>
          <w:szCs w:val="18"/>
          <w:color w:val="auto"/>
        </w:rPr>
        <w:t>Shares of our common stock are publicly traded on the New York Stock Exchange under the symbol "GM".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Holders </w:t>
      </w:r>
      <w:r>
        <w:rPr>
          <w:rFonts w:ascii="Times New Roman" w:cs="Times New Roman" w:eastAsia="Times New Roman" w:hAnsi="Times New Roman"/>
          <w:sz w:val="18"/>
          <w:szCs w:val="18"/>
          <w:color w:val="auto"/>
        </w:rPr>
        <w:t>At January 16, 2024, we had 1.2 billion issued and outstanding shares of common stock held by 462 holders of record.</w:t>
      </w:r>
    </w:p>
    <w:p>
      <w:pPr>
        <w:spacing w:after="0" w:line="2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In September 2022, our Board of Directors reinstated a quarterly dividend of $0.09 per share of our common stock and in December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the quarterly dividend to $0.12 per share of our common stock beginning in 2024. We anticipate that we will continue to declare and pay dividends on our common stock quarterly. However, the declaration of any dividend on our common stock is a matter to be acted upon by our Board of Directors in its sole discretion and will depend on various factors, including our financial condition, operating results, available cash, and current and anticipated cash needs, as described further in the "Liquidity and Capital Resources" section of the MD&amp;A.</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Stock Performance Graph </w:t>
      </w:r>
      <w:r>
        <w:rPr>
          <w:rFonts w:ascii="Times New Roman" w:cs="Times New Roman" w:eastAsia="Times New Roman" w:hAnsi="Times New Roman"/>
          <w:sz w:val="18"/>
          <w:szCs w:val="18"/>
          <w:color w:val="auto"/>
        </w:rPr>
        <w:t>The following graph compares the performance of our common stock to the Standard &amp; Poor's (S&amp;P) 500 Stock Index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 Jones Automobile &amp; Parts Titans 30 Index for the last five years. It assumes $100 was invested on December 31, 2018, with dividends being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-13970</wp:posOffset>
            </wp:positionV>
            <wp:extent cx="5972810" cy="32423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2810" cy="324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stock performance graph data points in dollars: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4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1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Motors Company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8"/>
                <w:szCs w:val="18"/>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Stock Index</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tcPr>
          <w:p>
            <w:pPr>
              <w:spacing w:after="0"/>
              <w:rPr>
                <w:sz w:val="19"/>
                <w:szCs w:val="19"/>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Automobile &amp; Parts Titans 30 Index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tcPr>
          <w:p>
            <w:pPr>
              <w:spacing w:after="0"/>
              <w:rPr>
                <w:sz w:val="19"/>
                <w:szCs w:val="19"/>
                <w:color w:val="auto"/>
              </w:rPr>
            </w:pPr>
          </w:p>
        </w:tc>
      </w:tr>
      <w:tr>
        <w:trPr>
          <w:trHeight w:val="887"/>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00" w:type="dxa"/>
            <w:vAlign w:val="bottom"/>
          </w:tcPr>
          <w:p>
            <w:pPr>
              <w:spacing w:after="0"/>
              <w:rPr>
                <w:sz w:val="11"/>
                <w:szCs w:val="11"/>
                <w:color w:val="auto"/>
              </w:rPr>
            </w:pPr>
          </w:p>
        </w:tc>
        <w:tc>
          <w:tcPr>
            <w:tcW w:w="1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Announced</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Share(c)</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w:t>
            </w: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Programs(b)</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billion</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 billion</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215,202,490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215,189,872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billion</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215,227,889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215,189,872</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jc w:val="right"/>
              <w:ind w:right="3990"/>
              <w:spacing w:after="0"/>
              <w:rPr>
                <w:sz w:val="20"/>
                <w:szCs w:val="20"/>
                <w:color w:val="auto"/>
              </w:rPr>
            </w:pPr>
            <w:r>
              <w:rPr>
                <w:rFonts w:ascii="Times New Roman" w:cs="Times New Roman" w:eastAsia="Times New Roman" w:hAnsi="Times New Roman"/>
                <w:sz w:val="16"/>
                <w:szCs w:val="16"/>
                <w:color w:val="auto"/>
                <w:w w:val="99"/>
              </w:rPr>
              <w:t>__________</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4900" w:type="dxa"/>
            <w:vAlign w:val="bottom"/>
            <w:gridSpan w:val="2"/>
            <w:vMerge w:val="continue"/>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340" w:hanging="333"/>
        <w:spacing w:after="0" w:line="252" w:lineRule="auto"/>
        <w:tabs>
          <w:tab w:leader="none" w:pos="4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issuance of common stock upon the vesting of Restricted Stock Units (RSUs) relating to compensation plans. In June 2020, our shareholders approved the 2020 Long-Term Incentive Plan (LTIP), which authorizes awards of stock options, stock appreciation rights, RSUs, Performance Stock Units (PSUs) or other stock-based awards to selected employees, consultants, advisors and non-employee Directors of the Company. Refer to Note 22 to our consolidated financial statements for additional details on employee stock incentive plans.</w:t>
      </w:r>
    </w:p>
    <w:p>
      <w:pPr>
        <w:spacing w:after="0" w:line="3"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9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$5.0 billion of our common stock with no expiration date. In August 2022, our Board of Directors increased the capacity to $5.0 billion from the $3.3 billion that remained as of June 30, 2022, with no expiration date. In November 2023, the Board of Directors increased the capacity under the share repurchase program by $10.0 billion to an aggregate of $11.4 billion and approved an accelerated share repurchase (ASR) program to repurchase an aggregate amount of $10.0 billion of our common stock. On December 1, 2023, pursuant to the agreements entered into in connection with the ASR (collectively, the ASR Agreements), we advanced the aggregate amount of $10.0 billion and received approximately 215 million shares of our common stock with a value of $6.8 billion, which were immediately retired. Final settlement of the transactions contemplated by the ASR Agreements is expected to occur no later than the three months ending December 31, 2024. Refer to Note 20 to our consolidated financial statements for additional details on the ASR program.</w:t>
      </w:r>
    </w:p>
    <w:p>
      <w:pPr>
        <w:spacing w:after="0" w:line="4"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223"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ind w:firstLine="16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section of this MD&amp;A and Part I, Item 1A. Risk Factors for a discussion of these risks and uncertainties. The discussion of our financial condition and results of operations for the year ended December 31, 2021 included in Item 7. Management's Discussion and Analysis of Financial Condition and Results of Operations in our </w:t>
      </w:r>
      <w:hyperlink r:id="rId44">
        <w:r>
          <w:rPr>
            <w:rFonts w:ascii="Times New Roman" w:cs="Times New Roman" w:eastAsia="Times New Roman" w:hAnsi="Times New Roman"/>
            <w:sz w:val="18"/>
            <w:szCs w:val="18"/>
            <w:u w:val="single" w:color="auto"/>
            <w:color w:val="0000FF"/>
          </w:rPr>
          <w:t>Annual Report on Form 10-K for the year ended 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into this MD&amp;A.</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AVs, software-enabled services and other new business opportunities. To support strong margins and cash flow during this transition, we are strengthening our market position in profitable ICE vehicles, such as trucks and SUVs. We plan to execute our strategy with a steadfast commitment to good corporate citizenship through more sustainable operations and a leading health and safety culture.</w:t>
      </w:r>
    </w:p>
    <w:p>
      <w:pPr>
        <w:spacing w:after="0" w:line="2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financial performance in 2023 was driven by the success of high-margin products like full-size pick-ups and SUVs, despite several headwinds, including higher interest rates and inflationary pressures, supply chain and logistics challenges, and work stoppages associated with recent labor negotiations. This performance was due to the strength of our vehicle portfolio, strong consumer demand and execution of our core business strategy, focused on fixed cost reduction and pricing discipline.</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January 2023, we announced our intention to implement a cost reduction program to reduce automotive fixed costs by $2.0 billion on an annual run rate basis by the end of 2024. This goal includes the impact of higher expected depreciation and amortization expense and inflationary cost increases on fixed cost but excludes changes in our pension income. In March 2023,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announced performance-based exits and a voluntary separation program (VSP) in an effort to accelerate attrition, which we believe will result in approximately $1.0 billion towards this target on an annual run rate basis. In addition to people costs, we are reducing our marketing and advertising expenses, streamlining our engineering expense by reducing complexity across the vehicle portfolio, adjusting the cadence of our EV launches due to customer demand, reducing launch-related expenses in the near-term, reprioritizing growth initiatives and reducing our overall overhead and discretionary costs.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collective bargaining agreement with the UAW, which was ratified in October 2019, expired on September 14, 2023. On September 15, 2023, the UAW initiated a strike at certain of our U.S. facilities and intermittently expanded the strike to additional facilities, causing stoppages to some vehicle production and parts distribution activities across our U.S. operations. We estimate that the lost vehicle production volumes and parts sales due to the UAW strike had an unfavorable impact of approximately $0.8 billion on Net income attributable to stockholders and $1.1 billion on our GMNA EBIT-adjusted in the year ended December 31, 2023.</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On November 16, 2023, the UAW ratified a new collective bargaining agreement (the Labor Agreement). The Labor Agreement, which continues through April 30, 2028, covers the wages, hours, benefits and other terms and conditions of employment for our UAW-represented employees. The key terms and provisions of the Labor Agreement are:</w:t>
      </w:r>
    </w:p>
    <w:p>
      <w:pPr>
        <w:spacing w:after="0" w:line="204" w:lineRule="exact"/>
        <w:rPr>
          <w:sz w:val="20"/>
          <w:szCs w:val="20"/>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wage increases of 11% upon ratification in 2023, 3% in September each of 2024, 2025 and 2026, and 5% in September 2027;</w:t>
      </w:r>
    </w:p>
    <w:p>
      <w:pPr>
        <w:spacing w:after="0" w:line="26"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applicable wage classifications for in-progression, temporary and other employees – with employees reaching the top classification rate upon the completion of 156 weeks of active service;</w:t>
      </w: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re-establishment of a cost-of-living allowance;</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ratification bonus payments of $5,000 paid to eligible employees in the three months ended December 31, 2023;</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members currently employed and enrolled in the Employees’ Pension Plan, an increase of $5.00 to the monthly basic benefit for past and future service provided;</w:t>
      </w: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increase in company contributions to eligible employees' defined contribution retirement accounts;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contribution of $500 to eligible retirees or surviving spouses.</w:t>
      </w:r>
    </w:p>
    <w:p>
      <w:pPr>
        <w:spacing w:after="0" w:line="23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Beginning in 2024 and through the end of the term of the Labor Agreement, GM will offer three separate cash severance incentive programs to UAW-represented employees that meet the normal or early retirement eligibility requirements.</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On August 16, 2022, the IRA was enacted. The IRA modified climate and clean energy tax provisions and added new corporate tax credits for commercial EV purchases and investments in clean energy production, supply chains and manufacturing facilities. IRA benefits, including credits and lower material costs, are expected to materially affect net income in the future. We will continue to evaluate the IRA impacts on our financial results as additional regulatory guidance is issued.</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for a discussion of these challenges.</w:t>
      </w:r>
    </w:p>
    <w:p>
      <w:pPr>
        <w:spacing w:after="0" w:line="137"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 the year ending December 31, 2024, we expect EPS-diluted and EPS-diluted-adjusted of between $8.50 and $9.50, Net income attributable to stockholders of between $9.8 billion and $11.2 billion and EBIT-adjusted of between $12.0 billion and $14.0 billion. These expected financial results do not include the potential impact of future adjustments related to special items. Refer to the "Non-GAAP Measures" section of this MD&amp;A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table reconciles expected Net income attributable to stockholders under U.S. generally accepted accounting principles (GAAP) to expected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EBIT-adjusted (dollars in billions):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7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tc>
      </w:tr>
      <w:tr>
        <w:trPr>
          <w:trHeight w:val="25"/>
        </w:trPr>
        <w:tc>
          <w:tcPr>
            <w:tcW w:w="84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$ 9.8-11.2</w:t>
            </w:r>
          </w:p>
        </w:tc>
      </w:tr>
      <w:tr>
        <w:trPr>
          <w:trHeight w:val="228"/>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 net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$ 12.0-14.0</w:t>
            </w:r>
          </w:p>
        </w:tc>
      </w:tr>
      <w:tr>
        <w:trPr>
          <w:trHeight w:val="20"/>
        </w:trPr>
        <w:tc>
          <w:tcPr>
            <w:tcW w:w="844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do not consider the potential future impact of adjustments on our expected financial results.</w:t>
      </w:r>
    </w:p>
    <w:p>
      <w:pPr>
        <w:spacing w:after="0" w:line="200" w:lineRule="exact"/>
        <w:rPr>
          <w:sz w:val="20"/>
          <w:szCs w:val="20"/>
          <w:color w:val="auto"/>
        </w:rPr>
      </w:pPr>
    </w:p>
    <w:p>
      <w:pPr>
        <w:spacing w:after="0" w:line="20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19.6 million units in the year ended December 31, 2023, representing an increase of 13.1%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2022. U.S. industry sales were 16.0 million units in the year ended December 31, 2023, representing an increase of 12.2% compared to the corresponding period in 2022.</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2.6 million units for a market share of 16.2% in the year ended December 31, 2023, representing an increase of 0.3 percentage points compared to the corresponding period in 2022.</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2024 on the continued strength of our product portfolio, improved EV margins and ongoing fixed cost reduction efforts, partially offset by pricing moderation with increased incentives. While we expect EV margins to improve in 2024, it is possible that we will continue to recognize losses to adjust inventory to net realizable value. Our outlook is dependent on the resiliency of the U.S. economy, continuing improvement of supply chain availability, EV-related cost reduction and overall economic conditions.</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25.0 million units in the year ended December 31, 2023, representing an increase of 6.3%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2022. Our total vehicle sales in China were 2.1 million units resulting in a market share of 8.4% in the year ended December 31, 2023, representing a decrease of 1.4 percentage points compared to the corresponding period in 2022. The ongoing supply chain disruptions, global macro-economic conditions and geopolitical tensions continue to place pressure on China's automotive industry and our vehicle sales in China. Our Automotive China JVs generated equity income of $0.4 billion in the year ended December 31, 2023. Price competition, growing customer acceptance of domestic brands and demand for NEVs, and a more challenging regulatory environment related to emissions, fuel consumption and NEVs have and will continue to place pressure on our operations in China.</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25.7 million units in the year ended December 31, 2023, representing an increase of 7.3% compared to the corresponding period in 2022. Our total vehicle sales outside of China were 1.0 million units for a market share of 4.0% in the year ended December 31, 2023, which is comparable to the corresponding period in 2022.</w:t>
      </w:r>
    </w:p>
    <w:p>
      <w:pPr>
        <w:spacing w:after="0" w:line="20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Cruise Holdings, our majority-owned subsidiary, is pursuing the development and commercialization of AV technology. In October 2023, a hit-and-run accident involving a pedestrian and a third-party vehicle occurred, which resulted in the pedestrian being thrown into the path of a Cruise AV. During the resulting investigation, regulators perceived that Cruise representatives were not explicit about a secondary movement of the Cruise AV and, as a result, the California DMV suspended Cruise's permits to operate AVs in California without a safety driver. Shortly thereafter, Cruise voluntarily paused all of its driverless, supervised and manual AV operations in the U.S. while it examines its processes, systems and tools. This orderly pause is designed to rebuild public trust while Cruise undertakes a comprehensive safety review. In addition, certain federal and state agencies, including the California DMV, the California Public Utilities Commission, NHTSA, the U.S. Department of Justice and the SEC, have opened investigations or made inquiries in connection with the incident. We and Cruise are investigating these matters internally and intend to cooperate with all government regulators and agencies in connection with these matters. At this time, we are not able to predict when Cruise will resume driverless testing or commercial AV operations. Refer to Part I, Item 1A. Risk Factors for a further discussion of the risks associated with our AV strategy.</w:t>
      </w:r>
    </w:p>
    <w:p>
      <w:pPr>
        <w:spacing w:after="0" w:line="21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connection with the pause in operations and Cruise's refocused operational strategy, we recorded restructuring charges of $0.5 billion in the three months ended December 31, 2023, and also expect reductions of approximately $1.0 billion in Cruise expenses in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Summary and Outlook </w:t>
      </w:r>
      <w:r>
        <w:rPr>
          <w:rFonts w:ascii="Times New Roman" w:cs="Times New Roman" w:eastAsia="Times New Roman" w:hAnsi="Times New Roman"/>
          <w:sz w:val="18"/>
          <w:szCs w:val="18"/>
          <w:color w:val="auto"/>
        </w:rPr>
        <w:t>We believe that offering a comprehensive suite of financing products will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incremental sales of our vehicles, drive incremental GM Financial earnings and help support our sales throughout various economic cycles. GM Financial's penetration of our retail sales in the U.S. was 42% in the year ended December 31, 2023 and 43% in the corresponding period in 2022. Penetration levels vary depending on incentive financing programs available and competing third-party financing products in the market. GM Financial's prime loan originations as a percentage of total loan originations in North America was 82% in the year ended December 31, 2023 and 80% in the corresponding period in 2022. In the year ended December 31, 2023, GM Financial's revenue consisted of leased vehicle income of 51%, retail finance charge income of 37% and commercial finance charge income of 7%.</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$0.9 billion and $1.2 billion were included in GM Financial interest, operating and other expenses in the years ended December 31, 2023 and 2022. The decrease in gains is primarily due to higher leased portfolio net book values at termination and fewer terminated leases in 2023 compared to</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2022. The following table summarizes the estimated residual value based on GM Financial's most recent estimates and the number of units included in GM Financial Equipment on operating leases, net by vehicle type (units in thousands):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0" w:type="dxa"/>
            <w:vAlign w:val="bottom"/>
          </w:tcPr>
          <w:p>
            <w:pPr>
              <w:spacing w:after="0"/>
              <w:rPr>
                <w:sz w:val="16"/>
                <w:szCs w:val="16"/>
                <w:color w:val="auto"/>
              </w:rPr>
            </w:pPr>
          </w:p>
        </w:tc>
      </w:tr>
      <w:tr>
        <w:trPr>
          <w:trHeight w:val="25"/>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188"/>
        </w:trPr>
        <w:tc>
          <w:tcPr>
            <w:tcW w:w="3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8"/>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6"/>
        </w:trPr>
        <w:tc>
          <w:tcPr>
            <w:tcW w:w="29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4"/>
        </w:trPr>
        <w:tc>
          <w:tcPr>
            <w:tcW w:w="2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23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7"/>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8"/>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7"/>
              </w:rPr>
              <w:t>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Eliminations/reclassifications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7"/>
              </w:rPr>
              <w:t>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8"/>
              </w:rPr>
              <w:t>(6.1)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7"/>
              </w:rPr>
              <w:t>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Cruise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automotive and other cost of</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141,330</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126,892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8"/>
              </w:rPr>
              <w:t>(5.6)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most significant element of our Automotive and other cost of sales is material cost, which makes up approximately two-thirds of the total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portion includes labor costs, depreciation and amortization, engineering, freight and product warranty and recall campaigns.</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Factors that most significantly influence a region's profitability are industry volume, market share and the relative mix of vehicles (trucks, crossovers, cars) sold. Variable profit is a key indicator of product profitability. Variable profit is defined as revenue less material cost, freight, the variable component of manufacturing expense and warranty and recall-related costs. Vehicles with higher selling prices generally have higher variable profit. Refer to the regional sections of this MD&amp;A for additional information on Volume and Mix.</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the year ended December 31, 2023, increased Cost was primarily due to: (1) increased campaigns and other warranty-related costs of $2.1 billion; (2) increased EV-related charges of $2.0 billion, primarily due to $1.7 billion in inventory adjustments to reflect the net realizable value at period end; (3) increased manufacturing costs of $0.9 billion; (4) charges of $0.7 billion related to the VSP; (5) increased engineering costs of $0.5 billion, driven primarily by $0.8 billion increase in AV engineering costs; partially offset by $0.4 billion decrease in Automotive engineering cost (6) charges of $0.5 billion related to Cruise restructuring; and (7) increased material and freight costs of $0.3 billion; partially offset by (8) decrease of $0.8 billion due to absence of the charge for the modification of Cruise stock incentive awards in 2022. In the year ended December 31, 2023, favorable Other was due to the weakening of the Canadian dollar and other currencies against the U.S. dollar, partially offset by the strengthening of the Mexican peso and other currencies against the U.S. dollar.</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2023 vs. 2022 Change</w:t>
            </w:r>
          </w:p>
        </w:tc>
        <w:tc>
          <w:tcPr>
            <w:tcW w:w="0" w:type="dxa"/>
            <w:vAlign w:val="bottom"/>
          </w:tcPr>
          <w:p>
            <w:pPr>
              <w:spacing w:after="0"/>
              <w:rPr>
                <w:sz w:val="1"/>
                <w:szCs w:val="1"/>
                <w:color w:val="auto"/>
              </w:rPr>
            </w:pPr>
          </w:p>
        </w:tc>
      </w:tr>
      <w:tr>
        <w:trPr>
          <w:trHeight w:val="134"/>
        </w:trPr>
        <w:tc>
          <w:tcPr>
            <w:tcW w:w="5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5"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other selling, general and administrative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2023, Automotive and other selling, general and administrative expense decreased primarily due to: (1) decreased advertising, selling, and administrative costs of $0.7 billion; and (2) decrease of $0.3 billion due to the absence of the charge for the modification of Cruise stock incentive awards in 2022; partially offset by (3) charges of $0.2 billion related to the VSP.</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vMerge w:val="restart"/>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2023 vs. 2022 Change</w:t>
            </w:r>
          </w:p>
        </w:tc>
        <w:tc>
          <w:tcPr>
            <w:tcW w:w="0" w:type="dxa"/>
            <w:vAlign w:val="bottom"/>
          </w:tcPr>
          <w:p>
            <w:pPr>
              <w:spacing w:after="0"/>
              <w:rPr>
                <w:sz w:val="1"/>
                <w:szCs w:val="1"/>
                <w:color w:val="auto"/>
              </w:rPr>
            </w:pPr>
          </w:p>
        </w:tc>
      </w:tr>
      <w:tr>
        <w:trPr>
          <w:trHeight w:val="136"/>
        </w:trPr>
        <w:tc>
          <w:tcPr>
            <w:tcW w:w="5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year ended December 31, 2023, Interest income and other non-operating income, net increased primarily due to: (1) the absence of $0.7 billion loss related to the shutdown of our Russia business; (2) $0.6 billion increase in interest income; and (3) the absence of $0.4 billion in losses related to Stellantis N.V. (Stellantis) warrants; partially offset by (4) $1.3 billion decrease in non-service pension income primarily due to higher interest cost and lower expected return on assets (ROA); and (5) the absence of $0.3 billion in gains related to revaluation of investments.</w:t>
      </w: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80" w:type="dxa"/>
            <w:vAlign w:val="bottom"/>
            <w:gridSpan w:val="6"/>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2023 vs. 2022 Change</w:t>
            </w:r>
          </w:p>
        </w:tc>
        <w:tc>
          <w:tcPr>
            <w:tcW w:w="0" w:type="dxa"/>
            <w:vAlign w:val="bottom"/>
          </w:tcPr>
          <w:p>
            <w:pPr>
              <w:spacing w:after="0"/>
              <w:rPr>
                <w:sz w:val="1"/>
                <w:szCs w:val="1"/>
                <w:color w:val="auto"/>
              </w:rPr>
            </w:pPr>
          </w:p>
        </w:tc>
      </w:tr>
      <w:tr>
        <w:trPr>
          <w:trHeight w:val="136"/>
        </w:trPr>
        <w:tc>
          <w:tcPr>
            <w:tcW w:w="5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660"/>
              <w:spacing w:after="0" w:line="136"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7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2023, Income tax expense decreased primarily due to jurisdictional mix of earnings, valuation allowance adjustments and lower pre-tax income.</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the year ended December 31, 2023 our ETR-adjusted was 15.7%. We expect our adjusted effective tax rate to be between 18% and 20% for the year ending December 31,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17 to our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r>
      <w:tr>
        <w:trPr>
          <w:trHeight w:val="189"/>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4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5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03"/>
        </w:trPr>
        <w:tc>
          <w:tcPr>
            <w:tcW w:w="2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141,445</w:t>
            </w:r>
          </w:p>
        </w:tc>
        <w:tc>
          <w:tcPr>
            <w:tcW w:w="3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128,378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12,306</w:t>
            </w:r>
          </w:p>
        </w:tc>
        <w:tc>
          <w:tcPr>
            <w:tcW w:w="3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12,988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195"/>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3,147</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2,926</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bl>
    <w:p>
      <w:pPr>
        <w:spacing w:after="0" w:line="31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year ended December 31, 2023,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primarily due to increased sales of crossover vehicles and full-size pickup trucks, partially offset by decreased sales of mid-size pickup trucks; (2) favorable Price as a result of low dealer inventory levels and strong demand for our products; (3) favorable Mix associated with increased sales of full-size pickup trucks and full-size SUVs and decreased sales of vans, passenger cars and mid-size pickup trucks, partially offset by increased sales of crossover vehicles; and (4) favorable Other due to increased sales of parts and accessories.</w:t>
      </w:r>
    </w:p>
    <w:p>
      <w:pPr>
        <w:spacing w:after="0" w:line="20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The most significant factors that influence profitability are industry volume and market share. While not as significant as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and market share, another factor affecting profitability is the relative mix of vehicles sold. Trucks, crossovers and cars sold currently have a variable profit of approximately 170%, 40% and 50% of our GMNA portfolio on a weighted-average basis.</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2023, EBIT-adjusted decreased primarily due to: (1) increased Cost primarily due to increased campaigns and other warranty-related costs of $2.0 billion, increased EV-related charges of $1.9 billion primarily due to $1.6 billion in inventory adjustments to reflect the net realizable value at period end, decreased non-service pension income of $1.1 billion and increased manufacturing costs of $0.9 billion, partially offset by decreased advertising, selling and administrative costs of $1.1 billion; and (2) unfavorable Mix associated with increased sales of crossover vehicles partially</w:t>
      </w:r>
    </w:p>
    <w:p>
      <w:pPr>
        <w:sectPr>
          <w:pgSz w:w="11900" w:h="16838" w:orient="portrait"/>
          <w:cols w:equalWidth="0" w:num="1">
            <w:col w:w="11240"/>
          </w:cols>
          <w:pgMar w:left="320" w:top="363"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offset by decreased sales of mid-size pickup trucks and passengers cars and increased sales of full-size SUVs; partially offset by (3) favorable Price; and (4) favorable Volume.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Mix</w:t>
            </w:r>
          </w:p>
        </w:tc>
        <w:tc>
          <w:tcPr>
            <w:tcW w:w="300" w:type="dxa"/>
            <w:vAlign w:val="bottom"/>
          </w:tcPr>
          <w:p>
            <w:pPr>
              <w:spacing w:after="0"/>
              <w:rPr>
                <w:sz w:val="16"/>
                <w:szCs w:val="16"/>
                <w:color w:val="auto"/>
              </w:rPr>
            </w:pPr>
          </w:p>
        </w:tc>
        <w:tc>
          <w:tcPr>
            <w:tcW w:w="5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6"/>
                <w:szCs w:val="16"/>
                <w:color w:val="auto"/>
              </w:rPr>
            </w:pP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15,949</w:t>
            </w: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1,210</w:t>
            </w: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 Automotive</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4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446</w:t>
            </w:r>
          </w:p>
        </w:tc>
        <w:tc>
          <w:tcPr>
            <w:tcW w:w="36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677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(231)</w:t>
            </w:r>
          </w:p>
        </w:tc>
        <w:tc>
          <w:tcPr>
            <w:tcW w:w="1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(34.1)%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24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4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764</w:t>
            </w:r>
          </w:p>
        </w:tc>
        <w:tc>
          <w:tcPr>
            <w:tcW w:w="3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466</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298</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63.9 %</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w:t>
            </w:r>
          </w:p>
        </w:tc>
        <w:tc>
          <w:tcPr>
            <w:tcW w:w="24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621</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8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year ended December 31, 2023, Total net sales and revenue increased primarily due to: (1) favorable pricing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multiple vehicle lines in Argentina, Brazil and the Middle East; and (2) favorable Mix primarily in Asia/Pacific and the Middle East; partially offset by (3) decreased net wholesale volumes in Egypt, Colombia and Chile primarily due to industry downturn, partially offset by increased volumes in Brazil due to a new vehicle launch; and (4) unfavorable Other primarily due to the foreign currency effect resulting from the weakening of the Argentine peso against the U.S. dollar, partially offset by increased components, parts and accessories sales.</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year ended December 31, 2023, EBIT-adjusted increased primarily due to: (1) favorable Price; and (2) favorable Mix;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partially offset by (3) unfavorable Cost primarily due to increased material, logistic and warranty-related costs and other costs to support a new vehicle launch in South America, partially offset by favorable impact due to an asset sale in Korea; (4) decreased net wholesale volumes; and (5) unfavorable Other primarily due to foreign currency effect resulting from the weakening of Argentine peso against the U.S. dollar and decreased equity income.</w:t>
      </w:r>
    </w:p>
    <w:p>
      <w:pPr>
        <w:spacing w:after="0" w:line="20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In the coming years, we plan to leverage our global architectures to introduce a number of new product offerings under the Buick, Chevrolet and Cadillac brands in China and continue to grow our business under the local Baojun and Wuling brands while we are accelerating the development and rollout of EVs across our brands in China as part of our commitment to an all-electric future. We operate in the Chinese market through a number of joint ventures and maintaining strong relationships with our joint venture partners is an important part of our China growth strategy.</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gridSpan w:val="9"/>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28"/>
        </w:trPr>
        <w:tc>
          <w:tcPr>
            <w:tcW w:w="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 w:type="dxa"/>
            <w:vAlign w:val="bottom"/>
            <w:shd w:val="clear" w:color="auto" w:fill="CCEEFF"/>
          </w:tcPr>
          <w:p>
            <w:pPr>
              <w:spacing w:after="0"/>
              <w:rPr>
                <w:sz w:val="19"/>
                <w:szCs w:val="19"/>
                <w:color w:val="auto"/>
              </w:rPr>
            </w:pPr>
          </w:p>
        </w:tc>
      </w:tr>
      <w:tr>
        <w:trPr>
          <w:trHeight w:val="539"/>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20" w:type="dxa"/>
            <w:vAlign w:val="bottom"/>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4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50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20"/>
                <w:szCs w:val="20"/>
                <w:color w:val="auto"/>
              </w:rPr>
            </w:pPr>
          </w:p>
        </w:tc>
      </w:tr>
      <w:tr>
        <w:trPr>
          <w:trHeight w:val="882"/>
        </w:trPr>
        <w:tc>
          <w:tcPr>
            <w:tcW w:w="750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Cruise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 vs. 2022 Change</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0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(Unfavorable)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40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reclassified to Interest income and other non-operating income, net in our consolidated income statements in each of the years ended December 31, 2023, 2022 and 2021.</w:t>
      </w:r>
    </w:p>
    <w:p>
      <w:pPr>
        <w:spacing w:after="0" w:line="191"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year ended December 31, 2023, EBIT (loss)-adjusted increased primarily due to an increase in development costs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pursue the development and commercialization of AV technology in the U.S. and globally.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 vs. 2022 Change</w:t>
            </w:r>
          </w:p>
        </w:tc>
      </w:tr>
      <w:tr>
        <w:trPr>
          <w:trHeight w:val="25"/>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5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5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5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year ended December 31, 2023, Total revenue increased primarily due to: (1) increased finance charge income of $1.7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 in the effective yield resulting from higher benchmark interest rates and growth in the size of the portfolio; (2) increased investment income of $0.3 billion primarily due to an increase in benchmark interest rates; partially offset by (3) decreased leased vehicle income of $0.5 billion primarily due to a decrease in the average balance of the leased vehicles portfolio.</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year ended December 31, 2023, EBT-adjusted decreased primarily due to: (1) increased interest expense of $1.8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increased effective rate of interest on debt, resulting from higher benchmark interest rates, as well as an increase in average debt outstanding; (2) decreased leased vehicle income net of leased vehicle expenses of $0.9 billion primarily due to a decrease in the average balance of the leased vehicles portfolio and decreased lease termination gains due to higher leased portfolio net book values at termination and fewer terminated leases; (3) increased provision for loan losses of $0.2 billion due to lower recovery rates in 2023, as well as moderating credit performance; partially offset by (4) increased finance charge income of $1.7 billion primarily due to an increase in the effective yield resulting from higher benchmark interest rates and growth in the size of the portfolio; and (5) increased investment income of $0.3 billion primarily due to an increase in benchmark interest rates.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2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$10.5 billion to $11.5 billion in 2024; (2) payments for engineering and product development activities</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including investing in the development and commercialization of AV technology by Cruise; (3) payments associated with previously announced vehicle recalls and any other recall-related contingencies; (4) payments to service debt and other long-term obligations, including discretionary and mandatory contributions to our pension plans; (5) dividend payments on our common stock that are declared by our Board of Directors; and (6) payments to purchase shares of our common stock authorized by our Board of Directors. Refer to Note 7, Note 13 and Note 15 to our consolidated financial statements for additional funding requirements for our operating leases, debt and pension plans. Our material future uses of cash, which may vary from time to time based on market conditions and other factors, are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focused on the three objectives of our capital allocation program: (1) grow our business at an average target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8"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1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some of which are outside of our control.</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previously announced common stock repurchase program by $10.0 billion to $11.4 billion and approved a $10.0 billion ASR program. On December 1, 2023, we advanced $10.0 billion under the ASR program and received approximately 215 million shares of common stock with a value of $6.8 billion, which were immediately retired. The final settlement of the transactions contemplated under the ASR Agreements is expected to occur no later than the three months ending December 31, 2024. Also, during the year ended December 31, 2023, we completed $1.1 billion of open market repurchases under the program and retired approximately 30 million shares of our common stock. We have $1.4 billion in capacity remaining under our common stock repurchase program as of December 31, 2023, with no expiration date.</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year ended December 31, 2023, we paid dividends of $0.5 billion to holders of our common stock. We anticipate that we will continue to declare and pay dividends on our common stock quarterly.</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0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w:t>
      </w:r>
    </w:p>
    <w:p>
      <w:pPr>
        <w:spacing w:after="0" w:line="20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manage our liquidity primarily at our treasury centers as well as at certain of our significant consolidated overseas subsidiaries. Over 85% of our cash and marketable debt securities were managed within North America and at our regional treasury centers at December 31, 2023. We have used, and will continue to use, other methods including intercompany loans to utilize these funds across our global operations as needed.</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cash equivalents and marketable debt securities balances are primarily denominated in U.S. Dollars and include investments in U.S. government and agency obligations, foreign government securities, time deposits, corporate debt securities and mortgage and asset-backed securities. Our investment guidelines, which we may change from time to time, prescribe certain minimum credit worthiness thresholds and limit our exposures to any particular sector, asset class, issuance or security type. The majority of our current investments in debt securities are with A/A2 or better rated issuers.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March 2023, we redeemed our $1.5 billion, 4.875% senior unsecured notes with a maturity date of October 2023 and recorded an insignificant loss.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Also, 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October 2023, we entered into a new 364-day unsecured revolving credit facility with a borrowing capacity of $6.0 billion, which we terminated on November 24, 2023.</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November 2023, the Company entered an unsecured 364-day delayed draw term loan credit agreement that permits the Company to borrow up to $3.0 billion in the form of four term loans during an availability period that ends June 28, 2024. Amounts drawn and repaid may not be reborrowed and the final maturity date for any loans outstanding under the delayed draw credit agreement is November 27, 2024.</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$17.1 billion at December 31, 2023, which consisted primarily of three credit facilities, and $15.5 billion at December 31, 2022,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$0.7 billion and $0.4 billion at December 31, 2023 and 2022.</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five-year, $10.0 billion and three-year, $4.1 billion credit facilities. GM Financial did not have borrowings outstanding against any of these facilities at December 31, 2023 and 2022. We had intercompany loans from GM Financial of $0.2 billion at December 31, 2023 and 2022, which primarily consisted of commercial loans to dealers we consolidate. We did not have intercompany loans to GM Financial at December 31, 2023 and 2022. Refer to Note 5 to our consolidated financial statements for additional information.</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credit facilities, require compliance with certain financial and operational covenants as well as regular reporting to lenders. We have reviewed our covenants in effect as of December 31, 2023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$1.8 billion, $1.7 billion and $3.5 billion on its common stock in the years ended December 31, 2023, 2022 and 2021. Future dividends from GM Financial will depend on several factors including business and economic conditions, its financial condition, earnings, liquidity requirements and leverage ratio.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We had letters of credit outstanding under our sub-facility of $0.7 billion and $0.4 billion at December 31, 2023 and 2022.</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3"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5"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ASR program</w:t>
      </w:r>
    </w:p>
    <w:p>
      <w:pPr>
        <w:spacing w:after="0" w:line="21" w:lineRule="exact"/>
        <w:rPr>
          <w:sz w:val="20"/>
          <w:szCs w:val="20"/>
          <w:color w:val="auto"/>
        </w:rPr>
      </w:pPr>
    </w:p>
    <w:p>
      <w:pPr>
        <w:ind w:left="20" w:right="1480"/>
        <w:spacing w:after="0" w:line="264" w:lineRule="auto"/>
        <w:rPr>
          <w:sz w:val="20"/>
          <w:szCs w:val="20"/>
          <w:color w:val="auto"/>
        </w:rPr>
      </w:pPr>
      <w:r>
        <w:rPr>
          <w:rFonts w:ascii="Times New Roman" w:cs="Times New Roman" w:eastAsia="Times New Roman" w:hAnsi="Times New Roman"/>
          <w:sz w:val="18"/>
          <w:szCs w:val="18"/>
          <w:color w:val="auto"/>
        </w:rPr>
        <w:t>Dividends paid and payments to purchase common stock Payment of senior unsecured note Investment in Ultium Cells Holdings LLC</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Lithium Americas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available credit facilities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8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5"/>
        </w:trPr>
        <w:tc>
          <w:tcPr>
            <w:tcW w:w="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4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-1826260</wp:posOffset>
            </wp:positionV>
            <wp:extent cx="713295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-1536065</wp:posOffset>
            </wp:positionV>
            <wp:extent cx="7132955" cy="14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-1245870</wp:posOffset>
            </wp:positionV>
            <wp:extent cx="713295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-956310</wp:posOffset>
            </wp:positionV>
            <wp:extent cx="7132955" cy="144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-666115</wp:posOffset>
            </wp:positionV>
            <wp:extent cx="7132955" cy="170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80" w:space="720"/>
            <w:col w:w="494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1.6</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0.5</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1.0</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(0.9)</w:t>
            </w: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1.0</w:t>
            </w:r>
          </w:p>
        </w:tc>
      </w:tr>
      <w:tr>
        <w:trPr>
          <w:trHeight w:val="22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8"/>
              </w:rPr>
              <w:t>(1.5)</w:t>
            </w:r>
          </w:p>
        </w:tc>
      </w:tr>
      <w:tr>
        <w:trPr>
          <w:trHeight w:val="24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1.7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7" w:lineRule="exact"/>
        <w:rPr>
          <w:sz w:val="20"/>
          <w:szCs w:val="20"/>
          <w:color w:val="auto"/>
        </w:rPr>
      </w:pPr>
    </w:p>
    <w:p>
      <w:pPr>
        <w:ind w:left="340" w:hanging="333"/>
        <w:spacing w:after="0" w:line="247"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$1.7 billion and $3.5 billion in dividends received from GM Financial in the years ended December 31, 2023, 2022 and 2021, partially offset by non-cash changes in other assets and liabilities.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6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$4.8 billion, $6.7 billion and $0.6 billion in the years ended December 31, 2023, 2022 and 2021 which are eliminated within the consolidated statements of cash flows. Amounts eliminated primarily relate to purchases of, and collections on, wholesale finance receivables provided by GM Financial to our dealers and dividends issued by GM Financial to us.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8"/>
              </w:rPr>
              <w:t>(7.4)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8"/>
              </w:rPr>
              <w:t>(1.7)</w:t>
            </w: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536"/>
              <w:spacing w:after="0"/>
              <w:rPr>
                <w:sz w:val="20"/>
                <w:szCs w:val="20"/>
                <w:color w:val="auto"/>
              </w:rPr>
            </w:pPr>
            <w:r>
              <w:rPr>
                <w:rFonts w:ascii="Times New Roman" w:cs="Times New Roman" w:eastAsia="Times New Roman" w:hAnsi="Times New Roman"/>
                <w:sz w:val="18"/>
                <w:szCs w:val="18"/>
                <w:color w:val="auto"/>
                <w:w w:val="97"/>
              </w:rPr>
              <w:t>7.4</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8"/>
              </w:rPr>
              <w:t>(1.8)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2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8"/>
              </w:rPr>
              <w:t>(8.2)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8"/>
                <w:szCs w:val="18"/>
                <w:color w:val="auto"/>
                <w:w w:val="97"/>
              </w:rPr>
              <w:t>8.8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3"/>
        <w:spacing w:after="0" w:line="253" w:lineRule="auto"/>
        <w:tabs>
          <w:tab w:leader="none" w:pos="3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$0.7 billion, $0.8 billion and $0.5 billion of GM's investment in Ultium Cells Holdings LLC in the years ended December 31, 2023, 2022 and 2021, $0.5 billion, $2.4 billion and $1.0 billion of GM's investment in Cruise in the years ended December 31, 2023, 2022 and 2021, $0.3 billion of GM's investment in Lithium Americas in the year ended December 31, 2023, $2.1 billion for the purchase of Cruise preferred shares from SoftBank Vision Fund (AIV M2) L.P. (SoftBank) in the year ended December 31, 2022 and $0.9 billion related to the sale of Stellantis common shares, excluding dividends received and tax withholding, in the year ended December 31, 2022.</w:t>
      </w:r>
    </w:p>
    <w:p>
      <w:pPr>
        <w:spacing w:after="0" w:line="1" w:lineRule="exact"/>
        <w:rPr>
          <w:rFonts w:ascii="Times New Roman" w:cs="Times New Roman" w:eastAsia="Times New Roman" w:hAnsi="Times New Roman"/>
          <w:sz w:val="16"/>
          <w:szCs w:val="16"/>
          <w:color w:val="auto"/>
        </w:rPr>
      </w:pPr>
    </w:p>
    <w:p>
      <w:pPr>
        <w:ind w:left="340" w:hanging="333"/>
        <w:spacing w:after="0" w:line="270" w:lineRule="auto"/>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investments in Cruise are eliminated within the consolidated statements of cash flows. The redemption of Cruise preferred shares from SoftBank in 2022 are reclassified to financing activities within the consolidated statements of cash flows.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notes</w:t>
            </w:r>
          </w:p>
        </w:tc>
        <w:tc>
          <w:tcPr>
            <w:tcW w:w="26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8"/>
              </w:rPr>
              <w:t>(3.3)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8"/>
              </w:rPr>
              <w:t>(2.5)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right="20" w:hanging="333"/>
        <w:spacing w:after="0" w:line="259"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$10.0 billion in advances against accelerated share repurchases in the year ended December 31, 2023, $1.1 billion and $2.5 billion for payments to purchase common stock in the years ended December 31, 2023 and 2022, $0.5 billion and $0.3 billion for dividends paid in the years ended December 31, 2023 and 2022 and $0.5 billion for repayments of senior unsecured notes for the year ended December 31, 2021.</w:t>
      </w:r>
    </w:p>
    <w:p>
      <w:pPr>
        <w:spacing w:after="0" w:line="199"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For the year ended December 31, 2023, net automotive cash provided by operating activities under U.S. GAAP was $20.8 billion, capital expenditures were $10.7 billion and adjustments for management actions were $1.5 billion. For the year ended December 31, 2022, net automotive cash provided by operating activities under U.S. GAAP was $19.1 billion, capital expenditures were $9.0 billion and adjustments for management actions were $0.4 billion. Refer to the "Non-GAAP Measures" section of this MD&amp;A for additional information.</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(DBRS), Fitch Ratings (Fitch), Moody's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(Moody's) and S&amp;P. All four credit rating agencies currently rate our corporate credit at investment grade. The following table summarizes our credit ratings at January 16, 2024:</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Senior Unsecured</w:t>
            </w:r>
          </w:p>
        </w:tc>
        <w:tc>
          <w:tcPr>
            <w:tcW w:w="1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5"/>
        </w:trPr>
        <w:tc>
          <w:tcPr>
            <w:tcW w:w="40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DBRS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(high)</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Stable</w:t>
            </w: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Stable</w:t>
            </w:r>
          </w:p>
        </w:tc>
      </w:tr>
      <w:tr>
        <w:trPr>
          <w:trHeight w:val="22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Investment Grade</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Baa2</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Baa2</w:t>
            </w:r>
          </w:p>
        </w:tc>
        <w:tc>
          <w:tcPr>
            <w:tcW w:w="1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BBB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Cruise Liquidity</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Cruise's available liquidity (dollars in billions):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Cruise 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Cruise marketable securities</w:t>
            </w:r>
          </w:p>
        </w:tc>
        <w:tc>
          <w:tcPr>
            <w:tcW w:w="2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7"/>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Cruise available liquidity(a)(b)</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7" w:lineRule="exact"/>
        <w:rPr>
          <w:sz w:val="20"/>
          <w:szCs w:val="20"/>
          <w:color w:val="auto"/>
        </w:rPr>
      </w:pPr>
    </w:p>
    <w:p>
      <w:pPr>
        <w:jc w:val="both"/>
        <w:ind w:left="340" w:hanging="333"/>
        <w:spacing w:after="0" w:line="251" w:lineRule="auto"/>
        <w:tabs>
          <w:tab w:leader="none" w:pos="33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 multi-year credit agreement with GM Financial whereby Cruise can borrow, over time, up to an additional aggregate of $3.4 billion, through 2024, to fund the purchase of AVs from GM and all accessories, attachments, parts and other equipment acquired in connection with or otherwise relating to any AV. As of December 31, 2023, Cruise had total borrowings of $0.3 billion on previously expired lines under this agreement.</w:t>
      </w:r>
    </w:p>
    <w:p>
      <w:pPr>
        <w:ind w:left="340" w:hanging="333"/>
        <w:spacing w:after="0" w:line="272"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 multi-year framework agreement with us whereby Cruise can defer invoices received through June 2028, up to $0.8 billion, related to engineering and capital spending incurred by us on behalf of Cruise. As of December 31, 2023, Cruise deferred $0.5 billion under this agreement.</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29"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5" w:lineRule="exact"/>
        <w:rPr>
          <w:sz w:val="20"/>
          <w:szCs w:val="20"/>
          <w:color w:val="auto"/>
        </w:rPr>
      </w:pPr>
    </w:p>
    <w:p>
      <w:pPr>
        <w:jc w:val="center"/>
        <w:ind w:left="944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Cruise available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$0.2 billion cash outflows related to tendered Cruise Class B Common Shares classified as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(1.9)</w:t>
            </w:r>
          </w:p>
        </w:tc>
      </w:tr>
      <w:tr>
        <w:trPr>
          <w:trHeight w:val="228"/>
        </w:trPr>
        <w:tc>
          <w:tcPr>
            <w:tcW w:w="76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0.5</w:t>
            </w:r>
          </w:p>
        </w:tc>
      </w:tr>
      <w:tr>
        <w:trPr>
          <w:trHeight w:val="233"/>
        </w:trPr>
        <w:tc>
          <w:tcPr>
            <w:tcW w:w="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2"/>
        </w:trPr>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(1.6)</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93" w:lineRule="exact"/>
        <w:rPr>
          <w:sz w:val="20"/>
          <w:szCs w:val="20"/>
          <w:color w:val="auto"/>
        </w:rPr>
      </w:pPr>
    </w:p>
    <w:p>
      <w:pPr>
        <w:sectPr>
          <w:pgSz w:w="11900" w:h="16838" w:orient="portrait"/>
          <w:cols w:equalWidth="0" w:num="2">
            <w:col w:w="8740" w:space="720"/>
            <w:col w:w="1780"/>
          </w:cols>
          <w:pgMar w:left="320" w:top="363" w:right="339" w:bottom="1440" w:gutter="0" w:footer="0" w:header="0"/>
          <w:type w:val="continuous"/>
        </w:sectPr>
      </w:pP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5"/>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18"/>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7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8"/>
              </w:rPr>
              <w:t>(0.7)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558"/>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74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18"/>
              <w:spacing w:after="0"/>
              <w:rPr>
                <w:sz w:val="20"/>
                <w:szCs w:val="20"/>
                <w:color w:val="auto"/>
              </w:rPr>
            </w:pPr>
            <w:r>
              <w:rPr>
                <w:rFonts w:ascii="Times New Roman" w:cs="Times New Roman" w:eastAsia="Times New Roman" w:hAnsi="Times New Roman"/>
                <w:sz w:val="18"/>
                <w:szCs w:val="18"/>
                <w:color w:val="auto"/>
                <w:w w:val="98"/>
              </w:rPr>
              <w:t>(1.4)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billion of net proceeds from the liquidation of marketable securities in the year ended December 31, 2023.</w:t>
      </w:r>
    </w:p>
    <w:p>
      <w:pPr>
        <w:spacing w:after="0" w:line="8" w:lineRule="exact"/>
        <w:rPr>
          <w:rFonts w:ascii="Times New Roman" w:cs="Times New Roman" w:eastAsia="Times New Roman" w:hAnsi="Times New Roman"/>
          <w:sz w:val="16"/>
          <w:szCs w:val="16"/>
          <w:color w:val="auto"/>
        </w:rPr>
      </w:pPr>
    </w:p>
    <w:p>
      <w:pPr>
        <w:jc w:val="both"/>
        <w:ind w:left="340" w:hanging="333"/>
        <w:spacing w:after="0" w:line="259"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billion, $2.4 billion and $1.0 billion in the years ended December 31, 2023, 2022 and 2021 related to investments from GM which are eliminated within the consolidated statements of cash flows and $2.1 billion in the year ended December 31, 2022 related to the purchase of Softbank’s shares in Cruise by Automotive which is reclassified to financing activities within the consolidated statements of cash flows.</w:t>
      </w:r>
    </w:p>
    <w:p>
      <w:pPr>
        <w:spacing w:after="0" w:line="201"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We expect the orderly pause of operations, associated restructuring actions, and Cruise’s refocused operational strategy will significantly reduce Cruise’s liquidity needs in 2024.</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structures liquidity to support at least six months of GM Financial's expected net cash flows, including new originations, without access to new debt financing transactions or other capital markets activity. At December 31, 2023, available liquidity exceeded GM Financial's liquidity targets.</w:t>
      </w:r>
    </w:p>
    <w:p>
      <w:pPr>
        <w:spacing w:after="0" w:line="17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December 31, 2023 and 2022. Refer to the "Automotive Liquidity" section of this MD&amp;A for additional details.</w:t>
      </w:r>
    </w:p>
    <w:p>
      <w:pPr>
        <w:spacing w:after="0" w:line="201"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December 31, 2023, secured, committed unsecured and uncommitted unsecured credit facilities totaled $27.0 billion, $0.8 billion and $2.0 billion with advances outstanding of $5.0 billion, an insignificant amount and $2.0 billion.</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5"/>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538"/>
              <w:spacing w:after="0"/>
              <w:rPr>
                <w:sz w:val="20"/>
                <w:szCs w:val="20"/>
                <w:color w:val="auto"/>
              </w:rPr>
            </w:pPr>
            <w:r>
              <w:rPr>
                <w:rFonts w:ascii="Times New Roman" w:cs="Times New Roman" w:eastAsia="Times New Roman" w:hAnsi="Times New Roman"/>
                <w:sz w:val="18"/>
                <w:szCs w:val="18"/>
                <w:color w:val="auto"/>
                <w:w w:val="98"/>
              </w:rPr>
              <w:t>(0.9)</w:t>
            </w:r>
          </w:p>
        </w:tc>
        <w:tc>
          <w:tcPr>
            <w:tcW w:w="0" w:type="dxa"/>
            <w:vAlign w:val="bottom"/>
          </w:tcPr>
          <w:p>
            <w:pPr>
              <w:spacing w:after="0"/>
              <w:rPr>
                <w:sz w:val="1"/>
                <w:szCs w:val="1"/>
                <w:color w:val="auto"/>
              </w:rPr>
            </w:pPr>
          </w:p>
        </w:tc>
      </w:tr>
      <w:tr>
        <w:trPr>
          <w:trHeight w:val="22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38"/>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line="256"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 billion, $(5.0) billion and $2.9 billion in the years ended December 31, 2023, 2022 and 2021 for purchases of, and collections on, wholesale finance receivables and intercompany loans to GM which are eliminated within the consolidated statements of cash flows.</w:t>
      </w:r>
    </w:p>
    <w:p>
      <w:pPr>
        <w:spacing w:after="0" w:line="1"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$(1.7) billion and $(3.5) billion in the years ended December 31, 2023, 2022 and 2021 for dividends to GM which are eliminated within the consolidated statements of cash flows.</w:t>
      </w:r>
    </w:p>
    <w:p>
      <w:pPr>
        <w:spacing w:after="0" w:line="19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2023, Net cash provided by operating activities increased primarily due to: (1) an increase in finance charge income of $1.7 billion; (2) a net increase in cash provided by counterparty derivative collateral posting activities of $1.3 billion; (3) and a decrease in taxes paid to GM of $0.6 billion; partially offset by (4) an increase in interest paid of $2.0 billion and (5) a decrease in leased vehicle income of $0.5 billion.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2023, Net cash used in investing activities increased primarily due to: (1) an increase in purchases of leased vehicles of $1.7 billion; (2) a decrease in the proceeds from termination of leased vehicles of $1.2 billion partially offset by (3) an increase in collections and recoveries on finance receivables of $1.3 billion; (4) and a decrease in purchases and originations of finance receivables of $0.5 billion.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2023, Net cash provided by financing activities increased primarily due to: (1) a net increase in borrowings of $6.9 billion; partially offset by (2) an increase in debt repayments of $5.1 billion; and (3) an increase in dividend payments of $0.1 billion.</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LIBOR Transition </w:t>
      </w:r>
      <w:r>
        <w:rPr>
          <w:rFonts w:ascii="Times New Roman" w:cs="Times New Roman" w:eastAsia="Times New Roman" w:hAnsi="Times New Roman"/>
          <w:sz w:val="18"/>
          <w:szCs w:val="18"/>
          <w:color w:val="auto"/>
        </w:rPr>
        <w:t>The International Swaps and Derivatives Association launched its Interbank Offered Rate (IBOR) Fallbacks Supplement and IBOR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Fallbacks Protocol, which came into effect on January 25, 2021. The supplement incorporates fallbacks for new derivatives linked to LIBOR, and the protocol enables market participants to incorporate fallbacks for certain legacy derivatives linked to LIBOR. GM Financial adhered to the protocol prior to the June 30, 2023 cessation date and has transitioned all of its LIBOR-based derivative exposure. On March 15, 2022, Congress enacted the Adjustable Interest Rate (LIBOR) Act to address “tough legacy" contracts that lack adequate fallback provisions for determining a benchmark replacement to LIBOR. GM Financial expects to leverage the safe harbors and protections provided by the LIBOR Act and its implementing regulations to transition its limited LIBOR exposure remaining after the cessation date.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consolidated financial statements are prepared in conformity with U.S. GAAP, which requires the use of estimates,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Refer to Note 2 to our consolidated financial statements for our significant accounting policies related to our critical accounting estimates.</w:t>
      </w:r>
    </w:p>
    <w:p>
      <w:pPr>
        <w:spacing w:after="0" w:line="207"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Warranty and Recall Campaigns </w:t>
      </w:r>
      <w:r>
        <w:rPr>
          <w:rFonts w:ascii="Times New Roman" w:cs="Times New Roman" w:eastAsia="Times New Roman" w:hAnsi="Times New Roman"/>
          <w:sz w:val="18"/>
          <w:szCs w:val="18"/>
          <w:color w:val="auto"/>
        </w:rPr>
        <w:t>The estimates related to product warranties are established using historical information on the nature,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frequency and average cost of claims of each vehicle line or each model year of the vehicle line and assumptions about future activity and events. When little or no claims experience exists for a model year or a vehicle line, the estimate is based on comparable models.</w:t>
      </w:r>
    </w:p>
    <w:p>
      <w:pPr>
        <w:spacing w:after="0" w:line="20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We accrue the costs related to product warranty at the time of vehicle sale and we accrue the estimated cost of recall campaigns when they are probable and estimable.</w:t>
      </w:r>
    </w:p>
    <w:p>
      <w:pPr>
        <w:spacing w:after="0" w:line="18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estimates related to recall campaigns accrued at the time of vehicle sale are established by applying a paid loss approach that considers the number of historical recall campaigns and the estimated cost for each recall campaign. These estimates consider the nature, frequency and magnitude of historical recall campaigns, and use key assumptions including the number of historical periods and the weighting of historical data in the reserve studies. Costs associated with recall campaigns not accrued at the time of vehicle sale are estimated based on the estimated cost of repairs and the estimated vehicles to be repaired. Depending on part availability and time to complete repairs we may, from time to time, offer courtesy transportation at no cost to our customers. These estimates are re-evaluated on an ongoing basis and based on the best available information. Revisions are made when necessary based on changes in these factors.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estimated amount accrued for recall campaigns at the time of vehicle sale is most sensitive to the estimated number of recall events, the number of vehicles per recall event, the assumed number of vehicles that will be brought in by customers for repair (take rate) and the cost per vehicle for each recall event. The estimated cost of a recall campaign that is accrued on an individual basis is most sensitive to our estimated assumed take rate that is primarily developed based on our historical take rate experience. A 10% increase in the estimated take rate for all recall campaigns would increase the estimated cost by approximately $0.4 billion.</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8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Incentives </w:t>
      </w:r>
      <w:r>
        <w:rPr>
          <w:rFonts w:ascii="Times New Roman" w:cs="Times New Roman" w:eastAsia="Times New Roman" w:hAnsi="Times New Roman"/>
          <w:sz w:val="18"/>
          <w:szCs w:val="18"/>
          <w:color w:val="auto"/>
        </w:rPr>
        <w:t>The estimated effect of sales incentives offered to dealers and end customers is recorded as a reduction of Automotive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at the time of sale. There may be numerous types of incentives available at any particular time. Incentive programs are generally specific to brand, model or sales region and are for specified time periods, which may be extended. Significant factors used in estimating the cost of incentives include type of program, forecasted sales volume, product mix, and the rate of customer acceptance of incentive programs, all of which are estimated based on historical experience and assumptions concerning future customer behavior and market conditions. A change in any of these factors affecting the estimate could have a significant effect on recorded sales incentives. A 10% increase in the cost of incentives would increase the sales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incentive liability by approximately $0.2 billion. Subsequent adjustments to incentive estimates are possible as facts and circumstances change over time, which could affect the revenue previously recognized in Automotive net sales and revenue.</w:t>
      </w:r>
    </w:p>
    <w:p>
      <w:pPr>
        <w:spacing w:after="0" w:line="185" w:lineRule="exact"/>
        <w:rPr>
          <w:sz w:val="20"/>
          <w:szCs w:val="20"/>
          <w:color w:val="auto"/>
        </w:rPr>
      </w:pPr>
    </w:p>
    <w:p>
      <w:pPr>
        <w:jc w:val="both"/>
        <w:ind w:firstLine="161"/>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 Financial Allowance for Loan Losses </w:t>
      </w:r>
      <w:r>
        <w:rPr>
          <w:rFonts w:ascii="Times New Roman" w:cs="Times New Roman" w:eastAsia="Times New Roman" w:hAnsi="Times New Roman"/>
          <w:sz w:val="17"/>
          <w:szCs w:val="17"/>
          <w:color w:val="auto"/>
        </w:rPr>
        <w:t>The GM Financial retail finance receivables portfolio consists of smaller-balance, homogeneous loans that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carried at amortized cost, net of allowance for loan losses. The allowance for loan losses on retail finance receivables reflects net credit losses expected to be incurred over the remaining life of the retail finance receivables, which have a weighted-average remaining life of approximately two years. GM Financial forecasts net credit losses based on relevant information about past events, current conditions and forecast economic performance. GM Financial believes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19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incorporates its outlook on forecast recovery rates and overall economic performance in its allowance estimate. Each 5% relative decrease/increase in the forecast recovery rates would increase/decrease the allowance for loan losses by $0.1 billion.</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2023, the weightings applied to the economic forecast scenarios considered resulted in an allowance for loan losses on the retail finance receivables portfolio of $2.3 billion. If the forecast economic conditions were based entirely on the weakest scenario considered, the allowance for loan losses would increase by $0.1 billion. Actual economic data and recovery rates that are lower than those forecasted by GM Financial could result in an increase to the allowance for loan losses.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GM Financial commercial finance receivables portfolio consists of financing products for dealers and other businesses. GM Financial provides commercial lending products to its dealer customers that include floorplan financing, also known as wholesale or inventory financing, which is lending to finance vehicle inventory. GM Financial also provides dealer loans, which are loans to finance improvements to dealership facilities, to provide working capital, or to purchase and/or finance dealership real estate. Additionally, GM Financial provides lending products to commercial vehicle upfitters and advances to certain of our subsidiaries. The allowance for loan losses on commercial finance receivables is based on historical loss experience for the consolidated portfolio, in addition to forecasted industry conditions. There can be no assurance that the ultimate charge-off amount will not exceed such estimates or that GM Financial's credit loss assumptions will not increase.</w:t>
      </w:r>
    </w:p>
    <w:p>
      <w:pPr>
        <w:spacing w:after="0" w:line="20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GM Financial Equipment on Operating Lease Assets and Residuals </w:t>
      </w:r>
      <w:r>
        <w:rPr>
          <w:rFonts w:ascii="Times New Roman" w:cs="Times New Roman" w:eastAsia="Times New Roman" w:hAnsi="Times New Roman"/>
          <w:sz w:val="18"/>
          <w:szCs w:val="18"/>
          <w:color w:val="auto"/>
        </w:rPr>
        <w:t>GM Financial has investments in leased vehicles recorded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leases. Each leased asset in the portfolio represents a vehicle that GM Financial owns and has leased to a customer. At the inception of a lease, an estimate is made of the expected residual value for the vehicle at the end of the lease term, which typically ranges from two to five years. GM Financial estimates the expected residual value based on third-party data that considers various data points and assumptions, including, but not limited to, recent auction values, the expected future volume of returning leased vehicles, significant liquidation of rental or fleet inventory, used vehicle prices, manufacturer incentive programs and fuel prices.</w:t>
      </w:r>
    </w:p>
    <w:p>
      <w:pPr>
        <w:spacing w:after="0" w:line="21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term of a lease, GM Financial periodically evaluates the estimated residual value and may adjust the value downward, which increases the prospective depreciation, or upward (limited to the contractual residual value), which decreases the prospective depreciation.</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customer is obligated to make payments during the lease term for the difference between the purchase price and the contract residual value plus a money factor. However, since the customer is not obligated to purchase the vehicle at the end of the contract, GM Financial is exposed to a risk of loss to the extent the customer returns the vehicle prior to or at the end of the lease term and the proceeds GM Financial receives on the disposition of the vehicle are lower than the residual value estimated at the inception of the lease. Realization of the residual values is dependent on GM Financial's future ability to market the vehicles under prevailing market conditions.</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At December 31, 2023, the estimated residual value of GM Financial's leased vehicles was $22.7 billion. Depreciation reduces the carrying value of each leased asset in GM Financial's operating lease portfolio over time from its original acquisition value to its expected residual value at the end of the lease term. If used vehicle prices weaken compared to estimates, GM Financial would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 (2) leased vehicles, net less deferred revenue. Alternatively, if used vehicle prices outperform GM Financial's latest estimates, it may record gains on sales of off-lease vehicles and/or decreased depreciation expense.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illustrates the effect of a 1% relative change in the estimated residual values at December 31, 2023, which could increase or decrease depreciation expense over the remaining term of the leased vehicle portfolio, holding all other assumptions constant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Impact to Depreciation</w:t>
            </w:r>
          </w:p>
        </w:tc>
      </w:tr>
      <w:tr>
        <w:trPr>
          <w:trHeight w:val="195"/>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8"/>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Changes to residual values are rarely simultaneous across all maturities and segments, and also may impact return rates. If a decrease in residual values is concentrated among specific asset groups, the decrease could result in an immediate impairment charge. GM Financial reviewed the leased vehicle portfolio for indicators of impairment and determined that no impairment indicators were present at December 31, 2023 or 2022.</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and OPEB Plans </w:t>
      </w:r>
      <w:r>
        <w:rPr>
          <w:rFonts w:ascii="Times New Roman" w:cs="Times New Roman" w:eastAsia="Times New Roman" w:hAnsi="Times New Roman"/>
          <w:sz w:val="18"/>
          <w:szCs w:val="18"/>
          <w:color w:val="auto"/>
        </w:rPr>
        <w:t>Our defined benefit pension plans are accounted for on an actuarial basis, which requires the selection of various assumptions,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 expected long-term rate of return on plan assets, a discount rate, mortality rates of participants and expectation of mortality improvement. Our pension obligations include Korean statutory pension payments that are valued on a walk away basis. The expected long-term rate of return on U.S. plan assets that is utilized in determining pension expense is derived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2023, an investment policy study was completed for the U.S. pension plans. As a result, the weighted-average long-term rate of ROA remains unchanged at 6.3% at December 31, 2023 and 2022. The expected long-term rate of return on plan assets used in determining pension expense for non-U.S. plans is determined in a similar manner to the U.S. plans.</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Another key assumption in determining net pension and other postretirement benefits (OPEB) expense is the assumed discount rate used to discount plan obligations. We estimate the assumed discount rate for U.S. plans using a cash flow matching approach, which uses projected cash flows matched to spot rates along a high quality corporate bond yield curve to determine the weighted-average discount rate for the calculation of the present value of cash flows. We apply the individual annual yield curve rates instead of the assumed discount rate to determine the service cost and interest cost, which more specifically links the cash flows related to service cost and interest cost to bonds maturing in their year of payment.</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Society of Actuaries (SOA) issued mortality improvement tables in the three months ended December 31, 2023. We reviewed our recent mortality experience and we determined our current mortality assumptions are appropriate to measure our U.S. pension and OPEB plans obligations as of December 31, 2023.</w:t>
      </w:r>
    </w:p>
    <w:p>
      <w:pPr>
        <w:spacing w:after="0" w:line="204"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Significant differences in actual experience or significant changes in assumptions may materially affect the pension obligations. The effects of actual results differing from assumptions and the changing of assumptions are included in unamortized net actuarial gains and losses that are subject to amortization to pension expense over future periods. The unamortized pre-tax actuarial loss on our pension plans was $5.9 billion and $3.3 billion at December 31, 2023 and 2022. The year-over-year change is primarily due to a decrease in discount rates and lower than expected asset returns.</w:t>
      </w:r>
    </w:p>
    <w:p>
      <w:pPr>
        <w:spacing w:after="0" w:line="208"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The funded status of the U.S. pension plans deteriorated in the year ended December 31, 2023 to $2.2 billion underfunded status from $0.1 billion overfunded status primarily due to: (1) service and interest costs of $2.4 billion; (2) the unfavorable effect of a decrease in discount rates of $1.3 billion; and</w:t>
      </w:r>
    </w:p>
    <w:p>
      <w:pPr>
        <w:spacing w:after="0" w:line="1" w:lineRule="exact"/>
        <w:rPr>
          <w:sz w:val="20"/>
          <w:szCs w:val="20"/>
          <w:color w:val="auto"/>
        </w:rPr>
      </w:pPr>
    </w:p>
    <w:p>
      <w:pPr>
        <w:ind w:left="260" w:hanging="253"/>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effect of plan amendments of $0.8 billion; partially offset by (4) the favorable effect of actual returns on plan assets of $1.8 billion; and</w:t>
      </w:r>
    </w:p>
    <w:p>
      <w:pPr>
        <w:spacing w:after="0" w:line="8"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of $0.4 billion.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illustrates the sensitivity to a change in certain assumptions for the pension plans, holding all other assumptions constant: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20" w:type="dxa"/>
            <w:vAlign w:val="bottom"/>
          </w:tcPr>
          <w:p>
            <w:pPr>
              <w:spacing w:after="0"/>
              <w:rPr>
                <w:sz w:val="16"/>
                <w:szCs w:val="16"/>
                <w:color w:val="auto"/>
              </w:rPr>
            </w:pPr>
          </w:p>
        </w:tc>
        <w:tc>
          <w:tcPr>
            <w:tcW w:w="26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U.S. Plans(a)</w:t>
            </w:r>
          </w:p>
        </w:tc>
        <w:tc>
          <w:tcPr>
            <w:tcW w:w="2540" w:type="dxa"/>
            <w:vAlign w:val="bottom"/>
            <w:gridSpan w:val="3"/>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Non-U.S. Plans(a)</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 on 2024</w:t>
            </w:r>
          </w:p>
        </w:tc>
        <w:tc>
          <w:tcPr>
            <w:tcW w:w="12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9"/>
              </w:rPr>
              <w:t>Effect on</w:t>
            </w:r>
          </w:p>
        </w:tc>
        <w:tc>
          <w:tcPr>
            <w:tcW w:w="10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on 2024</w:t>
            </w:r>
          </w:p>
        </w:tc>
        <w:tc>
          <w:tcPr>
            <w:tcW w:w="12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Effect on</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gridSpan w:val="2"/>
            <w:vMerge w:val="continue"/>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PBO</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Expense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PBO</w:t>
            </w:r>
          </w:p>
        </w:tc>
        <w:tc>
          <w:tcPr>
            <w:tcW w:w="0" w:type="dxa"/>
            <w:vAlign w:val="bottom"/>
          </w:tcPr>
          <w:p>
            <w:pPr>
              <w:spacing w:after="0"/>
              <w:rPr>
                <w:sz w:val="1"/>
                <w:szCs w:val="1"/>
                <w:color w:val="auto"/>
              </w:rPr>
            </w:pPr>
          </w:p>
        </w:tc>
      </w:tr>
      <w:tr>
        <w:trPr>
          <w:trHeight w:val="22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8"/>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basis point decrease in expected rate of ROA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 basis point increase in expected rate of ROA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sensitivity does not include the effects of the individual annual yield curve rates applied for the calculation of the service and interest cost.</w:t>
      </w:r>
    </w:p>
    <w:p>
      <w:pPr>
        <w:spacing w:after="0" w:line="24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Refer to Note 15 to our consolidated financial statements for additional information on pension contributions, investment strategies, assumptions, the change in benefit obligations and related plan assets, pension funding requirements and future net benefit payments. Refer to Note 2 to our consolidated financial statements for a discussion of the inputs used to determine fair value for each significant asset class or category.</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Deferred Tax Assets </w:t>
      </w:r>
      <w:r>
        <w:rPr>
          <w:rFonts w:ascii="Times New Roman" w:cs="Times New Roman" w:eastAsia="Times New Roman" w:hAnsi="Times New Roman"/>
          <w:sz w:val="18"/>
          <w:szCs w:val="18"/>
          <w:color w:val="auto"/>
        </w:rPr>
        <w:t>The ability to realize deferred tax assets depends on the ability to generate sufficient taxable income within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carryback or carryforward periods provided for in the tax law for each applicable tax jurisdiction. The assessment regarding whether a valuation allowance is required or should be adjusted is based on an evaluation of possible sources of taxable income and also considers all available positive and negative evidence factors. Our accounting for the valuation of deferred tax assets represents our best estimate of future events. Changes in our current estimates, due to unanticipated market conditions, governmental legislative actions or events, could have a material effect on our ability to utilize deferred tax assets.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2023, valuation allowances against deferred tax assets were $7.0 billion. Refer to Note 17 to our consolidated financial statements for additional information on the composition of these valuation allowances and information on the $870 million income tax benefit resulting from the release of valuation allowances against deferred tax assets in Korea.</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earnings before interest and taxes (EBIT)-adjusted, presented net of noncontrolling interests; earnings before income taxes (EBT)-adjusted for our GM Financial segment; earnings per share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stockholders under U.S. GAAP to EBIT-adjusted:</w:t>
      </w:r>
    </w:p>
    <w:p>
      <w:pPr>
        <w:spacing w:after="0" w:line="284"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Voluntary separation program(a)</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Buick dealer strategy(b)</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Cruise restructuring(c)</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GM Korea wage litigation(d)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 asset sales(e)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Cruise compensation modifications(f)</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Russia exit(g)</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 royalty matters(h)</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8"/>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GM Brazil indirect tax matters(i)</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8"/>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Cadillac dealer strategy(j)</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120" w:hanging="333"/>
        <w:spacing w:after="0" w:line="247"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14" w:lineRule="exact"/>
        <w:rPr>
          <w:rFonts w:ascii="Times New Roman" w:cs="Times New Roman" w:eastAsia="Times New Roman" w:hAnsi="Times New Roman"/>
          <w:sz w:val="16"/>
          <w:szCs w:val="16"/>
          <w:color w:val="auto"/>
        </w:rPr>
      </w:pPr>
    </w:p>
    <w:p>
      <w:pPr>
        <w:jc w:val="both"/>
        <w:ind w:left="340" w:right="100" w:hanging="333"/>
        <w:spacing w:after="0" w:line="251" w:lineRule="auto"/>
        <w:tabs>
          <w:tab w:leader="none" w:pos="3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costs resulting from Cruise voluntarily pausing its driverless, supervised and manual AV operations in the U.S. while it examines its processes, systems and tools. The adjustments primarily consist of non-cash restructuring charges, supplier related charges and employee separation charges.</w:t>
      </w:r>
    </w:p>
    <w:p>
      <w:pPr>
        <w:ind w:left="340" w:right="100" w:hanging="333"/>
        <w:spacing w:after="0" w:line="254"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the unique events associated with Supreme Court of the Republic of Korea (Korea Supreme Court) decisions related to our salaried workers in 2021 and partial resolution of subcontractor matters in 2023.</w:t>
      </w: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one-time modification of Cruise stock incentive awards.</w:t>
      </w:r>
    </w:p>
    <w:p>
      <w:pPr>
        <w:spacing w:after="0" w:line="14" w:lineRule="exact"/>
        <w:rPr>
          <w:rFonts w:ascii="Times New Roman" w:cs="Times New Roman" w:eastAsia="Times New Roman" w:hAnsi="Times New Roman"/>
          <w:sz w:val="16"/>
          <w:szCs w:val="16"/>
          <w:color w:val="auto"/>
        </w:rPr>
      </w:pPr>
    </w:p>
    <w:p>
      <w:pPr>
        <w:ind w:left="340" w:right="100" w:hanging="333"/>
        <w:spacing w:after="0" w:line="247"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shutdown of our Russia business including the write off of our net investment and release of accumulated translation losses into earnings.</w:t>
      </w:r>
    </w:p>
    <w:p>
      <w:pPr>
        <w:spacing w:after="0" w:line="1" w:lineRule="exact"/>
        <w:rPr>
          <w:rFonts w:ascii="Times New Roman" w:cs="Times New Roman" w:eastAsia="Times New Roman" w:hAnsi="Times New Roman"/>
          <w:sz w:val="16"/>
          <w:szCs w:val="16"/>
          <w:color w:val="auto"/>
        </w:rPr>
      </w:pPr>
    </w:p>
    <w:p>
      <w:pPr>
        <w:ind w:left="340" w:right="120" w:hanging="333"/>
        <w:spacing w:after="0" w:line="254"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certain royalties accrued with respect to past-year vehicle sales in 2021 and the resolution of substantially all of these matters in 2022.</w:t>
      </w: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a settlement with third parties relating to retrospective recoveries of indirect taxes in Brazil realized in prior periods.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strategic activities to transition certain Cadillac dealers out of our dealer network as part of Cadillac's EV strategy.</w:t>
      </w: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r>
      <w:tr>
        <w:trPr>
          <w:trHeight w:val="195"/>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adjustments(c)</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Deemed dividend adjustment(d)</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 for adjustment details.</w:t>
      </w:r>
    </w:p>
    <w:p>
      <w:pPr>
        <w:spacing w:after="0" w:line="14" w:lineRule="exact"/>
        <w:rPr>
          <w:rFonts w:ascii="Times New Roman" w:cs="Times New Roman" w:eastAsia="Times New Roman" w:hAnsi="Times New Roman"/>
          <w:sz w:val="16"/>
          <w:szCs w:val="16"/>
          <w:color w:val="auto"/>
        </w:rPr>
      </w:pPr>
    </w:p>
    <w:p>
      <w:pPr>
        <w:ind w:left="360" w:hanging="353"/>
        <w:spacing w:after="0" w:line="227" w:lineRule="auto"/>
        <w:tabs>
          <w:tab w:leader="none" w:pos="3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ind w:left="420" w:hanging="413"/>
        <w:spacing w:after="0"/>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2023, the adjustment consists of tax benefit related to the release of a valuation allowance against deferred tax assets considered</w:t>
      </w:r>
    </w:p>
    <w:p>
      <w:pPr>
        <w:spacing w:after="0" w:line="4" w:lineRule="exact"/>
        <w:rPr>
          <w:sz w:val="20"/>
          <w:szCs w:val="20"/>
          <w:color w:val="auto"/>
        </w:rPr>
      </w:pPr>
    </w:p>
    <w:p>
      <w:pPr>
        <w:jc w:val="both"/>
        <w:ind w:left="340"/>
        <w:spacing w:after="0" w:line="238" w:lineRule="auto"/>
        <w:rPr>
          <w:sz w:val="20"/>
          <w:szCs w:val="20"/>
          <w:color w:val="auto"/>
        </w:rPr>
      </w:pPr>
      <w:r>
        <w:rPr>
          <w:rFonts w:ascii="Times New Roman" w:cs="Times New Roman" w:eastAsia="Times New Roman" w:hAnsi="Times New Roman"/>
          <w:sz w:val="16"/>
          <w:szCs w:val="16"/>
          <w:color w:val="auto"/>
        </w:rPr>
        <w:t>realizable in Korea. In the year ended December 31, 2022, the adjustment consists of tax benefit related to the release of a valuation allowance against deferred tax assets considered realizable as a result of Cruise tax reconsolidation. In the year ended December 31, 2021, the adjustments consist of tax benefits related to a deduction for an investment in a subsidiary and resolution of uncertainty relating to an indirect tax refund claim in Brazil, partially offset by tax expense related to the establishment of a valuation allowance against Cruise deferred tax assets. These adjustments were excluded because significant impacts of valuation allowances are not considered part of our core operations.</w:t>
      </w:r>
    </w:p>
    <w:p>
      <w:pPr>
        <w:spacing w:after="0" w:line="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(d)</w:t>
        <w:tab/>
        <w:t>This adjustment consists of a deemed dividend related to the redemption of Cruise preferred shares from SoftBank in the year ended December 31, 2022.</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1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1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7"/>
        </w:trPr>
        <w:tc>
          <w:tcPr>
            <w:tcW w:w="1700" w:type="dxa"/>
            <w:vAlign w:val="bottom"/>
          </w:tcPr>
          <w:p>
            <w:pPr>
              <w:spacing w:after="0"/>
              <w:rPr>
                <w:sz w:val="11"/>
                <w:szCs w:val="11"/>
                <w:color w:val="auto"/>
              </w:rPr>
            </w:pPr>
          </w:p>
        </w:tc>
        <w:tc>
          <w:tcPr>
            <w:tcW w:w="11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60" w:type="dxa"/>
            <w:vAlign w:val="bottom"/>
            <w:gridSpan w:val="2"/>
          </w:tcPr>
          <w:p>
            <w:pPr>
              <w:jc w:val="right"/>
              <w:ind w:right="2"/>
              <w:spacing w:after="0" w:line="137"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2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20" w:type="dxa"/>
            <w:vAlign w:val="bottom"/>
          </w:tcPr>
          <w:p>
            <w:pPr>
              <w:spacing w:after="0"/>
              <w:rPr>
                <w:sz w:val="11"/>
                <w:szCs w:val="11"/>
                <w:color w:val="auto"/>
              </w:rPr>
            </w:pPr>
          </w:p>
        </w:tc>
        <w:tc>
          <w:tcPr>
            <w:tcW w:w="112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00" w:type="dxa"/>
            <w:vAlign w:val="bottom"/>
          </w:tcPr>
          <w:p>
            <w:pPr>
              <w:spacing w:after="0"/>
              <w:rPr>
                <w:sz w:val="11"/>
                <w:szCs w:val="11"/>
                <w:color w:val="auto"/>
              </w:rPr>
            </w:pPr>
          </w:p>
        </w:tc>
        <w:tc>
          <w:tcPr>
            <w:tcW w:w="78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Effective tax</w:t>
            </w: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80" w:type="dxa"/>
            <w:vAlign w:val="bottom"/>
          </w:tcPr>
          <w:p>
            <w:pPr>
              <w:spacing w:after="0"/>
              <w:rPr>
                <w:sz w:val="11"/>
                <w:szCs w:val="11"/>
                <w:color w:val="auto"/>
              </w:rPr>
            </w:pPr>
          </w:p>
        </w:tc>
        <w:tc>
          <w:tcPr>
            <w:tcW w:w="780" w:type="dxa"/>
            <w:vAlign w:val="bottom"/>
          </w:tcPr>
          <w:p>
            <w:pPr>
              <w:jc w:val="right"/>
              <w:ind w:right="23"/>
              <w:spacing w:after="0" w:line="137" w:lineRule="exact"/>
              <w:rPr>
                <w:sz w:val="20"/>
                <w:szCs w:val="20"/>
                <w:color w:val="auto"/>
              </w:rPr>
            </w:pPr>
            <w:r>
              <w:rPr>
                <w:rFonts w:ascii="Times New Roman" w:cs="Times New Roman" w:eastAsia="Times New Roman" w:hAnsi="Times New Roman"/>
                <w:sz w:val="14"/>
                <w:szCs w:val="14"/>
                <w:b w:val="1"/>
                <w:bCs w:val="1"/>
                <w:color w:val="auto"/>
                <w:w w:val="99"/>
              </w:rPr>
              <w:t>Income tax</w:t>
            </w:r>
          </w:p>
        </w:tc>
        <w:tc>
          <w:tcPr>
            <w:tcW w:w="120" w:type="dxa"/>
            <w:vAlign w:val="bottom"/>
          </w:tcPr>
          <w:p>
            <w:pPr>
              <w:spacing w:after="0"/>
              <w:rPr>
                <w:sz w:val="11"/>
                <w:szCs w:val="11"/>
                <w:color w:val="auto"/>
              </w:rPr>
            </w:pPr>
          </w:p>
        </w:tc>
        <w:tc>
          <w:tcPr>
            <w:tcW w:w="980" w:type="dxa"/>
            <w:vAlign w:val="bottom"/>
          </w:tcPr>
          <w:p>
            <w:pPr>
              <w:jc w:val="right"/>
              <w:ind w:right="45"/>
              <w:spacing w:after="0" w:line="137" w:lineRule="exact"/>
              <w:rPr>
                <w:sz w:val="20"/>
                <w:szCs w:val="20"/>
                <w:color w:val="auto"/>
              </w:rPr>
            </w:pPr>
            <w:r>
              <w:rPr>
                <w:rFonts w:ascii="Times New Roman" w:cs="Times New Roman" w:eastAsia="Times New Roman" w:hAnsi="Times New Roman"/>
                <w:sz w:val="14"/>
                <w:szCs w:val="14"/>
                <w:b w:val="1"/>
                <w:bCs w:val="1"/>
                <w:color w:val="auto"/>
              </w:rPr>
              <w:t>Effective tax</w:t>
            </w:r>
          </w:p>
        </w:tc>
      </w:tr>
      <w:tr>
        <w:trPr>
          <w:trHeight w:val="193"/>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0" w:type="dxa"/>
            <w:vAlign w:val="bottom"/>
          </w:tcPr>
          <w:p>
            <w:pPr>
              <w:spacing w:after="0"/>
              <w:rPr>
                <w:sz w:val="16"/>
                <w:szCs w:val="16"/>
                <w:color w:val="auto"/>
              </w:rPr>
            </w:pP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80" w:type="dxa"/>
            <w:vAlign w:val="bottom"/>
          </w:tcPr>
          <w:p>
            <w:pPr>
              <w:spacing w:after="0"/>
              <w:rPr>
                <w:sz w:val="16"/>
                <w:szCs w:val="16"/>
                <w:color w:val="auto"/>
              </w:rPr>
            </w:pPr>
          </w:p>
        </w:tc>
        <w:tc>
          <w:tcPr>
            <w:tcW w:w="78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98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4"/>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r>
      <w:tr>
        <w:trPr>
          <w:trHeight w:val="22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adjustments(b)</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8"/>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13,818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13,442</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21.8 %</w:t>
            </w: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8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 for adjustment details. Net income attributable to noncontrolling interests for these adjustments is included in the years ended December 31, 2023, 2022 and 2021. The tax effect of each adjustment is determined based on the tax laws and valuation allowance status of the jurisdiction to which the adjustment relates.</w:t>
      </w:r>
    </w:p>
    <w:p>
      <w:pPr>
        <w:ind w:left="360" w:hanging="353"/>
        <w:spacing w:after="0"/>
        <w:tabs>
          <w:tab w:leader="none" w:pos="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this section of the MD&amp;A for adjustment details.</w:t>
      </w:r>
    </w:p>
    <w:p>
      <w:pPr>
        <w:spacing w:after="0" w:line="237"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72.0</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56.5</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17.7 %</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34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14.3</w:t>
            </w:r>
          </w:p>
        </w:tc>
      </w:tr>
      <w:tr>
        <w:trPr>
          <w:trHeight w:val="22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72.0</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56.5</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17.1</w:t>
            </w:r>
          </w:p>
        </w:tc>
      </w:tr>
      <w:tr>
        <w:trPr>
          <w:trHeight w:val="22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8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15.8</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net income tax asset</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(22.2)</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21.3 %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the MD&amp;A.</w:t>
      </w:r>
    </w:p>
    <w:p>
      <w:pPr>
        <w:spacing w:after="0" w:line="14"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65" w:lineRule="auto"/>
        <w:tabs>
          <w:tab w:leader="none" w:pos="25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new products, services, technologies and customer experiences in response to increased competition and changing consumer needs and preferences; (2) our ability to timely fund and introduce new and improved vehicle models, including electric vehicles, that are able to attract a sufficient number of consumers; (3) our ability to profitably deliver a strategic portfolio of electric vehicles that will help drive consumer adoption; (4) the success of our current line of ICE vehicles, particularly our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including the various regulatory approvals and permits required for operating driverless AVs in multiple markets; (7) risks associated with climate change, including increased regulation of GHG emissions, our transition to electric vehicles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(13) 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(16)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cyberattacks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information of our customers, employees, or suppliers; (19) our ability to comply with extensive laws, regulations and policies applicable to our operations and products, including those relating to fuel economy, emissions and autonomous vehicles; (20) costs and risks associated with litigation and government investigations; (21) the costs and effect on our reputation of product safety recalls and alleged defects in products and services;</w:t>
      </w:r>
    </w:p>
    <w:p>
      <w:pPr>
        <w:spacing w:after="0" w:line="1" w:lineRule="exact"/>
        <w:rPr>
          <w:sz w:val="20"/>
          <w:szCs w:val="20"/>
          <w:color w:val="auto"/>
        </w:rPr>
      </w:pPr>
    </w:p>
    <w:p>
      <w:pPr>
        <w:jc w:val="both"/>
        <w:ind w:firstLine="7"/>
        <w:spacing w:after="0" w:line="253" w:lineRule="auto"/>
        <w:tabs>
          <w:tab w:leader="none" w:pos="3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tax expense or exposure or failure to fully realize available tax incentives; (23) our continued ability to develop captive financing capability through GM Financial; and (24) any significant increase in our pension funding requirements. For a further discussion of these and other risks and uncertainties, refer to Part I, Item 1A. Risk Factors.</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overall financial risk management program is under the responsibility of the Chief Financial Officer with support from the Financial Risk Council, which reviews and, where appropriate, approves strategies to be pursued to mitigate these risks. The Financial Risk Council comprises members of our management and functions under the oversight of the Audit Committee and Finance Committee of the Board of Directors. The Audit Committee and Finance Committee assist and guide the Board of Directors in its oversight of our financial and risk management strategies. A risk management control framework is utilized to monitor the strategies, risks and related hedge positions in accordance with the policies and procedures approved by the Financial Risk Council. Our financial risk management policy is designed to protect against risk arising from extreme adverse market movements on our key exposures.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analyses provide quantitative information regarding exposure to foreign currency exchange rate risk and interest rate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Sensitivity analysis is used to measure the potential loss in the fair value of financial instruments with exposure to market risk. The models used assume instantaneous, parallel shifts in exchange rates and interest rate yield curves.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exposures and offsetting long-short positions in currency or other exposures, such as interest rates, which may significantly reduce the potential loss in value.</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We have foreign currency exposures related to buying, selling and financing in currencies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currencies of our operations. At December 31, 2023, our most significant foreign currency exposures were between the U.S. Dollar and the Canadian Dollar, Korean Won, Chinese Yuan, Mexican Peso and Brazilian Real. Derivative instruments such as foreign currency forwards, swaps and options are primarily used to hedge exposures with respect to forecasted revenues, costs and commitments denominated in foreign currencies. Such contracts had remaining maturities of up to 12 months at December 31, 2023 and were insignificant.</w:t>
      </w:r>
    </w:p>
    <w:p>
      <w:pPr>
        <w:spacing w:after="0" w:line="18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net fair value liability of financial instruments with exposure to foreign currency risk was $0.4 billion and $0.2 billion at December 31, 2023 and 2022. These amounts are calculated utilizing a population of foreign currency exchange derivatives and foreign currency denominated debt and exclude the offsetting effect of foreign currency cash, cash equivalents and other assets. The potential loss in fair value for such financial instruments from a 10% adverse change in all quoted foreign currency exchange rates would have been insignificant at December 31, 2023 and 2022.</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and remeasurement of the results of certain international operations into U.S. Dollars as part of the consolidation process. Fluctuations in foreign currency exchange rates can therefore create volatility in the results of operations and may adversely affect our financial condition.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amounts of automotive foreign currency translation,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(37)</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173</w:t>
            </w:r>
          </w:p>
        </w:tc>
      </w:tr>
    </w:tbl>
    <w:p>
      <w:pPr>
        <w:spacing w:after="0" w:line="29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We are subject to market risk from exposure to changes in interest rates related to certain financial instruments, primarily debt,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obligations and certain marketable debt securities. At December 31, 2023, interest rate swap positions were used to manage interest rate exposures in our automotive operations and were insignificant. The fair value of debt and finance leases was $16.5 billion and $16.8 billion at December 31, 2023 and 2022. The potential increase in fair value resulting from a 10% decrease in quoted interest rates would have been $0.7 billion and $0.8 billion at December 31, 2023 and 2022.</w:t>
      </w:r>
    </w:p>
    <w:p>
      <w:pPr>
        <w:spacing w:after="0" w:line="208" w:lineRule="exact"/>
        <w:rPr>
          <w:sz w:val="20"/>
          <w:szCs w:val="20"/>
          <w:color w:val="auto"/>
        </w:rPr>
      </w:pPr>
    </w:p>
    <w:p>
      <w:pPr>
        <w:jc w:val="both"/>
        <w:ind w:right="20" w:firstLine="161"/>
        <w:spacing w:after="0" w:line="310" w:lineRule="auto"/>
        <w:rPr>
          <w:sz w:val="20"/>
          <w:szCs w:val="20"/>
          <w:color w:val="auto"/>
        </w:rPr>
      </w:pPr>
      <w:r>
        <w:rPr>
          <w:rFonts w:ascii="Times New Roman" w:cs="Times New Roman" w:eastAsia="Times New Roman" w:hAnsi="Times New Roman"/>
          <w:sz w:val="17"/>
          <w:szCs w:val="17"/>
          <w:color w:val="auto"/>
        </w:rPr>
        <w:t>We had marketable debt securities, including those held by Cruise, of $7.6 billion and $12.2 billion classified as available-for-sale at December 31, 2023 and 2022. The potential decrease in fair value from a 50 basis point increase in interest rates would have been insignificant at December 31,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Fluctuations in market interest rates can affect GM Financial's gross interest rate spread, which is the difference between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on finance receivables and interest paid on debt. GM Financial is exposed to interest rate risks as financial assets and liabilities have different characteristics that may impact financial performance. These differences may include tenor, yield, repricing timing and prepayment expectations. Typically, retail finance receivables and leases purchased by GM Financial earn fixed interest and commercial finance receivables originated by GM Financial earn variable interest. GM Financial funds its business with variable or fixed rate debt. The variable rate debt is subject to adjustments to reflect prevailing market interest rates. To help mitigate interest rate risk or mismatched funding, GM Financial may employ hedging.</w:t>
      </w:r>
    </w:p>
    <w:p>
      <w:pPr>
        <w:spacing w:after="0" w:line="207"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Quantitative Disclosure </w:t>
      </w:r>
      <w:r>
        <w:rPr>
          <w:rFonts w:ascii="Times New Roman" w:cs="Times New Roman" w:eastAsia="Times New Roman" w:hAnsi="Times New Roman"/>
          <w:sz w:val="18"/>
          <w:szCs w:val="18"/>
          <w:color w:val="auto"/>
        </w:rPr>
        <w:t>GM Financial measures the sensitivity of its net interest income to changes in interest rates by using interest rate scenarios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assume a hypothetical, instantaneous parallel shift of one hundred basis points in all interest rates across all maturities, as well as a base case that assumes that rates perform at the current market forward curve. However, interest rate changes are rarely instantaneous or parallel and rates could move more or less than the one percentage point assumed in GM Financial's analysis. Therefore, the actual impact to net interest income could be higher or lower than the results detailed in the table below. These interest rate scenarios are purely hypothetical and do not represent GM Financial's view of future interest rate movements.</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At December 31, 2023 and 2022, GM Financial was liability-sensitive, meaning that more liabilities than assets were expected to reprice within the next 12 months. During a period of rising interest rates, the interest paid on liabilities would increase more than the interest earned on assets, which would initially decrease net interest income. During a period of falling interest rates, net interest income would be expected to initially increase. GM Financial's hedging strategies approved by its Global Asset Liability Committee are used to manage interest rate risk within policy guidelines.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GM Financial's net interest income sensitivity to interest rate movement: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increase in interest rates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hundred basis points instantaneous decrease in interest rates(a)</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41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sensitivity given a one hundred basis point decrease in interest rates requires an assumption of negative interest rates in markets where existing interest rates are below one percent.</w:t>
      </w:r>
    </w:p>
    <w:p>
      <w:pPr>
        <w:spacing w:after="0" w:line="188"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Model Assumptions </w:t>
      </w:r>
      <w:r>
        <w:rPr>
          <w:rFonts w:ascii="Times New Roman" w:cs="Times New Roman" w:eastAsia="Times New Roman" w:hAnsi="Times New Roman"/>
          <w:sz w:val="18"/>
          <w:szCs w:val="18"/>
          <w:color w:val="auto"/>
        </w:rPr>
        <w:t>The sensitivity analysis presented is GM Financial's best estimate of the effect of the hypothetical interest rate scenarios;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actual results could differ. The estimates are also based on assumptions including</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amortization and prepayment of the finance receivable portfolio, originations of finance receivables and leases, refinancing of maturing debt, replacement of maturing derivatives and exercise of options embedded in debt and derivatives. The prepayment projections are based on historical experience. If interest rates or other factors change, actual prepayment experience could be different than projected.</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Exchange Rate Risk </w:t>
      </w:r>
      <w:r>
        <w:rPr>
          <w:rFonts w:ascii="Times New Roman" w:cs="Times New Roman" w:eastAsia="Times New Roman" w:hAnsi="Times New Roman"/>
          <w:sz w:val="18"/>
          <w:szCs w:val="18"/>
          <w:color w:val="auto"/>
        </w:rPr>
        <w:t>GM Financial is exposed to foreign currency risk due to the translation and remeasurement of the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international operations into U.S. Dollars as part of the consolidation process. Fluctuations in foreign currency exchange rates can therefore create volatility in the results of operations and may adversely affect GM Financial's financial condition.</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 primarily finances its receivables and leased assets with debt in the same currency. When a different currency is used, GM Financial may use foreign currency swaps to convert substantially all of its foreign currency debt obligations to the local currency of the receivables and leased assets to minimize any impact to earnings. As a result, GM Financial believes its market risk exposure relating to changes in currency exchange rates at December 31, 2023 was insignificant.</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had foreign currency swaps with notional amounts of $8.0 billion and $6.9 billion at December 31, 2023 and 2022. The net fair value of these derivative financial instruments was a liability of $0.2 billion and $0.6 billion at December 31, 2023 and 2022.</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foreign currency translation, transaction and remeasurement (gains) losses: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5"/>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(gains) losses recorded in Accumulated other comprehensive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remeasurement (gains) losses recorded in earnings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General Motors Company and subsidiaries (the Company) as of December 31, 2023 and 2022, the related consolidated income statements and consolidated statements of comprehensive income, cash flows and equity for each of the three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January 30, 2024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Product warranty and recall campaigns</w:t>
            </w:r>
          </w:p>
        </w:tc>
        <w:tc>
          <w:tcPr>
            <w:tcW w:w="0" w:type="dxa"/>
            <w:vAlign w:val="bottom"/>
          </w:tcPr>
          <w:p>
            <w:pPr>
              <w:spacing w:after="0"/>
              <w:rPr>
                <w:sz w:val="1"/>
                <w:szCs w:val="1"/>
                <w:color w:val="auto"/>
              </w:rPr>
            </w:pPr>
          </w:p>
        </w:tc>
      </w:tr>
      <w:tr>
        <w:trPr>
          <w:trHeight w:val="223"/>
        </w:trPr>
        <w:tc>
          <w:tcPr>
            <w:tcW w:w="2260" w:type="dxa"/>
            <w:vAlign w:val="bottom"/>
            <w:vMerge w:val="continue"/>
          </w:tcPr>
          <w:p>
            <w:pPr>
              <w:spacing w:after="0"/>
              <w:rPr>
                <w:sz w:val="19"/>
                <w:szCs w:val="19"/>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As discussed in Note 12 to the financial statements, the liabilities for product warranty and recall campaigns amount to</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$9.3 billion at December 31, 2023. The Company accrues for costs related to product warranty at the time of vehicle</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 and accrues the estimated cost of recall campaigns when they are probable and estimable.</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Auditing these liabilities involved a high degree of subjectivity in evaluating management’s estimates due to the size,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uncertainties, and potential volatility related to the estimated liabilities. Management’s estimates consider historical</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claims experience, including the nature, frequency, and average cost of claims of each vehicle line or each model year</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the vehicle line, and the key assumptions of historical data being predictive of future activity and events,</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specifically the number of historical periods used and the weighting of historical data in the reserve studies.</w:t>
            </w:r>
          </w:p>
        </w:tc>
        <w:tc>
          <w:tcPr>
            <w:tcW w:w="0" w:type="dxa"/>
            <w:vAlign w:val="bottom"/>
          </w:tcPr>
          <w:p>
            <w:pPr>
              <w:spacing w:after="0"/>
              <w:rPr>
                <w:sz w:val="1"/>
                <w:szCs w:val="1"/>
                <w:color w:val="auto"/>
              </w:rPr>
            </w:pPr>
          </w:p>
        </w:tc>
      </w:tr>
      <w:tr>
        <w:trPr>
          <w:trHeight w:val="820"/>
        </w:trPr>
        <w:tc>
          <w:tcPr>
            <w:tcW w:w="2260" w:type="dxa"/>
            <w:vAlign w:val="bottom"/>
          </w:tcPr>
          <w:p>
            <w:pPr>
              <w:spacing w:after="0"/>
              <w:rPr>
                <w:sz w:val="24"/>
                <w:szCs w:val="24"/>
                <w:color w:val="auto"/>
              </w:rPr>
            </w:pPr>
          </w:p>
        </w:tc>
        <w:tc>
          <w:tcPr>
            <w:tcW w:w="89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56"/>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product warranty and recall campaign processes. We tested internal controls over management’s review of the valuation models and significant assumptions for product warranty and recall, including the warranty claims forecasted based on the frequency and average cost per warranty claim for product warranty, and the cost estimates related to recall campaigns. Our audit also included the evaluation of controls that address the completeness and accuracy of the data utilized in the valuation models.</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 procedures related to product warranty and recall campaigns also included, among others, evaluating the Company’s estimation methodology, the related significant assumptions and underlying data, and performing analytical procedures to corroborate cost per vehicle based on historical claims data. Furthermore, we performed sensitivity analyses to evaluate the significant judgments made by management, including cost estimates to evaluate the impact on reserves from changes in assumptions. We performed analysis over the vehicle lines and model years that had little or no claims experience to ensure the vehicle and model substitutions are comparable. We also involved actuarial specialists to evaluate the methodologies and assumptions, and to test the actuarial calculations used by 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incentives</w:t>
      </w:r>
    </w:p>
    <w:p>
      <w:pPr>
        <w:spacing w:after="0" w:line="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Automotive sales and revenue represents the amount of consideration to which the Company expects to be entitled in exchange for transferring goods or providing services, which is net of dealer and customer sales incentives the Company expects to pay. As discussed in Note 2 to the financial statements, provisions for dealer and customer incentives are recorded as a reduction to Automotive net sales and revenue at the time of vehicle sale. The liabilities for dealer and customer allowances, claims and discounts amount to $6.1 billion at December 31, 2023.</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Auditing the estimate of sales incentives involved a high degree of judgment. Significant factors used by the Company in estimating its liability for retail incentives include type of program, forecasted sales volumes, product mix, and the rate of customer acceptance of incentive programs, all of which are estimated based on historical experience and assumptions concerning future customer behavior and market conditions. The Company’s estimation model reflects the best estimate of the total incentive amount that the Company reasonably expects to pay at the time of sale. The estimated cost of incentives is forward-looking, and could be materially affected by future economic and market conditions.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internal controls over the Company’s sales incentive process, including management’s review of the estimation model, the significant assumptions (e.g., incentive cost per unit, customer take rate, and market conditions), and the data inputs used in the model.</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the performance of analytical procedures to develop an independent range of the liability for retail incentives as of the balance sheet date. Our independent range was developed for comparison to the Company’s recorded liability, and is based on historical claims, forecasted spend, and the specific vehicle mix of current dealer stock. In addition, we performed sensitivity analyses over the cost per unit assumption developed by management to evaluate the impact on the liability resulting from a change in the assumption. Lastly, we assessed management’s forecasting process by performing quarterly hindsight analyses to assess the adequacy of prior forecasts.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GM Financial equipment on operating leases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GM Financial has recorded investments in vehicles leased to retail customers under operating leases. As discussed in Note 2 to the financial statements, at the beginning of the lease, management establishes an expected residual value for each vehicle at the end of the lease term. The Company’s estimated residual value of leased vehicles at the end of lease term was $22.7 billion as of December 31, 2023.</w:t>
      </w:r>
    </w:p>
    <w:p>
      <w:pPr>
        <w:spacing w:after="0" w:line="200" w:lineRule="exact"/>
        <w:rPr>
          <w:sz w:val="20"/>
          <w:szCs w:val="20"/>
          <w:color w:val="auto"/>
        </w:rPr>
      </w:pPr>
    </w:p>
    <w:p>
      <w:pPr>
        <w:spacing w:after="0" w:line="3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226060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2380" w:space="280"/>
            <w:col w:w="8520"/>
          </w:cols>
          <w:pgMar w:left="320" w:top="363"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3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estimate of the residual value of leased vehicles involved a high degree of judgment. Management’s estimate is based, in part, on third-party data which considers inputs including recent auction values and significant assumptions regarding the expected future volume of leased vehicles that will be returned to the Company, used car prices, manufacturer incentive programs and fuel prices. Realization of the residual values is dependent on the future ability to market the vehicles under future prevailing market conditions.</w:t>
      </w:r>
    </w:p>
    <w:p>
      <w:pPr>
        <w:spacing w:after="0" w:line="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evaluated the design and tested the operating effectiveness of the Company’s controls over the lease residual estimation process, including controls over management’s review of residual value estimates obtained from the Company’s third-party provider and other significant assumptions.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procedures also included, among others, independently recalculating depreciation related to equipment on operating leases and performing sensitivity analyses related to significant assumptions. We also performed hindsight analyses to assess the propriety of management’s estimate of residual values, as well as tested the completeness and accuracy of data from underlying systems and data warehouses that are used in the estimation models.</w:t>
      </w:r>
    </w:p>
    <w:p>
      <w:pPr>
        <w:spacing w:after="0" w:line="200" w:lineRule="exact"/>
        <w:rPr>
          <w:sz w:val="20"/>
          <w:szCs w:val="20"/>
          <w:color w:val="auto"/>
        </w:rPr>
      </w:pPr>
    </w:p>
    <w:p>
      <w:pPr>
        <w:sectPr>
          <w:pgSz w:w="11900" w:h="16838" w:orient="portrait"/>
          <w:cols w:equalWidth="0" w:num="2">
            <w:col w:w="2380" w:space="280"/>
            <w:col w:w="8520"/>
          </w:cols>
          <w:pgMar w:left="320" w:top="363" w:right="39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63" w:right="3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General Motors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audited General Motors Company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General Motors Company and subsidiaries (the Company) maintained, in all material respects, effective internal control over financial reporting as of December 31, 2023, based on the COSO criteria.</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income statements and consolidated statements of comprehensive income, cash flows and equity for each of the three years in the period ended December 31, 2023, and the related notes and our report dated January 30, 2024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113,590</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13,414</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 and revenue (Note 3)</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171,842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127,004</w:t>
            </w: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100,544</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r>
      <w:tr>
        <w:trPr>
          <w:trHeight w:val="20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162,544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146,421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117,680</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 (Note 19)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12,716</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r>
      <w:tr>
        <w:trPr>
          <w:trHeight w:val="21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9,837</w:t>
            </w:r>
          </w:p>
        </w:tc>
      </w:tr>
      <w:tr>
        <w:trPr>
          <w:trHeight w:val="107"/>
        </w:trPr>
        <w:tc>
          <w:tcPr>
            <w:tcW w:w="7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21)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54"/>
        </w:trPr>
        <w:tc>
          <w:tcPr>
            <w:tcW w:w="7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20)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Defined benefit plans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w:t>
            </w:r>
          </w:p>
        </w:tc>
      </w:tr>
      <w:tr>
        <w:trPr>
          <w:trHeight w:val="211"/>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14,151</w:t>
            </w:r>
          </w:p>
        </w:tc>
      </w:tr>
      <w:tr>
        <w:trPr>
          <w:trHeight w:val="21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stockholders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14,238</w:t>
            </w:r>
          </w:p>
        </w:tc>
      </w:tr>
      <w:tr>
        <w:trPr>
          <w:trHeight w:val="23"/>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7880" w:type="dxa"/>
            <w:vAlign w:val="bottom"/>
            <w:vMerge w:val="restart"/>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debt securities (Note 4)</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and notes receivable, net of allowance of $298 and $260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$906 and $869 (Note 5; Note 11 at VIEs)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33,623</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(Note 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15,366</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current assets (Note 4; Note 11 at VIEs)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100,451</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GM Financial receivables, net of allowance of $1,438 and $1,227 (Note 5; Note 11 at VIEs)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40,591</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8)</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10,176</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net (Note 9)</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45,248</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and intangible assets, net (Note 10)</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Equipment on operating leases, net (Note 7; Note 11 at VIEs)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32,701</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 (Note 17)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20,539</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 (Note 4; Note 11 at VIEs)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163,586</w:t>
            </w:r>
          </w:p>
        </w:tc>
        <w:tc>
          <w:tcPr>
            <w:tcW w:w="0" w:type="dxa"/>
            <w:vAlign w:val="bottom"/>
          </w:tcPr>
          <w:p>
            <w:pPr>
              <w:spacing w:after="0"/>
              <w:rPr>
                <w:sz w:val="1"/>
                <w:szCs w:val="1"/>
                <w:color w:val="auto"/>
              </w:rPr>
            </w:pPr>
          </w:p>
        </w:tc>
      </w:tr>
      <w:tr>
        <w:trPr>
          <w:trHeight w:val="233"/>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264,037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27,486</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 at VIEs)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36,819</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w:t>
            </w:r>
          </w:p>
        </w:tc>
        <w:tc>
          <w:tcPr>
            <w:tcW w:w="0" w:type="dxa"/>
            <w:vAlign w:val="bottom"/>
          </w:tcPr>
          <w:p>
            <w:pPr>
              <w:spacing w:after="0"/>
              <w:rPr>
                <w:sz w:val="1"/>
                <w:szCs w:val="1"/>
                <w:color w:val="auto"/>
              </w:rPr>
            </w:pPr>
          </w:p>
        </w:tc>
      </w:tr>
      <w:tr>
        <w:trPr>
          <w:trHeight w:val="206"/>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91,173</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 (Note 13)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Automotive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15,885</w:t>
            </w:r>
          </w:p>
        </w:tc>
        <w:tc>
          <w:tcPr>
            <w:tcW w:w="0" w:type="dxa"/>
            <w:vAlign w:val="bottom"/>
          </w:tcPr>
          <w:p>
            <w:pPr>
              <w:spacing w:after="0"/>
              <w:rPr>
                <w:sz w:val="1"/>
                <w:szCs w:val="1"/>
                <w:color w:val="auto"/>
              </w:rPr>
            </w:pPr>
          </w:p>
        </w:tc>
      </w:tr>
      <w:tr>
        <w:trPr>
          <w:trHeight w:val="212"/>
        </w:trPr>
        <w:tc>
          <w:tcPr>
            <w:tcW w:w="7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11 at VIEs)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60,036</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Postretirement benefits other than pensions (Note 15)</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Pensions (Note 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liabilities (Note 12)</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0" w:type="dxa"/>
            <w:vAlign w:val="bottom"/>
          </w:tcPr>
          <w:p>
            <w:pPr>
              <w:spacing w:after="0"/>
              <w:rPr>
                <w:sz w:val="1"/>
                <w:szCs w:val="1"/>
                <w:color w:val="auto"/>
              </w:rPr>
            </w:pPr>
          </w:p>
        </w:tc>
      </w:tr>
      <w:tr>
        <w:trPr>
          <w:trHeight w:val="206"/>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100,579</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191,752</w:t>
            </w:r>
          </w:p>
        </w:tc>
        <w:tc>
          <w:tcPr>
            <w:tcW w:w="0" w:type="dxa"/>
            <w:vAlign w:val="bottom"/>
          </w:tcPr>
          <w:p>
            <w:pPr>
              <w:spacing w:after="0"/>
              <w:rPr>
                <w:sz w:val="1"/>
                <w:szCs w:val="1"/>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 - Cruise stock incentive awards (Note 20)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(Note 20)</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49,251</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67,792</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0" w:type="dxa"/>
            <w:vAlign w:val="bottom"/>
          </w:tcPr>
          <w:p>
            <w:pPr>
              <w:spacing w:after="0"/>
              <w:rPr>
                <w:sz w:val="1"/>
                <w:szCs w:val="1"/>
                <w:color w:val="auto"/>
              </w:rPr>
            </w:pPr>
          </w:p>
        </w:tc>
      </w:tr>
      <w:tr>
        <w:trPr>
          <w:trHeight w:val="206"/>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264,037</w:t>
            </w:r>
          </w:p>
        </w:tc>
        <w:tc>
          <w:tcPr>
            <w:tcW w:w="0" w:type="dxa"/>
            <w:vAlign w:val="bottom"/>
          </w:tcPr>
          <w:p>
            <w:pPr>
              <w:spacing w:after="0"/>
              <w:rPr>
                <w:sz w:val="1"/>
                <w:szCs w:val="1"/>
                <w:color w:val="auto"/>
              </w:rPr>
            </w:pPr>
          </w:p>
        </w:tc>
      </w:tr>
      <w:tr>
        <w:trPr>
          <w:trHeight w:val="23"/>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20"/>
          </w:cols>
          <w:pgMar w:left="320" w:top="363" w:right="359" w:bottom="1440" w:gutter="0" w:footer="0" w:header="0"/>
        </w:sect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 (Note 24)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15,188</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9,347</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(33,009)</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24,622</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(14,602)</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14,393</w:t>
            </w:r>
          </w:p>
        </w:tc>
      </w:tr>
      <w:tr>
        <w:trPr>
          <w:trHeight w:val="212"/>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(16,355)</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45,300</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(47,806)</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 (Note 20)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r>
      <w:tr>
        <w:trPr>
          <w:trHeight w:val="212"/>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w:t>
            </w:r>
          </w:p>
        </w:tc>
      </w:tr>
      <w:tr>
        <w:trPr>
          <w:trHeight w:val="218"/>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w:t>
            </w: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23,542</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
        </w:trPr>
        <w:tc>
          <w:tcPr>
            <w:tcW w:w="73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w:t>
            </w: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0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4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Cruise Stock</w:t>
            </w: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6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11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Incentive Awards</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(Temporary Equity)</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4,647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6,071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65,815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20)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1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Additionally, we are investing in and growing an AV business. We also provide automotive financing services through GM Financial. We analyze the results of our operations through the following segments: GMNA, GMI, Cruise and GM Financial. Cruise is our global segment responsible for the development and commercialization of AV technology. Corporate includes certain centrally recorded income and costs such as interest, income taxes, corporate expenditures and certain revenues and expenses that are not part of a reportable segment. The consolidated financial statements are prepared in conformity with U.S. GAAP. Except for per share amounts or as otherwise specified, amounts presented within tables are stated in millions. Certain columns and rows may not add due to rounding.</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Use of Estimates in the Preparation of the Financial Statements </w:t>
      </w:r>
      <w:r>
        <w:rPr>
          <w:rFonts w:ascii="Times New Roman" w:cs="Times New Roman" w:eastAsia="Times New Roman" w:hAnsi="Times New Roman"/>
          <w:sz w:val="18"/>
          <w:szCs w:val="18"/>
          <w:color w:val="auto"/>
        </w:rPr>
        <w:t>Accounting estimates are an integral part of the consolidated financial statements.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require the use of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accounting policies that follow are utilized by our automotive, automotive financing and Cruise operations, unless otherwise indicated.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Automotive net sales and revenue represents the amount of consideration to which we expect to be entitled in exchange for vehicle, parts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accessories and services and other sales. The consideration recognized represents the amount received, typically shortly after the sale to a customer, net of estimated dealer and customer sales incentives we reasonably expect to pay. Significant factors in determining our estimates of incentives include forecasted sales volume, product mix and the rate of customer acceptance of incentive programs, all of which are estimated based on historical experience and assumptions concerning future customer behavior and market conditions. Subsequent adjustments to incentive estimates are possible as facts and circumstances change over time. A portion of the consideration received is deferred for separate performance obligations, such as maintenance, services and vehicle connectivity, that will be provided to our customers at a future date. Taxes assessed by various government entities, such as sales, use and value-added taxes, collected at the time of the vehicle sale are excluded from Automotive net sales and revenue. Costs for shipping and handling activities that occur after control of the vehicle transfers to the dealer are recognized at the time of sale and presented in Automotive and other cost of sales.</w:t>
      </w:r>
    </w:p>
    <w:p>
      <w:pPr>
        <w:spacing w:after="0" w:line="208"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8"/>
          <w:szCs w:val="18"/>
          <w:i w:val="1"/>
          <w:iCs w:val="1"/>
          <w:color w:val="auto"/>
        </w:rPr>
        <w:t xml:space="preserve">hicle, Parts and Accessories </w:t>
      </w:r>
      <w:r>
        <w:rPr>
          <w:rFonts w:ascii="Times New Roman" w:cs="Times New Roman" w:eastAsia="Times New Roman" w:hAnsi="Times New Roman"/>
          <w:sz w:val="18"/>
          <w:szCs w:val="18"/>
          <w:color w:val="auto"/>
        </w:rPr>
        <w:t>For the majority of vehicle and accessories sales, our customers obtain control and we recognize revenue when the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dealer, which typically occurs either when the vehicle is released to the carrier responsible for transporting it to a dealer or upon delivery to a dealer. Revenue, net of estimated returns, is recognized on the sale of parts upon delivery to the customer. When our customers have a right to return eligible parts and accessories, we consider the returns in our estimation of the transaction price.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Typically, transfers to daily rental companies are accounted for as sales, with revenue recognized at the time of transfer. We defer revenue for remarketing obligations, record a residual value guarantee and reflect a liability for amounts expected to be paid once the remarketing services are complete at the time of sale and recognize deferred revenue in earnings upon completion of the remarketing service.</w:t>
      </w:r>
    </w:p>
    <w:p>
      <w:pPr>
        <w:spacing w:after="0" w:line="202" w:lineRule="exact"/>
        <w:rPr>
          <w:sz w:val="20"/>
          <w:szCs w:val="20"/>
          <w:color w:val="auto"/>
        </w:rPr>
      </w:pPr>
    </w:p>
    <w:p>
      <w:pPr>
        <w:jc w:val="both"/>
        <w:ind w:firstLine="161"/>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Used Vehicles </w:t>
      </w:r>
      <w:r>
        <w:rPr>
          <w:rFonts w:ascii="Times New Roman" w:cs="Times New Roman" w:eastAsia="Times New Roman" w:hAnsi="Times New Roman"/>
          <w:sz w:val="18"/>
          <w:szCs w:val="18"/>
          <w:color w:val="auto"/>
        </w:rPr>
        <w:t>Proceeds from the auction of vehicles utilized by our employees are recognized in Automotive net sales and revenue upon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vehicle to the customer and the related vehicle carrying value is recognized in Automotive and other cost of sales.</w:t>
      </w:r>
    </w:p>
    <w:p>
      <w:pPr>
        <w:spacing w:after="0" w:line="185"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Services and other revenue primarily consists of revenue from vehicle-related service arrangements and after-sale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OnStar, Super Cruise, vehicle connectivity and extended service warranties. For those service arrangements that are bundled with a vehicle sale, a portion of the revenue from the sale is allocated to the service component and recognized as deferred revenue within Accrued liabilities or Other liabilities. We recognize revenue for bundled services and services sold separately as services are performed, typically over a period of up to eight years.</w:t>
      </w:r>
    </w:p>
    <w:p>
      <w:pPr>
        <w:spacing w:after="0" w:line="203"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Finance charge income earned on finance receivables is recognized using the effective interest method. Fees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 received (including manufacturer subvention) and direct costs of originating loans are deferred and amortized over the term of the related finance receivables using the effective interest method and are removed from the consolidated balance sheets when the related finance receivables are fully charged off or paid in full. Accrual of finance charge income on retail finance receivables is generally suspended on accounts that are more than 60 days delinquent, accounts in bankruptcy and accounts in repossession. Payments received on nonaccrual loans are first applied to any fees due, then to any interest due and then any remaining amounts are applied to principal. Interest accrual generally resumes once an account has received payments bringing the delinquency to less than 60 days past due. Accrual of finance charge income on commercial finance receivables is generally suspended on accounts that are more than 90 days delinquent, upon receipt of a bankruptcy notice from a borrower, or where reasonable doubt exists about the full collectability of contractually agreed upon principal and interest. Payments received on nonaccrual loans are first applied to principal. Interest accrual resumes once an account has received payments bringing the account fully current and collection of contractual principal and interest is reasonably assured (including amounts previously charged off).</w:t>
      </w:r>
    </w:p>
    <w:p>
      <w:pPr>
        <w:spacing w:after="0" w:line="22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Income from operating lease assets, which includes lease origination fees, net of lease origination costs, is recorded as operating lease revenue on a straight-line basis over the term of the lease agreement. Gains or losses realized upon disposition of off-lease assets including any payments received from lessees upon lease termination, are included in GM Financial interest, operating and other expenses.</w:t>
      </w:r>
    </w:p>
    <w:p>
      <w:pPr>
        <w:spacing w:after="0" w:line="1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Advertising and Promotion Expenditures </w:t>
      </w:r>
      <w:r>
        <w:rPr>
          <w:rFonts w:ascii="Times New Roman" w:cs="Times New Roman" w:eastAsia="Times New Roman" w:hAnsi="Times New Roman"/>
          <w:sz w:val="18"/>
          <w:szCs w:val="18"/>
          <w:color w:val="auto"/>
        </w:rPr>
        <w:t>Advertising and promotion expenditures, which are expensed as incurred in Automotive and other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and administrative expense, were $3.6 billion, $4.0 billion and $3.3 billion in the years ended December 31, 2023, 2022 and 2021.</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Expenditures </w:t>
      </w:r>
      <w:r>
        <w:rPr>
          <w:rFonts w:ascii="Times New Roman" w:cs="Times New Roman" w:eastAsia="Times New Roman" w:hAnsi="Times New Roman"/>
          <w:sz w:val="18"/>
          <w:szCs w:val="18"/>
          <w:color w:val="auto"/>
        </w:rPr>
        <w:t>Research and development expenditures, which are expensed as incurred in Automotive and other cost of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$9.9 billion, $9.8 billion and $7.9 billion in the years ended December 31, 2023, 2022 and 2021. We enter into co-development arrangements with third parties or nonconsolidated affiliates for product-related research, engineering, design and development activities. Cost sharing payments and fees related to these arrangements are presented in Automotive and other cost of sales.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Cash Equivalents and Restricted Cash </w:t>
      </w:r>
      <w:r>
        <w:rPr>
          <w:rFonts w:ascii="Times New Roman" w:cs="Times New Roman" w:eastAsia="Times New Roman" w:hAnsi="Times New Roman"/>
          <w:sz w:val="18"/>
          <w:szCs w:val="18"/>
          <w:color w:val="auto"/>
        </w:rPr>
        <w:t>Cash equivalents are defined as short-term, highly-liquid investments with original maturities of 90 days or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operating agreements require us to post cash as collateral. Cash and cash equivalents subject to contractual restrictions and not readily available are classified as restricted cash. Restricted cash is invested in accordance with the terms of the underlying agreements and include amounts related to various deposits, escrows and other cash collateral. Restricted cash is included in Other current assets and Other assets in the consolidated balance sheets.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A three-level valuation hierarchy, based upon observable and unobservable inputs, is used for fair value measurements.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Observable inputs reflect market data obtained from independent sources, while unobservable inputs reflect market assumptions based on the best evidence available. These two types of inputs create the following fair value hierarchy: Level 1 – Quoted prices for identical instruments in active markets; Level 2 – Quoted prices for similar instruments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 active markets, quoted prices for identical or similar instruments in markets that are not active and model-derived valuations whose significant inputs are observable; and Level 3 – Instruments whose significant inputs are unobservable.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Marketable Debt Securities </w:t>
      </w:r>
      <w:r>
        <w:rPr>
          <w:rFonts w:ascii="Times New Roman" w:cs="Times New Roman" w:eastAsia="Times New Roman" w:hAnsi="Times New Roman"/>
          <w:sz w:val="18"/>
          <w:szCs w:val="18"/>
          <w:color w:val="auto"/>
        </w:rPr>
        <w:t>We generally classify marketable debt securities as available-for-sale. Various factors, including turnover of holdings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guidelines, are considered in determining the classification of securities. Available-for-sale debt securities are recorded at fair value with non-credit related unrealized gains and losses recorded in Accumulated other comprehensive loss until realized. Credit losses are recorded in Interest income and other non-operating income, net. An evaluation is made quarterly to determine if any portion of unrealized losses recorded in Accumulated other comprehensive loss needs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211"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We determine realized gains and losses for all debt securities using the specific identification method and measure the fair value of our marketable debt securities using a market approach where identical or comparable prices are available and an income approach in other cases. If quoted market prices are not available, fair values of securities are determined using prices from a pricing service, pricing models, quoted prices of securities with similar characteristics or discounted cash flow models. These prices represent non-binding quotes. Our pricing service utilizes industry-standard pricing models that consider various inputs. We review our pricing service quarterly and believe the prices received from our pricing service are a reliable representation of exit prices.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Accounts and Notes Receivable </w:t>
      </w:r>
      <w:r>
        <w:rPr>
          <w:rFonts w:ascii="Times New Roman" w:cs="Times New Roman" w:eastAsia="Times New Roman" w:hAnsi="Times New Roman"/>
          <w:sz w:val="18"/>
          <w:szCs w:val="18"/>
          <w:color w:val="auto"/>
        </w:rPr>
        <w:t>Accounts and notes receivable primarily consists of amounts that are due and payable from our customers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reported in Automotive and other selling, general and administrative expense and were insignificant in the years ended December 31, 2023, 2022 and 2021.</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GM Financial Receivables </w:t>
      </w:r>
      <w:r>
        <w:rPr>
          <w:rFonts w:ascii="Times New Roman" w:cs="Times New Roman" w:eastAsia="Times New Roman" w:hAnsi="Times New Roman"/>
          <w:sz w:val="18"/>
          <w:szCs w:val="18"/>
          <w:color w:val="auto"/>
        </w:rPr>
        <w:t>Finance receivables are carried at amortized cost, net of allowance for loan losses. Provisions for loan losses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Commercial finance receivables are carried at amortized cost, net of allowance for loan losses and amounts held under a cash management program. GM Financial establishes the allowance for loan losses based on historical loss experience, as well as forecasted auto industry conditions, which is the economic indicator believed to have the largest impact on expected losses.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Cost is determined on a first-in, first-out (FIFO) basis. Net realizable value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estimated selling price in the ordinary course of business less cost to sell, and considers general market and economic conditions, periodic reviews of current profitability of vehicles, product warranty costs and the effect of estimated sales incentives. Net realizable value for off-lease and other vehicles is current auction sales proceeds less disposal and warranty costs. Inventories are reviewed to determine if inventory quantities are in excess of forecasted usage or if they have become obsolete, with a primary focus on productive material, supplies, work in process and parts and accessories.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Equipment on Operating Leases </w:t>
      </w:r>
      <w:r>
        <w:rPr>
          <w:rFonts w:ascii="Times New Roman" w:cs="Times New Roman" w:eastAsia="Times New Roman" w:hAnsi="Times New Roman"/>
          <w:sz w:val="18"/>
          <w:szCs w:val="18"/>
          <w:color w:val="auto"/>
        </w:rPr>
        <w:t>Equipment on operating leases, net primarily consists of vehicle leases to retail customers with lease terms of two to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We are exposed to changes in the residual values of these assets. The residual 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 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group. Fair value is determined primarily using the anticipated cash flows, including estimated residual values.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 between the net book value of the leased asset and the proceeds from the disposition of the asset.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Equity Investments </w:t>
      </w:r>
      <w:r>
        <w:rPr>
          <w:rFonts w:ascii="Times New Roman" w:cs="Times New Roman" w:eastAsia="Times New Roman" w:hAnsi="Times New Roman"/>
          <w:sz w:val="18"/>
          <w:szCs w:val="18"/>
          <w:color w:val="auto"/>
        </w:rPr>
        <w:t>When events and circumstances warrant, equity investments accounted for under the equity method of accounting are evaluated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An impairment charge is recorded whenever a decline in value of an equity investment below its carrying amount is determined to be other-than-temporary. Impairment charges related to equity method investments are recorded in Equity income. Equity investments that are not accounted for under the equity method of accounting are measured at fair value or in certain cases adjusted to fair value upon an observable price change, with changes in fair value recorded in Interest income and other non-operating income, net.</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Property, net </w:t>
      </w:r>
      <w:r>
        <w:rPr>
          <w:rFonts w:ascii="Times New Roman" w:cs="Times New Roman" w:eastAsia="Times New Roman" w:hAnsi="Times New Roman"/>
          <w:sz w:val="18"/>
          <w:szCs w:val="18"/>
          <w:color w:val="auto"/>
        </w:rPr>
        <w:t>Property, plant and equipment, including internal use software, is recorded at cost. The gross amount of assets under finance leases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property, plant and equipment. Major improvements that extend the useful life or add functionality are capitalized. Expenditures for repairs and maintenance are charged to expense as incurred. We depreciate depreciable property using the straight-line method. Leasehold improvements are amortized over the period of lease or the life of the asset, whichever is shorter. The amortization of the assets under finance leases is included in depreciation expense. Upon retirement or disposition of property, plant and equipment, the cost and related accumulated depreciation are eliminated and any resulting gain or loss is recorded in earnings. Impairment charges related to property are recorded in Automotive and other cost of sales, Automotive and other selling, general and administrative expense or GM Financial interest, operating and other expenses.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Special Tools </w:t>
      </w:r>
      <w:r>
        <w:rPr>
          <w:rFonts w:ascii="Times New Roman" w:cs="Times New Roman" w:eastAsia="Times New Roman" w:hAnsi="Times New Roman"/>
          <w:sz w:val="18"/>
          <w:szCs w:val="18"/>
          <w:color w:val="auto"/>
        </w:rPr>
        <w:t>Special tools represent product-specific propulsion and non-propulsion related tools, dies, molds and other items used in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 Expenditures for special tools are recorded at cost and are capitalized. We amortize special tools over their estimated useful lives using the straight-line method or an accelerated amortization method based on their historical and estimated production volume. Impairment charges related to special tools are recorded in Automotive and other cost of sales.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is not amortized but rather tested for impairment annually on October 1 and when events warrant such a review. The impairment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entails an assessment of qualitative factors to determine whether it is more likely than not that an impairment exists. If it is more likely than not that an impairment exists, then a quantitative impairment test is performed. Impairment exists when the carrying amount of a reporting unit exceeds its fair value.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excluding goodwill, primarily include brand names, technology and intellectual property, customer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dealer networks. Intangible assets are amortized on a straight-line or an accelerated method of amortization over their estimated useful lives. Amortization of developed technology and intellectual property is recorded in Automotive and other cost of sales. Amortization of brand names, customer relationships and our dealer networks is recorded in Automotive and other selling, general and administrative expense or GM Financial interest, operating and other expenses. Impairment charges, if any, related to intangible assets are recorded in Automotive and other selling, general and administrative expense or Automotive and other cost of sales.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Valuation of Long-Lived Assets </w:t>
      </w:r>
      <w:r>
        <w:rPr>
          <w:rFonts w:ascii="Times New Roman" w:cs="Times New Roman" w:eastAsia="Times New Roman" w:hAnsi="Times New Roman"/>
          <w:sz w:val="18"/>
          <w:szCs w:val="18"/>
          <w:color w:val="auto"/>
        </w:rPr>
        <w:t>The carrying amount of long-lived assets and finite-lived intangible assets to be held and used in the business is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impairment when events and circumstances warrant. If the carrying amount of a long-lived asset group is considered impaired, a loss is recorded based on the amount by which the carrying amount exceeds fair value. Product-specific long-lived asset groups and non-product specific long-lived assets are separately tested for impairment on an asset group basis. Fair value is determined using either the market or sales comparison approach, cost approach or anticipated cash flows discounted at a rate commensurate with the risk involved. Long-lived assets to be disposed of other than by sale are considered held for use until disposition.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Government Incentives and Grants </w:t>
      </w:r>
      <w:r>
        <w:rPr>
          <w:rFonts w:ascii="Times New Roman" w:cs="Times New Roman" w:eastAsia="Times New Roman" w:hAnsi="Times New Roman"/>
          <w:sz w:val="18"/>
          <w:szCs w:val="18"/>
          <w:color w:val="auto"/>
        </w:rPr>
        <w:t>We receive incentives from federal, state and local governments in different regions of the world that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us to establish, maintain, or increase investment, employment, or production in the region. We are also entitled to certain advanced manufacturing production credits under the IRA. The benefit from both refundable and nonrefundable advanced manufacturing production credits are not accounted for or classified as an income tax credit. We account for government incentives as a reduction of expense, a reduction of the cost of the capital investment or other income based on the substance of the incentive received. Benefits are generally recorded when there is reasonable assurance of receipt or, as it relates to advance manufacturing production credits, upon the generation of the credit. Amounts are recorded in earnings as the expenses in which the incentive is meant to offset are incurred, as we meet the conditions of the grant or as the capital investment is depreciated or, as it relates to advance manufacturing production credits, upon generation of the credit. At December 31, 2023, cash incentives in Cash and cash equivalents was $717 million, cash incentives receivable in Accounts and notes receivable, net of allowance was $190 million, cash incentives credited to Property, net was $480 million, cash incentives receivable in Other assets was $269 million and deferred incentive income in Other liabilities was $341 million. In the year ended December 31, 2023, we recognized $251 million in Automotive and other cost of sales associated with incentives. Current agreements expire at various dates through 2031 and we consider the risk that any amounts recognized will be returned to be remote.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Plans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Attribution, Methods and Assumptions </w:t>
      </w:r>
      <w:r>
        <w:rPr>
          <w:rFonts w:ascii="Times New Roman" w:cs="Times New Roman" w:eastAsia="Times New Roman" w:hAnsi="Times New Roman"/>
          <w:sz w:val="18"/>
          <w:szCs w:val="18"/>
          <w:color w:val="auto"/>
        </w:rPr>
        <w:t>The cost of benefits provided by defined benefit pension plans is recorded in the period employees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The cost of pension plan amendments that provide for benefits already earned by plan participants is amortized over the expected period of benefit which may be the duration of the applicable collective bargaining agreement specific to the plan, the expected future working lifetime or the life expectancy of the plan participants.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cost of medical, dental, legal service and life insurance benefits provided through postretirement benefit plans is recorded in the period employees provide service. The cost of postretirement plan amendments that provide for benefits already earned by plan participants is amortized over the expected period of benefit which may be the average period to full eligibility or the average life expectancy of the plan participants.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An expected return on plan asset methodology is utilized to calculate future pension expense for certain significant funded benefit plans. A market-related value of plan assets methodology is also utilized that averages gains and losses on the plan assets over a period of years to determine future pension expense. The methodology recognizes 60% of the difference between the fair value of assets and the expected calculated value in the first year and 10% of that difference over each of the next four years.</w:t>
      </w:r>
    </w:p>
    <w:p>
      <w:pPr>
        <w:spacing w:after="0" w:line="208"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 discount rate assumption is established for each of the retirement-related benefit plans at their respective measurement dates. In the U.S., we use a cash flow matching approach that uses projected cash flows matched to spot rates along a high-quality corporate bond yield curve to determine the present value of cash flows to calculate a single equivalent discount rate. We apply individual annual yield curve rates to determine the service cost and interest cost for our pension and OPEB plans to more specifically link the cash flows related to service cost and interest cost to bonds maturing in their year of payment.</w:t>
      </w:r>
    </w:p>
    <w:p>
      <w:pPr>
        <w:spacing w:after="0" w:line="19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benefit obligation for pension plans in Canada, the United Kingdom and Germany represents 90% of the non-U.S. pension benefit obligation at December 31, 2023. The discount rates for plans in Canada, the United Kingdom and Germany are determined using a cash flow matching approach like the U.S.</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Asset Valuation </w:t>
      </w:r>
      <w:r>
        <w:rPr>
          <w:rFonts w:ascii="Times New Roman" w:cs="Times New Roman" w:eastAsia="Times New Roman" w:hAnsi="Times New Roman"/>
          <w:sz w:val="18"/>
          <w:szCs w:val="18"/>
          <w:color w:val="auto"/>
        </w:rPr>
        <w:t>Due to the lack of timely available market information for certain investments in the asset classes described below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inherent uncertainty of valuation, reported fair values may differ from fair values that would have been used had timely available market information been available.</w:t>
      </w:r>
    </w:p>
    <w:p>
      <w:pPr>
        <w:spacing w:after="0" w:line="19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and Preferred Stock </w:t>
      </w:r>
      <w:r>
        <w:rPr>
          <w:rFonts w:ascii="Times New Roman" w:cs="Times New Roman" w:eastAsia="Times New Roman" w:hAnsi="Times New Roman"/>
          <w:sz w:val="18"/>
          <w:szCs w:val="18"/>
          <w:color w:val="auto"/>
        </w:rPr>
        <w:t>Common and preferred stock for which market prices are readily available at the measurement date are valued at the last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sale price or official closing price on the primary market or exchange on which they are actively traded and are classified in Level 1. Such equity securities for which the market is not considered to be active are valued via the use of observable inputs, which may include the use of adjusted market prices last available, bids or last available sales prices and/or other observable inputs and are classified in Level 2. Common and preferred stock classified in Level 3 are privately issued securities or other issues that are valued via the use of valuation models using significant unobservable inputs that generally consider aged (stale) pricing, earnings multiples, discounted cash flows and/or other qualitative and quantitative factors.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4"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Valuations for debt securities are based on quotations received from independent pricing services or from dealers who make markets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Debt securities priced via pricing services that utilize matrix pricing which considers readily observable inputs such as the yield or price of bonds of comparable quality, coupon, maturity and type as well as dealer supplied prices, are classified in Level 2. Debt securities that are typically priced by dealers and pricing services via the use of proprietary pricing models which incorporate significant unobservable inputs are classified in Level 3. These inputs primarily consist of yield and credit spread assumptions, discount rates, prepayment curves, default assumptions and recovery rates.</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Investment Funds, Private Equity and Debt Investments and Real Estate Investments </w:t>
      </w:r>
      <w:r>
        <w:rPr>
          <w:rFonts w:ascii="Times New Roman" w:cs="Times New Roman" w:eastAsia="Times New Roman" w:hAnsi="Times New Roman"/>
          <w:sz w:val="18"/>
          <w:szCs w:val="18"/>
          <w:color w:val="auto"/>
        </w:rPr>
        <w:t>Investment funds, private equity and debt investments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valued based on the Net Asset Value (NAV) per Share (or its equivalent) as a practical expedient to estimate fair value due to the absence of readily available market prices.</w:t>
      </w:r>
    </w:p>
    <w:p>
      <w:pPr>
        <w:spacing w:after="0" w:line="20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NAVs are provided by the respective investment sponsors or investment advisers and are subsequently reviewed and approved by management. In the event management concludes a reported NAV does not reflect fair value or is not determined as of the financial reporting measurement date, we will consider whether and when deemed necessary to make an adjustment at the balance sheet date. In determining whether an adjustment to the external valuation is required, we will review material factors that could affect the valuation, such as changes in the composition or performance of the underlying investments or comparable investments, overall market conditions, expected sale prices for private investments which are probable of being sold in the short-term and other economic factors that may possibly have a favorable or unfavorable effect on the reported external valuation.</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 Incentive Plans </w:t>
      </w:r>
      <w:r>
        <w:rPr>
          <w:rFonts w:ascii="Times New Roman" w:cs="Times New Roman" w:eastAsia="Times New Roman" w:hAnsi="Times New Roman"/>
          <w:sz w:val="18"/>
          <w:szCs w:val="18"/>
          <w:color w:val="auto"/>
        </w:rPr>
        <w:t>Our stock incentive plans include RSUs, PSUs, stock options and awards that may be settled in our stock, the stock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in cash. We measure and record compensation expense based on the fair value of GM or Cruise's common stock on the date of grant for RSUs and PSUs and the grant date fair value, determined utilizing the Black-Scholes formula or a lattice model, for stock options and PSUs. We record compensation cost for service-based RSUs, PSUs and service-based stock options on a straight-line basis over the entire vesting period, or for retirement eligible employees over the requisite service period. In March 2022, all outstanding RSUs that settle in Cruise's common stock were modified to remove the liquidity vesting condition. Prospectively, RSUs that will settle in Cruise's common stock will vest solely upon satisfaction of a service condition. Compensation cost for awards that do not have an established accounting grant date, but for which the service inception date has been established, or are settled in cash is based on the fair value of GM or Cruise's common stock at the end of each reporting period. Compensation cost is also recorded on stock issued to settle awards based on the fair value of Cruise's common stock until such time that the stock has been issued for more than six months.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Product Warranty and Recall Campaigns </w:t>
      </w:r>
      <w:r>
        <w:rPr>
          <w:rFonts w:ascii="Times New Roman" w:cs="Times New Roman" w:eastAsia="Times New Roman" w:hAnsi="Times New Roman"/>
          <w:sz w:val="18"/>
          <w:szCs w:val="18"/>
          <w:color w:val="auto"/>
        </w:rPr>
        <w:t>The estimated costs related to product warranties are accrued at the time products are sold and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and other cost of sales. These estimates are established using historical information on the nature, frequency and average cost of claims of each vehicle line or each model year of the vehicle line and assumptions about future activity and events. Revisions are made when necessary and are based on changes in these factors.</w:t>
      </w:r>
    </w:p>
    <w:p>
      <w:pPr>
        <w:spacing w:after="0" w:line="20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 estimated costs related to recall campaigns are accrued when probable and estimable. In GMNA, we estimate the costs related to recall campaigns by applying a paid loss approach that considers the number of historical recall campaigns and the estimated cost for each recall campaign. The estimated costs associated with recall campaigns in other geographical regions are determined using the estimated costs of repairs and the estimated number of vehicles to be repaired. Costs associated with recall campaigns are charged to Automotive and other cost of sales. Revisions are made when necessary based on changes in these factors.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liability method is used in accounting for income taxes. Deferred tax assets and liabilities are recorded for temporary differences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(GILTI) as a current period expense when incurred. Income tax effects are released from Accumulated other comprehensive loss using the specific-identification method.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46" w:lineRule="auto"/>
        <w:rPr>
          <w:sz w:val="20"/>
          <w:szCs w:val="20"/>
          <w:color w:val="auto"/>
        </w:rPr>
      </w:pPr>
      <w:r>
        <w:rPr>
          <w:rFonts w:ascii="Times New Roman" w:cs="Times New Roman" w:eastAsia="Times New Roman" w:hAnsi="Times New Roman"/>
          <w:sz w:val="18"/>
          <w:szCs w:val="18"/>
          <w:color w:val="auto"/>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spacing w:after="0" w:line="2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Transactions and Translation </w:t>
      </w:r>
      <w:r>
        <w:rPr>
          <w:rFonts w:ascii="Times New Roman" w:cs="Times New Roman" w:eastAsia="Times New Roman" w:hAnsi="Times New Roman"/>
          <w:sz w:val="18"/>
          <w:szCs w:val="18"/>
          <w:color w:val="auto"/>
        </w:rPr>
        <w:t>The assets and liabilities of foreign subsidiaries that use the local currency as their functional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translated to U.S. Dollars based on the current exchange rate prevailing at each balance sheet date and any resulting translation adjustments are included in Accumulated other comprehensive loss. The assets and liabilities of foreign subsidiaries whose local currency is not their functional currency are remeasured from their local currency to their functional currency and then translated to U.S. Dollars. Revenues and expenses are translated into U.S. Dollars using the average exchange rates prevailing for each period presented. The financial statements of any foreign subsidiary that has been identified as having a highly inflationary economy are remeasured as if the functional currency were the U.S. Dollar.</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Gains and losses arising from foreign currency transactions and the effects of remeasurements discussed in the preceding paragraph are recorded in Automotive and other cost of sales and GM Financial interest, operating and other expenses unless related to Automotive debt, which are recorded in Interest income and other non-operating income, net. Foreign currency transactions and remeasurements in the years ended December 31, 2023, 2022 and 2021 were losses of $349 million, losses of $172 million and insignificant gains.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Derivative financial instruments are recognized as either assets or liabilities at fair value. The accounting for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of each derivative financial instrument depends on whether it has been designated and qualifies as an accounting hedge, as well as the type of hedging relationship identified. Cash flows for all derivative financial instruments are typically classified in cash flows from operating activities. Derivative instruments are not used for trading or speculative purposes.</w:t>
      </w:r>
    </w:p>
    <w:p>
      <w:pPr>
        <w:spacing w:after="0" w:line="201"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We utilize options, swaps and forward contracts to manage foreign currency, commodity price and interest rate risks. The change in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option, swap and forward contracts not designated as an accounting hedge is recorded in Interest income and other non-operating income, net.</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foreign currency and commodity forward contracts have been designated and qualify as cash flow hedges. The risks being hedged are foreign currency and commodity price risks related to forecasted transactions. The change in the fair value of these forward contracts is recorded in Accumulated other comprehensive loss and will be recognized in Automotive net sales and revenue or Automotive and other cost of sales when the hedged transaction impacts earnings. Forward contracts designated as cash flow hedges are evaluated for effectiveness using regression analysis at inception and throughout the hedge period.</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receive-fixed, pay-float interest rate swap agreements have been designated and qualify as fair value hedges of our fixed-rate debt. The risk being hedged is the risk of changes in the fair value of the hedged debt attributable to changes in the benchmark interest rate. The changes in both the fair value of the hedged debt and the hedging instrument are recorded in Automotive interest expense. When a fair value hedge is de-designated, or when the derivative is terminated prior to maturity, the fair value adjustment to the hedged debt continues to be reported as part of the carrying value of the debt and is recognized in Automotive interest expense over its remaining life.</w:t>
      </w:r>
    </w:p>
    <w:p>
      <w:pPr>
        <w:spacing w:after="0" w:line="20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w:t>
      </w:r>
      <w:r>
        <w:rPr>
          <w:rFonts w:ascii="Times New Roman" w:cs="Times New Roman" w:eastAsia="Times New Roman" w:hAnsi="Times New Roman"/>
          <w:sz w:val="18"/>
          <w:szCs w:val="18"/>
          <w:color w:val="auto"/>
        </w:rPr>
        <w:t>GM Financial utilizes interest rate derivative instruments to manage interest rate risk and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instruments to manage foreign currency risk. The change in fair value of the derivative instruments not designated as an accounting hedge is recorded in GM Financial interest, operating and other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and foreign currency swap agreements have been designated as fair value hedges. The risk being hedged is the risk of changes in the fair value of the hedged debt attributable to changes in the benchmark interest rate or the risk of changes in fair value attributable to changes in foreign currency exchange rates. If the swap has been designated as a fair value hedge, the changes in the fair value of the hedged item are recorded in GM Financial interest, operating and other expenses. The change in fair value of the related hedge is also recorded in GM Financial interest, operating and other expenses.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Certain interest rate swap and foreign currency swap agreements have been designated as cash flow hedges. The risk being hedged is the interest rate and foreign currency risk related to forecasted transactions. If the contract has been designated as a cash flow hedge, the change in the fair value of the cash flow hedge is deferred in Accumulated other comprehensive loss and is recognized in GM Financial interest, operating and other expenses along with the earnings effect of the hedged item when the hedged item affects earnings. Changes in the fair value of amounts excluded from the assessment of effectiveness are recorded currently in earnings and are presented in the same income statement line as the earnings effect of the hedged item.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revenue generating segments</w:t>
      </w:r>
      <w:r>
        <w:rPr>
          <w:rFonts w:ascii="Times New Roman" w:cs="Times New Roman" w:eastAsia="Times New Roman" w:hAnsi="Times New Roman"/>
          <w:sz w:val="19"/>
          <w:szCs w:val="19"/>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136,983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151,510</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141,445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157,667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157,658</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171,842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138,692</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143,974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143,975</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GM</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108,485</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0" w:type="dxa"/>
            <w:vAlign w:val="bottom"/>
          </w:tcPr>
          <w:p>
            <w:pPr>
              <w:spacing w:after="0"/>
              <w:rPr>
                <w:sz w:val="1"/>
                <w:szCs w:val="1"/>
                <w:color w:val="auto"/>
              </w:rPr>
            </w:pPr>
          </w:p>
        </w:tc>
      </w:tr>
      <w:tr>
        <w:trPr>
          <w:trHeight w:val="206"/>
        </w:trPr>
        <w:tc>
          <w:tcPr>
            <w:tcW w:w="3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101,308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113,584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113,590</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9,026</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6"/>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0" w:name="page71"/>
    <w:bookmarkEnd w:id="70"/>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left="20"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during the years ended December 31, 2023, 2022 and 2021.</w:t>
      </w:r>
    </w:p>
    <w:p>
      <w:pPr>
        <w:spacing w:after="0" w:line="189" w:lineRule="exact"/>
        <w:rPr>
          <w:sz w:val="20"/>
          <w:szCs w:val="20"/>
          <w:color w:val="auto"/>
        </w:rPr>
      </w:pPr>
    </w:p>
    <w:p>
      <w:pPr>
        <w:jc w:val="both"/>
        <w:ind w:left="20"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vehicle connectivity, customer rewards programs, maintenance, extended warranty and other contracts of $5.0 billion and $3.3 billion at December 31, 2023 and 2022, which are included in Accrued liabilities and Other liabilities. We recognized revenue of $1.4 billion and $1.3 billion related to contract liabilities during the years ended December 31, 2023 and 2022. We expect to recognize revenue of $1.8 billion, $1.4 billion and $1.9 billion in the years ending December 31, 2024, 2025 and thereafter related to contract liabilities at December 31, 2023.</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Marketable and Other Securities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4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28"/>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$589 million at December 31, 2023 as these securities are not due at a single maturity date.</w:t>
      </w:r>
    </w:p>
    <w:p>
      <w:pPr>
        <w:spacing w:after="0" w:line="233" w:lineRule="exact"/>
        <w:rPr>
          <w:sz w:val="20"/>
          <w:szCs w:val="20"/>
          <w:color w:val="auto"/>
        </w:rPr>
      </w:pPr>
    </w:p>
    <w:p>
      <w:pPr>
        <w:jc w:val="both"/>
        <w:ind w:left="20" w:firstLine="161"/>
        <w:spacing w:after="0" w:line="259"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$2.1 billion, $1.8 billion and $1.9 billion in the years ended December 31, 2023, 2022 and 2021. Available-for-sale debt securities had net unrealized gains of $196 million in the year ended December 31, 2023 and net unrealized losses of $319 million and an insignificant amount in years ended December 31, 2022 and 2021. Cumulative unrealized losses on available-for-sale debt securities were $160 million and $344 million at December 31, 2023 and 2022.</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226060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00" w:top="3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amounts shown in the consolidated statements of cash flows:</w:t>
      </w:r>
    </w:p>
    <w:p>
      <w:pPr>
        <w:spacing w:after="0" w:line="75" w:lineRule="exact"/>
        <w:rPr>
          <w:sz w:val="20"/>
          <w:szCs w:val="20"/>
          <w:color w:val="auto"/>
        </w:rPr>
      </w:pPr>
    </w:p>
    <w:p>
      <w:pPr>
        <w:ind w:left="8080"/>
        <w:spacing w:after="0"/>
        <w:tabs>
          <w:tab w:leader="none" w:pos="9820" w:val="left"/>
        </w:tabs>
        <w:rPr>
          <w:sz w:val="20"/>
          <w:szCs w:val="20"/>
          <w:color w:val="auto"/>
        </w:rPr>
      </w:pP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right="540"/>
        <w:spacing w:after="0" w:line="285" w:lineRule="auto"/>
        <w:rPr>
          <w:sz w:val="20"/>
          <w:szCs w:val="20"/>
          <w:color w:val="auto"/>
        </w:rPr>
      </w:pPr>
      <w:r>
        <w:rPr>
          <w:rFonts w:ascii="Times New Roman" w:cs="Times New Roman" w:eastAsia="Times New Roman" w:hAnsi="Times New Roman"/>
          <w:sz w:val="18"/>
          <w:szCs w:val="18"/>
          <w:color w:val="auto"/>
        </w:rPr>
        <w:t>Restricted cash included in Other current assets Restricted cash included in Other assets</w:t>
      </w: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40" w:type="dxa"/>
            <w:vAlign w:val="bottom"/>
            <w:tcBorders>
              <w:top w:val="single" w:sz="8" w:color="auto"/>
            </w:tcBorders>
          </w:tcPr>
          <w:p>
            <w:pPr>
              <w:spacing w:after="0"/>
              <w:rPr>
                <w:sz w:val="20"/>
                <w:szCs w:val="20"/>
                <w:color w:val="auto"/>
              </w:rPr>
            </w:pPr>
          </w:p>
        </w:tc>
      </w:tr>
      <w:tr>
        <w:trPr>
          <w:trHeight w:val="228"/>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40" w:type="dxa"/>
            <w:vAlign w:val="bottom"/>
          </w:tcPr>
          <w:p>
            <w:pPr>
              <w:spacing w:after="0"/>
              <w:rPr>
                <w:sz w:val="19"/>
                <w:szCs w:val="19"/>
                <w:color w:val="auto"/>
              </w:rPr>
            </w:pPr>
          </w:p>
        </w:tc>
      </w:tr>
      <w:tr>
        <w:trPr>
          <w:trHeight w:val="233"/>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auto"/>
            </w:tcBorders>
          </w:tcPr>
          <w:p>
            <w:pPr>
              <w:spacing w:after="0"/>
              <w:rPr>
                <w:sz w:val="20"/>
                <w:szCs w:val="20"/>
                <w:color w:val="auto"/>
              </w:rPr>
            </w:pPr>
          </w:p>
        </w:tc>
      </w:tr>
      <w:tr>
        <w:trPr>
          <w:trHeight w:val="222"/>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40" w:type="dxa"/>
            <w:vAlign w:val="bottom"/>
            <w:tcBorders>
              <w:bottom w:val="single" w:sz="8" w:color="auto"/>
            </w:tcBorders>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828"/>
        </w:trPr>
        <w:tc>
          <w:tcPr>
            <w:tcW w:w="90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
        </w:trPr>
        <w:tc>
          <w:tcPr>
            <w:tcW w:w="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r>
      <w:tr>
        <w:trPr>
          <w:trHeight w:val="181"/>
        </w:trPr>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2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8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-1005840</wp:posOffset>
            </wp:positionV>
            <wp:extent cx="7132955" cy="14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40"/>
            <w:col w:w="694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72,729</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86,463</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76,310</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8"/>
              </w:rPr>
              <w:t>(2,096)</w:t>
            </w:r>
          </w:p>
        </w:tc>
      </w:tr>
      <w:tr>
        <w:trPr>
          <w:trHeight w:val="24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70,421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84,119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74,214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43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2"/>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10,954</w:t>
            </w: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2"/>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70,911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62,150</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3"/>
        <w:spacing w:after="0" w:line="256"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$13.3 billion and $10.6 billion, and other financing of $476 million and $362 million at December 31, 2023 and 2022. Commercial finance receivables are presented net of dealer cash management balances of $2.6 billion and $1.9 billion at December 31, 2023 and 2022. Under the cash management program, subject to certain conditions, a dealer may choose to reduce the amount of interest on its floorplan line by making principal payments to GM Financial in advance.</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r>
      <w:tr>
        <w:trPr>
          <w:trHeight w:val="25"/>
        </w:trPr>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8"/>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2.7% at December 31, 2023 and 2022.</w:t>
      </w:r>
    </w:p>
    <w:p>
      <w:pPr>
        <w:spacing w:after="0" w:line="24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vehicles for personal and commercial use. The following tables are consolidated summaries of the retail finance receivables by FICO score or its equivalent, determined at origination, for each vintage of the retail finance receivables portfolio at December 31, 2023 and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 net of fees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 net of fees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$809 million and $685 million at December 31, 2023 and 2022. The following tables are consolidated summaries of the delinquency status of the outstanding amortized cost of retail finance receivables for each vintage of the portfolio at December 31, 2023 and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55"/>
        </w:trPr>
        <w:tc>
          <w:tcPr>
            <w:tcW w:w="22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30 days delinquent or in</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Retail finance receivables, net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fees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163"/>
        </w:trPr>
        <w:tc>
          <w:tcPr>
            <w:tcW w:w="22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63"/>
        </w:trPr>
        <w:tc>
          <w:tcPr>
            <w:tcW w:w="22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Finance receivables more than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30 days delinquent or in</w:t>
            </w: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8"/>
        </w:trPr>
        <w:tc>
          <w:tcPr>
            <w:tcW w:w="2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8"/>
                <w:szCs w:val="18"/>
                <w:color w:val="auto"/>
              </w:rPr>
              <w:t>Retail finance receivables, net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vMerge w:val="restart"/>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6"/>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fees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70</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363" w:right="339" w:bottom="1440" w:gutter="0" w:footer="0" w:header="0"/>
        </w:sect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363" w:right="339" w:bottom="1440" w:gutter="0" w:footer="0" w:header="0"/>
          <w:type w:val="continuous"/>
        </w:sectPr>
      </w:pPr>
    </w:p>
    <w:p>
      <w:pPr>
        <w:spacing w:after="0" w:line="132"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credit risk profile by dealer risk rating at December 31, 2023 and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Dealer Risk Rating</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97.1 %</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99.7% of the total revolving balance. Dealer term loans are presented by year of origination.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Dealer Risk Rating</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2"/>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7"/>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99.0% of the total revolving balance. Dealer term loans are presented by year of origination.</w:t>
      </w: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December 31, 2023 and 2022.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segments and GM Financial. These amounts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in GM Financial's consolidated balance sheets and statements of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Sheets(a)</w:t>
            </w: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net due from GM consolidated dealers</w:t>
            </w: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due from Cruise</w:t>
            </w:r>
          </w:p>
        </w:tc>
        <w:tc>
          <w:tcPr>
            <w:tcW w:w="90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receivable(b)</w:t>
            </w: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w:t>
            </w:r>
          </w:p>
        </w:tc>
        <w:tc>
          <w:tcPr>
            <w:tcW w:w="90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32"/>
        </w:trPr>
        <w:tc>
          <w:tcPr>
            <w:tcW w:w="6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1,234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1,537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8"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$3.5 billion, $2.4 billion and $3.3 billion in the years ended December 31, 2023, 2022 and 2021.</w:t>
      </w:r>
    </w:p>
    <w:p>
      <w:pPr>
        <w:spacing w:after="0" w:line="19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$1.8 billion, $1.7 billion and $3.5 billion on its common stock in the years ended December 31, 2023,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220" w:firstLine="202"/>
        <w:spacing w:after="0" w:line="280" w:lineRule="auto"/>
        <w:rPr>
          <w:sz w:val="20"/>
          <w:szCs w:val="20"/>
          <w:color w:val="auto"/>
        </w:rPr>
      </w:pPr>
      <w:r>
        <w:rPr>
          <w:rFonts w:ascii="Times New Roman" w:cs="Times New Roman" w:eastAsia="Times New Roman" w:hAnsi="Times New Roman"/>
          <w:sz w:val="18"/>
          <w:szCs w:val="18"/>
          <w:color w:val="auto"/>
        </w:rPr>
        <w:t>At December 31, 2023, inventories are reflected net of allowances totaling $2.2 billion, of which $1.9 billion is EV-related, to remeasure inventory on-hand to net realizable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Operating Leases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portfolio of leases primarily consists of real estate office space, manufacturing and warehousing facilities, land and equipment. Certain leases contain escalation clauses and renewal or purchase options, and generally our leases have no residual value guarantees or material covenants. We exclude leases with a term of one year or less from our balance sheet, and do not separate non-lease components from our real estate leases.</w:t>
      </w:r>
    </w:p>
    <w:p>
      <w:pPr>
        <w:spacing w:after="0" w:line="2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Rent expense under operating leases was $346 million, $317 million and $294 million in the years ended December 31, 2023, 2022 and 2021. Variable lease costs were insignificant in the years ended December 31, 2023, 2022 and 2021. At December 31, 2023 and 2022, operating lease right of use assets in Other assets were $979 million and $1.1 billion, operating lease liabilities in Accrued liabilities were $264 million and $247 million and non-current operating lease liabilities in Other liabilities were $907 million and $967 million. Operating lease right of use assets obtained in exchange for lease obligations were $225 million and $252 million in the years ended December 31, 2023 and 2022. Our undiscounted future lease obligations related to operating leases having initial terms in excess of one year are $294 million, $239 million, $199 million, $156 million, $135 million and $310 million for the years 2024, 2025, 2026, 2027, 2028 and thereafter, with imputed interest of $161 million as of December 31, 2023. The weighted-average discount rate was 4.3% and 4.0% and the weighted-average remaining lease term was 6.0 years and 6.7 years at December 31, 2023 and 2022. Payments for operating leases included in Net cash provided by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(used in) operating activities were $359 million, $314 million and $301 million in the years ended December 31, 2023, 2022 and 2021. Lease agreements that have not yet commenced were $597 million at December 31, 2023.</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primarily consists of leases to retail customers of GM Financial.</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37,921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40,919</w:t>
            </w:r>
          </w:p>
        </w:tc>
      </w:tr>
      <w:tr>
        <w:trPr>
          <w:trHeight w:val="228"/>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(8,218)</w:t>
            </w:r>
          </w:p>
        </w:tc>
      </w:tr>
      <w:tr>
        <w:trPr>
          <w:trHeight w:val="247"/>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30,582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32,701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December 31, 2023, the estimated residual value of our leased assets at the end of the lease term was $22.7 billion.</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$4.9 billion, $4.8 billion and $6.1 billion in the years ended December 31, 2023, 2022 and 2021.</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4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4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 Net Assets of Nonconsolidated Affiliates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(loss)(a)</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right="20" w:hanging="333"/>
        <w:spacing w:after="0" w:line="260" w:lineRule="auto"/>
        <w:tabs>
          <w:tab w:leader="none" w:pos="37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are presented in Automotive and other cost of sales as this entity is integral to the operations of our business by providing battery cells for our EVs. Equity earnings related to Ultium Cells Holdings LLC were $293 million in the year ended December 31, 2023.</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Nonconsolidated Affiliates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carrying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carrying amount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carrying amount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2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 net assets of nonconsolidated affiliates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carrying amount of our investments in certain joint ventures exceeded our share of the underlying net assets by $4.2 billion and $4.3 billion at December 31, 2023 and 2022 primarily due to goodwill from the application of fresh-start reporting and the purchase of additional interests in nonconsolidated affiliates.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direct ownership interests in our China JVs: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Automotive China JVs</w:t>
            </w: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5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Corp., Ltd. (SGM)</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 Asia Technical Automotive Center Co., Ltd.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General Motors Sales Co., Ltd. (SGMS)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Wuling Automobile Co., Ltd. (SGMW)</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OnStar Telematics Co., Ltd. (Shanghai OnStar)</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(Shenyang) Norsom Motors Co., Ltd. (SGM Norsom)</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 GM Dong Yue Motors Co., Ltd. (SGM DY)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 GM Dong Yue Powertrain Co., Ltd. (SGM DYPT)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joint ventures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SAIC-GMAC Automotive Finance Company Limited (SAIC-GMAC)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SAIC-GMF Leasing Co., Ltd.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SGM is a joint venture we established with Shanghai Automotive Industry Corporation (SAIC) (50%). SGM has interests in three other joint ventures in China: SGM Norsom, SGM DY and SGM DYPT. These three joint ventures are jointly held by SGM (50%), SAIC (25%) and ourselves. These four joint ventures are engaged in the production, import and sale of a range of products under the Buick, Chevrolet and Cadillac brands. SGM also has interests in Shanghai OnStar (20%), SAIC-GMAC (20%) and SAIC-GMF Leasing Co., Ltd. (20%). Shanghai Automotive Group Finance Company Ltd., a subsidiary of SAIC, owns 45% of SAIC-GMAC. SAIC Financial Holdings Company, a subsidiary of SAIC, owns 45% of SAIC-GMF Leasing Co., Ltd.</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Data of Nonconsolidated Affiliates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1320" w:type="dxa"/>
            <w:vAlign w:val="bottom"/>
            <w:gridSpan w:val="3"/>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60" w:type="dxa"/>
            <w:vAlign w:val="bottom"/>
          </w:tcPr>
          <w:p>
            <w:pPr>
              <w:spacing w:after="0"/>
              <w:rPr>
                <w:sz w:val="11"/>
                <w:szCs w:val="11"/>
                <w:color w:val="auto"/>
              </w:rPr>
            </w:pPr>
          </w:p>
        </w:tc>
        <w:tc>
          <w:tcPr>
            <w:tcW w:w="88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5"/>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Automotive China</w:t>
            </w:r>
          </w:p>
        </w:tc>
        <w:tc>
          <w:tcPr>
            <w:tcW w:w="380" w:type="dxa"/>
            <w:vAlign w:val="bottom"/>
          </w:tcPr>
          <w:p>
            <w:pPr>
              <w:spacing w:after="0"/>
              <w:rPr>
                <w:sz w:val="11"/>
                <w:szCs w:val="11"/>
                <w:color w:val="auto"/>
              </w:rPr>
            </w:pP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JVs</w:t>
            </w: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JVs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 Data</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40,765</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620"/>
        </w:trPr>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31,435</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35,857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sales</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37,886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28"/>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 income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4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right="20"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Nonconsolidated Affiliates </w:t>
      </w:r>
      <w:r>
        <w:rPr>
          <w:rFonts w:ascii="Times New Roman" w:cs="Times New Roman" w:eastAsia="Times New Roman" w:hAnsi="Times New Roman"/>
          <w:sz w:val="18"/>
          <w:szCs w:val="18"/>
          <w:color w:val="auto"/>
        </w:rPr>
        <w:t>Our nonconsolidated affiliates are involved in various aspects of the development, production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of trucks, crossovers, cars and automobile parts. We enter into transactions with certain nonconsolidated affiliates to purchase and sell component parts and vehicles. The following tables summarize transactions with and balances related to our nonconsolidated affiliates: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sales and revenue</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Automotive purchases, net</w:t>
            </w:r>
          </w:p>
        </w:tc>
        <w:tc>
          <w:tcPr>
            <w:tcW w:w="128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w:t>
            </w:r>
          </w:p>
        </w:tc>
        <w:tc>
          <w:tcPr>
            <w:tcW w:w="128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128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gridSpan w:val="4"/>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Property</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28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6"/>
              </w:rPr>
              <w:t>5-40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6"/>
              </w:rPr>
              <w:t>3-27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tools</w:t>
            </w:r>
          </w:p>
        </w:tc>
        <w:tc>
          <w:tcPr>
            <w:tcW w:w="128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color w:val="auto"/>
                <w:w w:val="96"/>
              </w:rPr>
              <w:t>1-13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net</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310" w:lineRule="auto"/>
        <w:rPr>
          <w:sz w:val="20"/>
          <w:szCs w:val="20"/>
          <w:color w:val="auto"/>
        </w:rPr>
      </w:pPr>
      <w:r>
        <w:rPr>
          <w:rFonts w:ascii="Times New Roman" w:cs="Times New Roman" w:eastAsia="Times New Roman" w:hAnsi="Times New Roman"/>
          <w:sz w:val="17"/>
          <w:szCs w:val="17"/>
          <w:color w:val="auto"/>
        </w:rPr>
        <w:t>The amount of capitalized software included in Property, net was $2.2 billion and $1.8 billion at December 31, 2023 and 2022. The amount of interest capitalized and excluded from Automotive interest expense related to Property, net was insignificant in the years ended December 31, 2023, 2022 and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amortization expense(a)</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Depreciation and amortization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 Assets</w:t>
      </w:r>
    </w:p>
    <w:p>
      <w:pPr>
        <w:spacing w:after="0" w:line="11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Goodwill of $1.9 billion consisted of $1.3 billion in GM Financial at December 31, 2023 and 2022, and $573 million and $571 million in Cruise at December 31, 2023 and 2022. In the three months ended December 31, 2023, we performed a goodwill impairment test for Cruise and determined that the goodwill was not impaired.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
        </w:trPr>
        <w:tc>
          <w:tcPr>
            <w:tcW w:w="44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r>
      <w:tr>
        <w:trPr>
          <w:trHeight w:val="130"/>
        </w:trPr>
        <w:tc>
          <w:tcPr>
            <w:tcW w:w="444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4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Borders>
              <w:top w:val="single" w:sz="8" w:color="auto"/>
            </w:tcBorders>
            <w:gridSpan w:val="2"/>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06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Borders>
              <w:top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3"/>
        </w:trPr>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intellectual property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2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network, customer relationships and other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amortization expense related to intangible assets was $114 million, $139 million and $141 million in the years ended December 31, 2023, 2022 and 2021.</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Amortization expense related to intangible assets is estimated to be approximately $159 million in each of the next five years.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consolidated financial statements, they are separate legal entities and their assets are legally owned by them and are not available to GM Financial's creditors or creditors of GM Financial's other subsidiaries.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6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6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net of fees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r>
      <w:tr>
        <w:trPr>
          <w:trHeight w:val="26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GM Financial receivables, net of fees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19"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arrangements. The carrying amounts of assets were approximately $2.4 billion and $1.6 billion and liabilities were insignificant related to our nonconsolidated VIEs at December 31, 2023 and 2022. Our maximum exposure to loss as a result of our involvement with these VIEs was $3.5 billion and $3.3 billion, inclusive of $0.8 billion and $1.4 billion in committed capital contributions to Ultium Cells Holdings LLC at December 31, 2023 and 2022. Our maximum exposure to loss, and required capital contributions, could vary depending on Ultium Cells Holdings LLC's requirements and access to capital. We currently lack the power through voting or similar rights to direct the activities of these entities that most significantly affect their economic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Accrued and Other Liabilities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and customer allowances, claims and discounts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Payrolls and employee benefits excluding postemployment benefits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7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and related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 excluding postemployment benefits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Postemployment benefits including facility idling reserves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8,530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current portion of supplier recoveries is recorded in Accounts and notes receivable, net of allowance and the non-current portion is recorded in Other assets.</w:t>
      </w:r>
    </w:p>
    <w:p>
      <w:pPr>
        <w:spacing w:after="0" w:line="200" w:lineRule="exact"/>
        <w:rPr>
          <w:rFonts w:ascii="Times New Roman" w:cs="Times New Roman" w:eastAsia="Times New Roman" w:hAnsi="Times New Roman"/>
          <w:sz w:val="16"/>
          <w:szCs w:val="16"/>
          <w:color w:val="auto"/>
        </w:rPr>
      </w:pPr>
    </w:p>
    <w:p>
      <w:pPr>
        <w:spacing w:after="0" w:line="37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5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9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December 31, 2023. Refer to Note 16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288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16,323</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r>
      <w:tr>
        <w:trPr>
          <w:trHeight w:val="22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16,828</w:t>
            </w:r>
          </w:p>
        </w:tc>
      </w:tr>
      <w:tr>
        <w:trPr>
          <w:trHeight w:val="46"/>
        </w:trPr>
        <w:tc>
          <w:tcPr>
            <w:tcW w:w="50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8"/>
        </w:trPr>
        <w:tc>
          <w:tcPr>
            <w:tcW w:w="5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15,457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15,971</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857</w:t>
            </w:r>
          </w:p>
        </w:tc>
      </w:tr>
      <w:tr>
        <w:trPr>
          <w:trHeight w:val="54"/>
        </w:trPr>
        <w:tc>
          <w:tcPr>
            <w:tcW w:w="5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15,095</w:t>
            </w:r>
          </w:p>
        </w:tc>
      </w:tr>
      <w:tr>
        <w:trPr>
          <w:trHeight w:val="22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 of senior notes.</w:t>
      </w:r>
    </w:p>
    <w:p>
      <w:pPr>
        <w:spacing w:after="0" w:line="8"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$527 million and $525 million at December 31, 2023 and 2022.</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designated for exclusive use by GM Financial.</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March 2023, we redeemed our $1.5 billion, 4.875% senior unsecured notes with a maturity date of October 2023 and recorded an insignificant loss.</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Also, 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The renewed credit facilities are based on Term SOFR whereas the previous credit facilities were based on the London Interbank Offered Rate (LIBOR).</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October 2023, we entered into a new 364-day unsecured revolving credit facility with a borrowing capacity of $6.0 billion, which we terminated on November 24, 2023.</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November 2023, the Company entered an unsecured 364-day delayed draw term loan credit agreement that permits the Company to borrow up to $3.0 billion in the form of four term loans during an availability period that ends June 28, 2024. Amounts drawn and repaid may not be reborrowed and the final maturity date for any loans outstanding under the delayed draw credit agreement is November 27,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41,467</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91,545</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bl>
    <w:p>
      <w:pPr>
        <w:spacing w:after="0" w:line="29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11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5.32% at December 31, 2023. The revolving credit facilities have maturity dates ranging from 2024 to 2029 and securitization notes payable have maturity dates ranging from 2024 to 2036. At the end of the revolving period, if not renewed, the debt of revolving credit facilities will amortize over a defined period. In the year ended December 31, 2023, GM Financial renewed revolving credit facilities with total borrowing capacity of $20.8 billion and issued $23.6 billion in aggregate principal amount of securitization notes payable with an initial weighted-average interest rate of 5.60% and maturity dates ranging from 2023 to 2036.</w:t>
      </w:r>
    </w:p>
    <w:p>
      <w:pPr>
        <w:spacing w:after="0" w:line="21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Senior notes outstanding at December 31, 2023 have maturity dates ranging from 2024 to 2034 and have a weighted-average interest rate of 3.82%. In the year ended December 31, 2023, GM Financial issued $11.4 billion in aggregate principal amount of senior notes with an initial weighted-average interest rate of 5.70% and maturity dates ranging from 2026 to 2034.</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credit facilities and other unsecured debt have original maturities of up to five years. The weighted-average interest rate on these credit facilities and other unsecured debt was 7.82% at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Financing - GM Financial interest expense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8160" w:type="dxa"/>
            <w:vAlign w:val="bottom"/>
            <w:gridSpan w:val="3"/>
          </w:tcPr>
          <w:p>
            <w:pPr>
              <w:jc w:val="right"/>
              <w:ind w:right="553"/>
              <w:spacing w:after="0"/>
              <w:rPr>
                <w:sz w:val="20"/>
                <w:szCs w:val="20"/>
                <w:color w:val="auto"/>
              </w:rPr>
            </w:pPr>
            <w:r>
              <w:rPr>
                <w:rFonts w:ascii="Times New Roman" w:cs="Times New Roman" w:eastAsia="Times New Roman" w:hAnsi="Times New Roman"/>
                <w:sz w:val="18"/>
                <w:szCs w:val="18"/>
                <w:color w:val="auto"/>
              </w:rPr>
              <w:t>The following table summarizes contractual maturities including finance leases at December 31, 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0"/>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24"/>
                <w:szCs w:val="24"/>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Automotive Financing</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25,615</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25,081</w:t>
            </w:r>
          </w:p>
        </w:tc>
      </w:tr>
      <w:tr>
        <w:trPr>
          <w:trHeight w:val="247"/>
        </w:trPr>
        <w:tc>
          <w:tcPr>
            <w:tcW w:w="6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Compliance with Debt Covenants </w:t>
      </w:r>
      <w:r>
        <w:rPr>
          <w:rFonts w:ascii="Times New Roman" w:cs="Times New Roman" w:eastAsia="Times New Roman" w:hAnsi="Times New Roman"/>
          <w:sz w:val="18"/>
          <w:szCs w:val="18"/>
          <w:color w:val="auto"/>
        </w:rPr>
        <w:t>Several of our loan facilities, including our revolving credit facilities, require compliance with certain financial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covenants as well as regular reporting to lenders, including providing certain subsidiary financial statements. Certain of GM Financial’s secured debt agreements also contain various covenants, including maintaining portfolio performance ratios as well as limits on deferment levels. GM Financial’s unsecured debt obligations contain covenants including limitations on GM Financial's ability to incur certain liens. Failure to meet certain of these requirements may result in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 covenant violation or an event of default depending on the terms of the agreement. An event of default may allow lenders to declare amounts outstanding under these agreements immediately due and payable, to enforce their interests against collateral pledged under these agreements or restrict our ability or GM Financial's ability to obtain additional borrowings. No technical defaults or covenant violations existed at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Financial Instruments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6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6"/>
              <w:spacing w:after="0" w:line="13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8"/>
        </w:trPr>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47"/>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instruments(c)</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0" w:lineRule="exact"/>
        <w:rPr>
          <w:sz w:val="20"/>
          <w:szCs w:val="20"/>
          <w:color w:val="auto"/>
        </w:rPr>
      </w:pPr>
    </w:p>
    <w:p>
      <w:pPr>
        <w:jc w:val="both"/>
        <w:ind w:left="340" w:hanging="333"/>
        <w:spacing w:after="0" w:line="254" w:lineRule="auto"/>
        <w:tabs>
          <w:tab w:leader="none" w:pos="33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consolidated income statements and statements of comprehensive income for the years ended December 31,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2022 and 2021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5"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in the consolidated statements of comprehensive income include gains of $139 million, losses of $529 million and losses of $352 million recognized in Accumulated other comprehensive loss and gains of $92 million, losses of $578 million and losses of $409 million reclassified from Accumulated other comprehensive loss into income for the years ended December 31, 2023, 2022 and 2021.</w:t>
      </w:r>
    </w:p>
    <w:p>
      <w:pPr>
        <w:spacing w:after="0" w:line="1" w:lineRule="exact"/>
        <w:rPr>
          <w:rFonts w:ascii="Times New Roman" w:cs="Times New Roman" w:eastAsia="Times New Roman" w:hAnsi="Times New Roman"/>
          <w:sz w:val="16"/>
          <w:szCs w:val="16"/>
          <w:color w:val="auto"/>
        </w:rPr>
      </w:pPr>
    </w:p>
    <w:p>
      <w:pPr>
        <w:ind w:left="340" w:hanging="333"/>
        <w:spacing w:after="0" w:line="255" w:lineRule="auto"/>
        <w:tabs>
          <w:tab w:leader="none" w:pos="33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$457 million and $553 million of collateral from counterparties available for netting against GM Financial's asset positions, and posted $1.2 billion and $1.5 billion of collateral to counterparties available for netting against GM Financial's liability positions at December 31, 2023 and 2022.</w:t>
      </w:r>
    </w:p>
    <w:p>
      <w:pPr>
        <w:spacing w:after="0" w:line="2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779</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3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$872 million and an insignificant amount of unamortized losses remaining on hedged items for which hedge accounting has been discontinued at December 31, 2023 and 2022.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Pensions and Other Postretirement Benefits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and Other Postretirement Benefit Plans</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Pension Plans </w:t>
      </w:r>
      <w:r>
        <w:rPr>
          <w:rFonts w:ascii="Times New Roman" w:cs="Times New Roman" w:eastAsia="Times New Roman" w:hAnsi="Times New Roman"/>
          <w:sz w:val="18"/>
          <w:szCs w:val="18"/>
          <w:color w:val="auto"/>
        </w:rPr>
        <w:t>Defined benefit pension plans covering eligible U.S. hourly employees (hired prior to October 2007) and Canadian hourly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(hired prior to October 2016) generally provide benefits of negotiated, stated amounts for each year of service and supplemental benefits for employees who retire with 30 years of service before normal retirement age. The benefits provided by the defined benefit pension plans covering eligible U.S. (hired prior to January 1, 2001) and Canadian salaried employees and employees in certain other non-U.S. locations are generally based on years of service and compensation history. Accrual of defined pension benefits ceased in 2012 for U.S. and Canadian salaried employees. There is also an unfunded nonqualified pension plan primarily covering U.S. executives for service prior to January 1, 2007 and it is based on an “excess plan” for service after that date.</w:t>
      </w:r>
    </w:p>
    <w:p>
      <w:pPr>
        <w:spacing w:after="0" w:line="21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funding policy for qualified defined benefit pension plans is to contribute annually not less than the minimum required by applicable laws and regulations or to directly pay benefit payments where appropriate. In the year ended December 31, 2023, all legal funding requirements were met. The following table summarizes contributions made to the defined benefit pension plans: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hourly and salaried</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expect to make insignificant contributions to our U.S. pension plans and up to $700 million in contributions to our non-U.S. pension plans in 2024.</w:t>
      </w:r>
    </w:p>
    <w:p>
      <w:pPr>
        <w:spacing w:after="0" w:line="246"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Postretirement Benefit Plans </w:t>
      </w:r>
      <w:r>
        <w:rPr>
          <w:rFonts w:ascii="Times New Roman" w:cs="Times New Roman" w:eastAsia="Times New Roman" w:hAnsi="Times New Roman"/>
          <w:sz w:val="18"/>
          <w:szCs w:val="18"/>
          <w:color w:val="auto"/>
        </w:rPr>
        <w:t>Certain hourly and salaried defined benefit plans provide postretirement medical, dental, legal service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to eligible U.S. and Canadian retirees and their eligible dependents. Certain other non-U.S. subsidiaries have postretirement benefit plans, although most non-U.S. employees are covered by government sponsored or administered programs. We made contributions to the U.S. OPEB plans of $295 million, $335 million and $351 million in the years ended December 31, 2023, 2022 and 2021. Plan participants' contributions were insignificant in the years ended December 31, 2023, 2022 and 2021.</w:t>
      </w:r>
    </w:p>
    <w:p>
      <w:pPr>
        <w:spacing w:after="0" w:line="20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Contribution Plans </w:t>
      </w:r>
      <w:r>
        <w:rPr>
          <w:rFonts w:ascii="Times New Roman" w:cs="Times New Roman" w:eastAsia="Times New Roman" w:hAnsi="Times New Roman"/>
          <w:sz w:val="18"/>
          <w:szCs w:val="18"/>
          <w:color w:val="auto"/>
        </w:rPr>
        <w:t>We have defined contribution plans for eligible U.S. salaried and hourly employees that provide discretionary matching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contributions. Contributions are also made to certain non-U.S. defined contribution plans. We made contributions to our defined contribution plans of $742 million, $724 million and $606 million in the years ended December 31, 2023, 2022 and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Plan Amendments, Benefit Modifications and Related Events</w:t>
      </w:r>
    </w:p>
    <w:p>
      <w:pPr>
        <w:spacing w:after="0" w:line="25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Remeasurements </w:t>
      </w:r>
      <w:r>
        <w:rPr>
          <w:rFonts w:ascii="Times New Roman" w:cs="Times New Roman" w:eastAsia="Times New Roman" w:hAnsi="Times New Roman"/>
          <w:sz w:val="18"/>
          <w:szCs w:val="18"/>
          <w:color w:val="auto"/>
        </w:rPr>
        <w:t>As part of our collective bargaining agreement with the UAW in 2023 we amended the U.S. Hourly Pension Plan to increase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monthly basic benefit by $5.00 a month for active plan members and to provide an annual contribution of $500 to eligible retirees and surviving spouses for the duration of the contract. These changes increased our pension obligation by $791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OPEB Obligations and Plan Assets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20" w:type="dxa"/>
            <w:vAlign w:val="bottom"/>
          </w:tcPr>
          <w:p>
            <w:pPr>
              <w:spacing w:after="0"/>
              <w:rPr>
                <w:sz w:val="16"/>
                <w:szCs w:val="16"/>
                <w:color w:val="auto"/>
              </w:rPr>
            </w:pPr>
          </w:p>
        </w:tc>
        <w:tc>
          <w:tcPr>
            <w:tcW w:w="27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Global</w:t>
            </w:r>
          </w:p>
        </w:tc>
        <w:tc>
          <w:tcPr>
            <w:tcW w:w="0" w:type="dxa"/>
            <w:vAlign w:val="bottom"/>
          </w:tcPr>
          <w:p>
            <w:pPr>
              <w:spacing w:after="0"/>
              <w:rPr>
                <w:sz w:val="1"/>
                <w:szCs w:val="1"/>
                <w:color w:val="auto"/>
              </w:rPr>
            </w:pPr>
          </w:p>
        </w:tc>
      </w:tr>
      <w:tr>
        <w:trPr>
          <w:trHeight w:val="40"/>
        </w:trPr>
        <w:tc>
          <w:tcPr>
            <w:tcW w:w="5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OPEB Plans</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benefit obligation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benefit obligation</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fair value of plan assets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 and other</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fair value of plan assets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funded status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Amounts recorded in the consolidated balance sheets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recorded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recorded in Accumulated other comprehensive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prior service (cost) credit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Accumulated other comprehensive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2023, the actuarial loss included in the benefit obligations was primarily due to a decrease in the discount rates. In the year ended December 31 2022, the actuarial gain included in the benefit obligations was primarily due to an increase in the discount rates.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following table summarizes the total accumulated benefit obligations (ABO), the ABO and fair value of plan assets for defined benefit pension plans with ABO in excess of plan assets, and the projected benefit obligation (PBO) and fair value of plan assets for defined benefit pension plans with PBO in excess of plan assets: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22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8"/>
        </w:trPr>
        <w:tc>
          <w:tcPr>
            <w:tcW w:w="5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ABO in excess of plan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PBO in excess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PBO</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w:t>
            </w:r>
          </w:p>
        </w:tc>
      </w:tr>
      <w:tr>
        <w:trPr>
          <w:trHeight w:val="22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pension and OPEB expense along with the assumptions used to determine benefit obligations: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5"/>
              </w:rPr>
              <w:t>Year Ended December 31,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Global OPEB</w:t>
            </w:r>
          </w:p>
        </w:tc>
        <w:tc>
          <w:tcPr>
            <w:tcW w:w="200" w:type="dxa"/>
            <w:vAlign w:val="bottom"/>
          </w:tcPr>
          <w:p>
            <w:pPr>
              <w:spacing w:after="0"/>
              <w:rPr>
                <w:sz w:val="16"/>
                <w:szCs w:val="16"/>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140" w:type="dxa"/>
            <w:vAlign w:val="bottom"/>
          </w:tcPr>
          <w:p>
            <w:pPr>
              <w:spacing w:after="0"/>
              <w:rPr>
                <w:sz w:val="16"/>
                <w:szCs w:val="16"/>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Global</w:t>
            </w:r>
          </w:p>
        </w:tc>
        <w:tc>
          <w:tcPr>
            <w:tcW w:w="200" w:type="dxa"/>
            <w:vAlign w:val="bottom"/>
          </w:tcPr>
          <w:p>
            <w:pPr>
              <w:spacing w:after="0"/>
              <w:rPr>
                <w:sz w:val="16"/>
                <w:szCs w:val="16"/>
                <w:color w:val="auto"/>
              </w:rPr>
            </w:pPr>
          </w:p>
        </w:tc>
        <w:tc>
          <w:tcPr>
            <w:tcW w:w="172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Pension Benefits</w:t>
            </w: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Global OPEB</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Non-U.S.</w:t>
            </w:r>
          </w:p>
        </w:tc>
        <w:tc>
          <w:tcPr>
            <w:tcW w:w="1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Plans</w:t>
            </w: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OPEB Plans</w:t>
            </w: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Non-U.S.</w:t>
            </w:r>
          </w:p>
        </w:tc>
        <w:tc>
          <w:tcPr>
            <w:tcW w:w="18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Plans</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expense</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Amortization of net actuarial (gains)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3"/>
        </w:trPr>
        <w:tc>
          <w:tcPr>
            <w:tcW w:w="302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color w:val="auto"/>
              </w:rPr>
              <w:t>Net periodic pension and OPEB</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ind w:right="64"/>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1"/>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expense</w:t>
            </w:r>
          </w:p>
        </w:tc>
        <w:tc>
          <w:tcPr>
            <w:tcW w:w="1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0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Weighted-average assumptions used to</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benefit obligations(a)</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0" w:type="dxa"/>
            <w:vAlign w:val="bottom"/>
          </w:tcPr>
          <w:p>
            <w:pPr>
              <w:spacing w:after="0"/>
              <w:rPr>
                <w:sz w:val="1"/>
                <w:szCs w:val="1"/>
                <w:color w:val="auto"/>
              </w:rPr>
            </w:pPr>
          </w:p>
        </w:tc>
      </w:tr>
      <w:tr>
        <w:trPr>
          <w:trHeight w:val="179"/>
        </w:trPr>
        <w:tc>
          <w:tcPr>
            <w:tcW w:w="30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Weighted-average assumptions used to</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determine net expense(a)</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The rate of compensation increase and the cash balance interest crediting rates do not have a significant effect on our U.S. pension and OPEB plans.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non-service cost components of the net periodic pension and OPEB income are presented in Interest income and other non-operating income,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for additional information.</w:t>
      </w:r>
    </w:p>
    <w:p>
      <w:pPr>
        <w:spacing w:after="0" w:line="23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U.S. pension plan service cost, which includes administrative expenses and Pension Benefit Guarantee Corporation premiums, were insignificant for the years ended December 31, 2023, 2022 and 2021. Weighted-average assumptions used to determine net expense are determined at the beginning of the period and updated for remeasurements. Non-U.S. pension plan administrative expenses included in service cost were insignificant in the years ended December 31, 2023, 2022 and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5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Strategies and Long-Term Rate of Return </w:t>
      </w:r>
      <w:r>
        <w:rPr>
          <w:rFonts w:ascii="Times New Roman" w:cs="Times New Roman" w:eastAsia="Times New Roman" w:hAnsi="Times New Roman"/>
          <w:sz w:val="18"/>
          <w:szCs w:val="18"/>
          <w:color w:val="auto"/>
        </w:rPr>
        <w:t>Detailed periodic studies are conducted by our internal asset management group as well as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actuaries and are used to determine the long-term strategic mix among asset classes, risk mitigation strategies and the expected long-term ROA assumptions for the U.S. pension plans. The U.S. study includes a review of alternative asset allocation and risk mitigation strategies, anticipated future long-term performance and risk of the individual asset classes that comprise the plans' asset mix. Similar studies are performed for the significant non-U.S. pension plans with the assistance of outside actuaries and asset managers. While the studies incorporate data from recent plan performance and historical returns, the expected rate of return on plan assets represents our estimate of long-term prospective rates of return.</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continue to pursue various options to fund and to manage risk in our pension plans, including continued changes to the pension asset portfolio mix to manage funded status volatility. The strategic asset mix and risk mitigation strategies for the plans are tailored specifically for each plan. Individual plans have distinct liabilities, liquidity needs and regulatory requirements. Consequently, there are different investment policies set by individual plan fiduciaries. Although investment policies and risk mitigation strategies may differ among plans, each investment strategy is considered to be appropriate in the context of the specific factors affecting each plan.</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setting new strategic asset mixes, consideration is given to the likelihood that the selected asset mixes will effectively fund the projected pension plan liabilities, while aligning with the risk tolerance of the plans' fiduciaries. The strategic asset mixes for U.S. defined benefit pension plans are increasingly designed to satisfy the competing objectives of improving funded positions (market value of assets equal to or greater than the present value of the liabilities) and mitigating the possibility of a deterioration in funded status.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Derivatives may be used to provide cost effective solutions for rebalancing investment portfolios, increasing or decreasing exposure to various asset classes and for mitigating risks, primarily interest rate, equity and currency risks. Equity and fixed income managers are permitted to utilize derivatives as efficient substitutes for traditional securities. Interest rate derivatives may be used to adjust portfolio duration to align with a plan's targeted investment policy and equity derivatives may be used to protect equity positions from downside market losses. Alternative investment managers are permitted to employ leverage, including through the use of derivatives, which may alter economic exposure.</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December 2023, an investment policy study was completed for the U.S. pension plans. As a result, the weighted-average long-term rate of ROA remains unchanged at 6.3% at December 31, 2023 and 2022. The expected long-term rate of return on plan assets used in determining pension expense for non-U.S. plans is determined in a similar manner to the U.S. plans.</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Target Allocation Percentages </w:t>
      </w:r>
      <w:r>
        <w:rPr>
          <w:rFonts w:ascii="Times New Roman" w:cs="Times New Roman" w:eastAsia="Times New Roman" w:hAnsi="Times New Roman"/>
          <w:sz w:val="18"/>
          <w:szCs w:val="18"/>
          <w:color w:val="auto"/>
        </w:rPr>
        <w:t>The following table summarizes the target allocations by asset category for U.S. and non-U.S. defined benefit pension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Pr>
          <w:p>
            <w:pPr>
              <w:spacing w:after="0"/>
              <w:rPr>
                <w:sz w:val="16"/>
                <w:szCs w:val="16"/>
                <w:color w:val="auto"/>
              </w:rPr>
            </w:pPr>
          </w:p>
        </w:tc>
        <w:tc>
          <w:tcPr>
            <w:tcW w:w="1980" w:type="dxa"/>
            <w:vAlign w:val="bottom"/>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5"/>
        </w:trPr>
        <w:tc>
          <w:tcPr>
            <w:tcW w:w="5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8"/>
        </w:trPr>
        <w:tc>
          <w:tcPr>
            <w:tcW w:w="554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7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private equity, real estate and absolute return strategies, which mainly consist of hedge funds.</w:t>
      </w:r>
    </w:p>
    <w:p>
      <w:pPr>
        <w:spacing w:after="0" w:line="200" w:lineRule="exact"/>
        <w:rPr>
          <w:rFonts w:ascii="Times New Roman" w:cs="Times New Roman" w:eastAsia="Times New Roman" w:hAnsi="Times New Roman"/>
          <w:sz w:val="16"/>
          <w:szCs w:val="16"/>
          <w:color w:val="auto"/>
        </w:rPr>
      </w:pPr>
    </w:p>
    <w:p>
      <w:pPr>
        <w:spacing w:after="0" w:line="39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ind w:right="320"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Fair Value Measurements </w:t>
      </w:r>
      <w:r>
        <w:rPr>
          <w:rFonts w:ascii="Times New Roman" w:cs="Times New Roman" w:eastAsia="Times New Roman" w:hAnsi="Times New Roman"/>
          <w:sz w:val="18"/>
          <w:szCs w:val="18"/>
          <w:color w:val="auto"/>
        </w:rPr>
        <w:t>The following tables summarize the fair value of U.S. and non-U.S. defined benefit pension plan assets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class: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Pension Plan Assets</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 net(b)</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plan assets (liabilities), net(c)</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(1,111)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8"/>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Non-U.S. Pension Plan Assets</w:t>
            </w: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and agency debt securities(a)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28"/>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 net(b)(d)</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plan assets subject to leveling</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measured at net asset value</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and debt investments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investments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 measured at net asset value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plan assets (liabilities), net(c)</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plan assets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U.S. and sovereign government and agency issues.</w:t>
      </w:r>
    </w:p>
    <w:p>
      <w:pPr>
        <w:spacing w:after="0" w:line="8"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derivative assets (liabilities).</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held by the plans, net of amounts receivable/payable for unsettled security transactions and payables for investment manager fees, custody fees and other expenses.</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Other investments, net includes Canadian repurchase agreements of approximately $137 million and $150 million at December 31, 2023 and 2022.</w:t>
      </w:r>
    </w:p>
    <w:p>
      <w:pPr>
        <w:spacing w:after="0" w:line="22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activity attributable to U.S. and non-U.S. Level 3 defined benefit pension plan investments was insignificant in the years ended December 31, 2023 and 2022.</w:t>
      </w:r>
    </w:p>
    <w:p>
      <w:pPr>
        <w:spacing w:after="0" w:line="18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Fund Strategies </w:t>
      </w:r>
      <w:r>
        <w:rPr>
          <w:rFonts w:ascii="Times New Roman" w:cs="Times New Roman" w:eastAsia="Times New Roman" w:hAnsi="Times New Roman"/>
          <w:sz w:val="18"/>
          <w:szCs w:val="18"/>
          <w:color w:val="auto"/>
        </w:rPr>
        <w:t>Investment funds include hedge funds, funds of hedge funds, equity funds and fixed income funds. Hedge funds and funds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hedge funds managers typically seek to achieve their objectives by allocating capital across a broad array of funds and/or investment managers. Equity funds invest in U.S. common and preferred stocks as well as similar equity securities issued by companies incorporated, listed or domiciled in developed and/or emerging market countries. Fixed income funds include investments in high quality funds and, to a lesser extent, high yield funds. High quality fixed income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funds invest in government securities, investment-grade corporate bonds and mortgage and asset-backed securities. High yield fixed income funds invest in high yield fixed income securities issued by corporations, which are rated below investment grade. Other investment funds also included in this category primarily represent multi-strategy funds that invest in broadly diversified portfolios of equity, fixed income and derivative instruments.</w:t>
      </w:r>
    </w:p>
    <w:p>
      <w:pPr>
        <w:spacing w:after="0" w:line="20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Private equity and debt investments primarily consist of investments in private equity and debt funds. These investments provide exposure to and benefit from long-term equity investments in private companies, including leveraged buy-outs, venture capital and distressed debt strategies.</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Real estate investments include funds that invest in entities that are primarily engaged in the ownership, acquisition, development, financing, sale and/or management of income-producing real estate properties, both commercial and residential. These funds typically seek long-term growth of capital and current income that is above average relative to public equity funds.</w:t>
      </w:r>
    </w:p>
    <w:p>
      <w:pPr>
        <w:spacing w:after="0" w:line="2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Concentrations of Risk </w:t>
      </w:r>
      <w:r>
        <w:rPr>
          <w:rFonts w:ascii="Times New Roman" w:cs="Times New Roman" w:eastAsia="Times New Roman" w:hAnsi="Times New Roman"/>
          <w:sz w:val="18"/>
          <w:szCs w:val="18"/>
          <w:color w:val="auto"/>
        </w:rPr>
        <w:t>The assets of the pension plans include certain investment funds, private equity and debt investments and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Investment managers may be unable to quickly sell or redeem some or all of these investments at an amount close or equal to fair value in order to meet a plan's liquidity requirements or to respond to specific events such as deterioration in the creditworthiness of any particular issuer or counterparty.</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Illiquid investments held by the plans are generally long-term investments that complement the long-term nature of pension obligations and are not used to fund benefit payments when currently due. Plan management monitors liquidity risk on an ongoing basis and has procedures in place that are designed to maintain flexibility in addressing plan-specific, broader industry and market liquidity events.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pension plans may invest in financial instruments denominated in foreign currencies and may be exposed to risks that the foreign currency exchange rates might change in a manner that has an adverse effect on the value of the foreign currency denominated assets or liabilities. Forward currency contracts may be used to manage and mitigate foreign currency risk.</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 pension plans may invest in debt securities for which any change in the relevant interest rates for particular securities might result in an investment manager being unable to secure similar returns upon the maturity or the sale of securities. In addition, changes to prevailing interest rates or changes in expectations of future interest rates might result in an increase or decrease in the fair value of the securities held. Interest rate swaps and other financial derivative instruments may be used to manage interest rate risk.</w:t>
      </w:r>
    </w:p>
    <w:p>
      <w:pPr>
        <w:spacing w:after="0" w:line="2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Benefit Payments </w:t>
      </w:r>
      <w:r>
        <w:rPr>
          <w:rFonts w:ascii="Times New Roman" w:cs="Times New Roman" w:eastAsia="Times New Roman" w:hAnsi="Times New Roman"/>
          <w:sz w:val="18"/>
          <w:szCs w:val="18"/>
          <w:color w:val="auto"/>
        </w:rPr>
        <w:t>Benefits for most U.S. pension plans and certain non-U.S. pension plans are paid out of plan assets rather than our Cash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The following table summarizes net benefit payments expected to be paid in the future, which include assumptions related to estimated future employee service: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Global OPEB Plans</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80" w:type="dxa"/>
            <w:vAlign w:val="bottom"/>
          </w:tcPr>
          <w:p>
            <w:pPr>
              <w:spacing w:after="0"/>
              <w:rPr>
                <w:sz w:val="16"/>
                <w:szCs w:val="16"/>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2029–2033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December 31, 2023 and 2022, we had accruals of $1.2 billion and $1.1 billion in Accrued liabilities and Other liabilities. In many matters, it is inherently difficult to determine whether a loss is probable or reasonably possible or to estimate the size or range of the possible loss.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Subcontract Workers Litigation </w:t>
      </w:r>
      <w:r>
        <w:rPr>
          <w:rFonts w:ascii="Times New Roman" w:cs="Times New Roman" w:eastAsia="Times New Roman" w:hAnsi="Times New Roman"/>
          <w:sz w:val="18"/>
          <w:szCs w:val="18"/>
          <w:color w:val="auto"/>
        </w:rPr>
        <w:t>GM Korea Company (GM Korea) is party to litigation with current and former subcontract workers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claims. Although GM Korea has appealed these decisions to the Korea Supreme Court, GM Korea has since hired certain of its subcontract workers as full-time employees. At December 31, 2023, our accrual covering certain asserted claims and claims that we believe are probable of assertion and for which liability is probable was approximately $147 million. We estimate the reasonably possible loss in excess of amounts accrued for other current subcontract workers who may assert similar claims to be approximately $86 million at December 31, 2023. We are currently unable to estimate any reasonably possible material loss or range of loss that may result from additional claims that may be asserted by former subcontract workers.</w:t>
      </w:r>
    </w:p>
    <w:p>
      <w:pPr>
        <w:spacing w:after="0" w:line="21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state and foreign emission standards. In July 2023, the putative class actions pending in the U.S. were dismissed with prejudice and judgment entered in favor of GM, and plaintiffs appealed the dismissal.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and two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a certified class action proceeding involving three states. We do not believe that the verdict is supported by the evidence and plan to appeal. We are currently unable to estimate any reasonably possible material loss or range of loss that may result from the putative class action proceedings and have previously accrued an immaterial amount related to one of the certified class action proceedings.</w:t>
      </w:r>
    </w:p>
    <w:p>
      <w:pPr>
        <w:spacing w:after="0" w:line="21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The Sixth Circuit has agreed to hear our appeal of this class certification order. The putative class action concerning 2020–2022 model year vehicles is pending in front of a different judge that has not yet addressed class certification. We have similar cases pending in Canada concerning these vehicles. In the year ended December 31, 2023, we accrued an insignificant amount in connection with these matters. We are currently unable to estimate any reasonably possible or probable material loss or range of loss that may result from these proceedings in excess of amounts accrued.</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is a class action pending against GM in the U.S., and a putative class action in Canada, alleging that 2011–2016 model year Duramax Diesel Chevrolet Silverado and GMC Sierra vehicles are equipped with defective fuel pumps that are prone to</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failure. In March 2023, the U.S. court certified seven state subclasses. In the year ended December 31, 2023, we accrued an insignificant amount in connection with these matters. We are currently unable to estimate any reasonably possible or probable material loss or range of loss that may result from these proceedings in excess of amounts accrued.</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are currently in discussions with the EPA and other regulators regarding potential adjustments to certain prior year GHG and CAFE accounting balances. Based on progress made in these discussions, in the year ended December 31, 2023, we accrued $289 million. Through December 31, 2023, the total costs expensed in connection with these matters were $450 million, which represents our current best estimate of the probable loss related to these matters. We are currently unable to provide an estimate of any loss in excess of amounts incurred, but such loss may be material.</w:t>
      </w:r>
    </w:p>
    <w:p>
      <w:pPr>
        <w:spacing w:after="0" w:line="20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Indirect tax-related matters are being evaluated globally pertaining to value added taxes, customs, duties, sales tax, property taxes and other non-income tax-related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$1.9 billion at December 31, 2023.</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NHTSA directed that we replace the Takata Corporation (Takata) airbag inflators in our GMT900 vehicles,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full-size pickup trucks and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In the year ended December 31, 2023, we reduced our accrual by an insignificant amount based on the actual costs incurred to-date. At December 31, 2023, our remaining accrual for these matters was $609 million, and we believe the currently accrued amount remains reasonable.</w:t>
      </w:r>
    </w:p>
    <w:p>
      <w:pPr>
        <w:spacing w:after="0" w:line="211"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Mexico, arising out of allegations that airbag inflators manufactured by Takata are defective. In March 2023, a U.S. court overseeing one of the putative class actions issued a final judgment in favor of GM on all claims in eight states at issue in that proceeding. Plaintiffs have appealed this decision.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NHTSA’s initial decision is based on the occurrence of seven field ruptures involving ARC-manufactured frontal airbag inflators. We are continuing to investigate the cause of the ruptures in GM vehicles in connection with our existing recalls. The administrative record for NHTSA’s investigation closed on December 18, 2023, and we are waiting for NHTSA to issue its final decision. As indicated in GM's filed comment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2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 Energy Solution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(LGE) and LGES (collectively, LG), have agreed to reimburse GM for certain costs and expenses associated with the recall. The commercial negotiations with LG also resolved other commercial matters associated with our Ultium Cells Holdings LLC joint venture with LGES. Accordingly, through December 31, 2023, we have accrued a total of $2.6 billion and recognized receivables totaling $1.6 billion in connection with these matters. At December 31, 2023, our remaining accrual for these matters was $0.6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reached an agreement in principle to settle the U.S. class actions for an immaterial amount.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Opel/Vauxhall Business to PSA Group (now Stellantis) under a Master Agreement (the Agreement). We also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$615 million and $561 million in Accrued liabilities and Other liabilities at December 31, 2023 and 2022,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2024 to 2028,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$3.5 billion and $3.1 billion for these guarantees at December 31, 2023 and 2022,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Credit Cards </w:t>
      </w:r>
      <w:r>
        <w:rPr>
          <w:rFonts w:ascii="Times New Roman" w:cs="Times New Roman" w:eastAsia="Times New Roman" w:hAnsi="Times New Roman"/>
          <w:sz w:val="18"/>
          <w:szCs w:val="18"/>
          <w:color w:val="auto"/>
        </w:rPr>
        <w:t>Credit card programs offer rebates that can be applied primarily against the purchase or lease of our vehicles. At December 31,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our redemption liability was insignificant, our deferred revenue was $384 million and $353 million, and qualified cardholders had rebates available, net of deferred program revenue, of $1.2 billion and $1.1 billion. Our redemption liability and deferred revenue are recorded in Accrued liabilities and Other liabilities.</w:t>
      </w:r>
    </w:p>
    <w:p>
      <w:pPr>
        <w:spacing w:after="0" w:line="2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$1.3 billion and $852 million at December 31, 2023 and 2022, which are recorded in Accounts payable (principally trade).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(loss)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 income (loss)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 and equity income (loss)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6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expense (benefit)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Non-U.S. deferred income tax benefit in the year ended December 31, 2023 relates primarily to the release of a valuation allowance in Korea.</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Provisions are made for estimated U.S. and non-U.S. income taxes which may be incurred on the reversal of our basis differences in investments in foreign subsidiaries and corporate joint ventures not deemed to be indefinitely reinvested. Taxes have not been provided on basis differences in investments primarily as a result of earnings in foreign subsidiaries which are deemed indefinitely reinvested of $4.3 billion and $3.5 billion at December 31, 2023 and 2022. We have indefinitely reinvested basis differences related to investments in non-consolidated China JVs of $3.4 billion at December 31, 2023 and 2022 as a result of fresh-start reporting. Quantification of the deferred tax liability, if any, associated with indefinitely reinvested basis differences is not practicable.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income tax rate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 expense (benefit)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income taxed at other than the U.S. federal statutory tax rate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impact on Non-U.S. income and activities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laws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business credits and manufacturing incentives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of prior year tax matters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Realization of basis differences in affiliates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Deferred Income Tax Assets and Liabilities </w:t>
      </w:r>
      <w:r>
        <w:rPr>
          <w:rFonts w:ascii="Times New Roman" w:cs="Times New Roman" w:eastAsia="Times New Roman" w:hAnsi="Times New Roman"/>
          <w:sz w:val="18"/>
          <w:szCs w:val="18"/>
          <w:color w:val="auto"/>
        </w:rPr>
        <w:t>Deferred income tax assets and liabilities at December 31, 2023 and 2022 reflect the effect of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amounts of assets, liabilities and equity for financial reporting purposes and the bases of such assets, liabilities and equity as measured based on tax laws, as well as tax loss and tax credit carryforwards. The following table summarizes the components of temporary differences and carryforwards that give rise to deferred tax assets and liabilities: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employee benefit plans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 dealer and customer allowances, claims and discounts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U.S. capitalized research expenditures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operating loss and tax credit carryforwards(a)</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operating loss and tax credit carryforwards(b)</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47"/>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7" w:lineRule="exact"/>
        <w:rPr>
          <w:sz w:val="20"/>
          <w:szCs w:val="20"/>
          <w:color w:val="auto"/>
        </w:rPr>
      </w:pPr>
    </w:p>
    <w:p>
      <w:pPr>
        <w:jc w:val="both"/>
        <w:ind w:left="340" w:hanging="333"/>
        <w:spacing w:after="0" w:line="233" w:lineRule="auto"/>
        <w:tabs>
          <w:tab w:leader="none" w:pos="37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2023, U.S. operating loss deferred tax assets were $404 million, where $129 million can be carried forward indefinitely and $275 million will expire by 2041, if not utilized. At December 31, 2023, U.S. tax credit carryforwards were $5.6 billion, where $405 million can be carried forward indefinitely and $5.2 billion will expire by 2043, if not utilized.</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41" w:lineRule="auto"/>
        <w:tabs>
          <w:tab w:leader="none" w:pos="35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2023, Non-U.S. operating loss deferred tax assets were $6.1 billion, where $5.2 billion can be carried forward indefinitely and $876 million will expire by 2039 if not utilized. At December 31, 2023, Non-U.S. tax credit carryforwards were $135 million, where $109 million can be carried forward indefinitely and $26 million will expire by 2042, if not utilized.</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Valuation Allowances </w:t>
      </w:r>
      <w:r>
        <w:rPr>
          <w:rFonts w:ascii="Times New Roman" w:cs="Times New Roman" w:eastAsia="Times New Roman" w:hAnsi="Times New Roman"/>
          <w:sz w:val="18"/>
          <w:szCs w:val="18"/>
          <w:color w:val="auto"/>
        </w:rPr>
        <w:t>As a result of improving profitability in the Korean operating business evidenced by cumulative earnings in recent years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our near-and long-term business plans in the three months ended December 31, 2023 that forecast continuing profitability, we determined that it was more likely than not that future earnings will be sufficient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realize the deferred tax assets in Korea. Accordingly, we released Korea's $870 million valuation allowance resulting in an income tax benefit.</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years ended December 31, 2023 and 2022, valuation allowances against deferred tax assets of $7.0 billion and $7.7 billion were comprised of cumulative losses, credits and other timing differences, primarily in Germany, Spain, the U.S. and Brazil.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The following table summarizes activity of the total amounts of unrecognized tax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current year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prior years' tax positions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to prior years' tax positions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in tax positions due to lapse of statutory limitations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2023 and 2022, there were $386 million and $356 million of unrecognized tax benefits that if recognized would favorably affect our effective tax rate in the future. In the years ended December 31, 2023, 2022 and 2021, income tax related interest and penalties were insignificant. At December 31, 2023 and 2022, liabilities for income tax related interest and penalties were insignificant.</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At December 31, 2023, it is not possible to reasonably estimate the expected change to the total amount of unrecognized tax benefits in the next twelve months.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Income tax returns are filed in multiple jurisdictions and are subject to examination by taxing authorities throughout the world.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tax years from 2011 to 2023 with various significant tax jurisdictions. Tax authorities may have the ability to review and adjust net operating loss or tax credit carryforwards that were generated prior to these periods if utilized in an open tax year. These open years contain matters that could be subject to differing interpretations of applicable tax laws and regulations as they relate to the amount, character, timing or inclusion of revenue and expenses or the sustainability of income tax credits for a given audit cycle.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 and Other Initiatives</w:t>
      </w:r>
    </w:p>
    <w:p>
      <w:pPr>
        <w:spacing w:after="0" w:line="11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years ended December 31, 2023 and 2022, restructuring and other initiatives included strategic activities in GMNA related to Buick dealerships. We recorded charges of $569 million in the year ended December 31, 2023, which are included in the table above, and incurred $674 million in net cash outflows resulting from these dealer restructurings, in addition to the charges of $511 million and net cash outflows of $120 million in the year ended December 31, 2022. The remaining $286 million is expected to be paid by the end of 2024.</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March 2023, we announced a VSP to accelerate attrition related to the cost reduction program announced in January 2023. We recorded charges in GMNA of $1.0 billion in the year ended December 31, 2023, primarily related to employee separation charges of $905 million, which are reflected in the table above, and non-cash pension curtailment and settlement charges of approximately $130 million, not reflected in the table above. We incurred $820 million of cash outflows resulting from the VSP. We expect remaining cash outflows related to these activities of approximately $85 million to be complete during 2024.</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AV operations in the U.S. while it examines its processes, systems and tools. In conjunction with these actions, Cruise recorded charges before noncontrolling interest of $529 million in the year ended December 31, 2023, primarily related to supplier related charges of $212 million and employee separation charges of $67 million, both of which are included in the table above. Additionally, Cruise recorded non-cash restructuring charges of $250 million primarily related to impairments, which are not reflected in the table above. We expect the associated cashflows related to these activities to be substantially complete by the end of 2024. At December 31, 2023, the net book value of Cruise's long-lived assets, inclusive of goodwill and intangibles, was $1.4 billion which may be subject to future impairments depending on future progress toward commercialization of the Cruise AV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Interest Income and Other Non-Operating Income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and OPEB income (loss)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agreements income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investments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non-operating income, net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year ended December 31, 2022, we shut down our Russia business and recorded a $657 million charge, included in Other in the table above, to write off our net investment and release accumulated translation losses into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December 31, 2023 and 2022. We had 1.2 billion and 1.4 billion shares of common stock issued and outstanding at December 31, 2023 and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 were $0.36 and $0.18 and our total dividends paid on common stock were $477 million and $257 million for the years ended December 31, 2023 and 2022. Dividends were not declared or paid on our common stock for the year ended December 31, 2021. Holders of common stock are entitled to one vote per share on all matters submitted to our stockholders for a vote. The liquidation rights of holders of our common stock are secondary to the payment or provision for payment of all our debts and liabilities and to holders of our preferred stock, if any such shares are then outstanding.</w:t>
      </w:r>
    </w:p>
    <w:p>
      <w:pPr>
        <w:spacing w:after="0" w:line="20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share repurchase program by $10.0 billion to an aggregate of $11.4 billion and we entered into the ASR Agreements to repurchase an aggregate amount of $10.0 billion of our common stock under the authorized share repurchase program. On December 1, 2023, we advanced the $10.0 billion and received approximately 215 million shares of our common stock with a value of $6.8 billion, which were immediately retired. The final number of shares to ultimately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is scheduled to occur no later than the three months ending December 31, 2024. Because of our ability to settle in shares, the $3.2 billion prepaid forward contract was classified as a reduction to Additional paid-in capital within the consolidated statement of equity.</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2023, we purchased approximately 245 million shares of our outstanding common stock for $7.9 billion, including the initial delivery under the ASR Agreements of approximately 215 million shares at a value of $6.8 billion. In the year ended December 31, 2022, we purchased approximately 64 million shares of our outstanding common stock for $2.5 billion. In the year ended December 31, 2021, we did not purchase any shares of our outstanding common stock. Shares are immediately retired upon purchase and the amount of the purchase price over par is allocated on a pro-rata basis, subject to the availability of paid-in capital calculated on a per-share basis, between Additional paid-in capital and Retained earnings.</w:t>
      </w:r>
    </w:p>
    <w:p>
      <w:pPr>
        <w:spacing w:after="0" w:line="195" w:lineRule="exact"/>
        <w:rPr>
          <w:sz w:val="20"/>
          <w:szCs w:val="20"/>
          <w:color w:val="auto"/>
        </w:rPr>
      </w:pPr>
    </w:p>
    <w:p>
      <w:pPr>
        <w:jc w:val="both"/>
        <w:ind w:firstLine="161"/>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Preferred Shares </w:t>
      </w:r>
      <w:r>
        <w:rPr>
          <w:rFonts w:ascii="Times New Roman" w:cs="Times New Roman" w:eastAsia="Times New Roman" w:hAnsi="Times New Roman"/>
          <w:sz w:val="18"/>
          <w:szCs w:val="18"/>
          <w:color w:val="auto"/>
        </w:rPr>
        <w:t>In 2021, Cruise Holdings issued $2.7 billion of Class G Preferred Shares (Cruise Class G Preferred Shares) to Microsoft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2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 Cruise Class G Preferred Shares participate pari passu with holders of Cruise Holdings common stock and Class F Preferred Shares (Cruise Class F Preferred Shares) in any dividends declared. The Cruise Class G and Cruise Class F Preferred Shares convert into the class of shares to be issued to the public in an initial public offering (IPO) at specified exchange ratios. No covenants or other events of default exist that can trigger redemption of the Cruise Class G and Cruise Class F Preferred Shares. The Cruise Class G and Cruise Class F Preferred Shares are entitled to receive the greater of their carrying value or a pro-rata share of any proceeds or distributions upon the occurrence of a merger, sale, liquidation or dissolution of Cruise Holdings, and are classified as noncontrolling interests in our consolidated financial statements.</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2022, under the Share Purchase Agreement, we acquired SoftBank’s Cruise Class A-1, Class F and Class G Preferred Shares for $2.1 billion and made an additional $1.35 billion investment in Cruise in place of SoftBank. SoftBank no longer has an ownership interest in or has any rights with respect to Cruise.</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During the years ended December 31, 2023 and 2022, Cruise Holdings issued approximately $0.4 billion and $0.8 billion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Common Shares to net settle vested awards under Cruise's 2018 Employee Incentive Plan and issued approximately $0.2 billion and $0.5 billion of Class B Common Shares, primarily to us, to fund the payment of statutory tax withholding obligations resulting from the settlement or exercise of vested awards. GM conducted quarterly tender offers and paid approximately $0.3 billion and $0.6 billion in cash to purchase tendered Cruise Class B Common Shares during the years ended December 31, 2023 and 2022. The Class B Common Shares are classified as noncontrolling interests in our consolidated financial statements except for certain shares that are liability classified that have a recorded value of approximately $42 million and $60 million at December 31, 2023 and 2022. Refer to Note 22 for additional information on Cruise stock incentive awards.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2023 and 2022, the effect on the equity attributable to us for changes in our ownership interest in Cruise was insignificant. For the year ended December 31, 2023, net income attributable to shareholders and transfers to the noncontrolling interest in Cruise and other subsidiaries was $10.3 billion. For the year ended December 31, 2022, net income attributable to shareholders and transfers to the noncontrolling interest in Cruise and other subsidiaries was $9.2 billion, which included a $0.7 billion decrease in equity attributable to us, mainly due to the redemption of Cruise preferred shares.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Translation Adjustments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0" w:type="dxa"/>
            <w:vAlign w:val="bottom"/>
          </w:tcPr>
          <w:p>
            <w:pPr>
              <w:spacing w:after="0"/>
              <w:rPr>
                <w:sz w:val="1"/>
                <w:szCs w:val="1"/>
                <w:color w:val="auto"/>
              </w:rPr>
            </w:pP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and noncontrolling interests, net of reclassification</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adjustment and tax(a)(b)(c)</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5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Plans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(4,851)</w:t>
            </w:r>
          </w:p>
        </w:tc>
        <w:tc>
          <w:tcPr>
            <w:tcW w:w="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(10,654)</w:t>
            </w:r>
          </w:p>
        </w:tc>
        <w:tc>
          <w:tcPr>
            <w:tcW w:w="0" w:type="dxa"/>
            <w:vAlign w:val="bottom"/>
          </w:tcPr>
          <w:p>
            <w:pPr>
              <w:spacing w:after="0"/>
              <w:rPr>
                <w:sz w:val="1"/>
                <w:szCs w:val="1"/>
                <w:color w:val="auto"/>
              </w:rPr>
            </w:pP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and noncontrolling interests before reclassification</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adjustment(a)</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(expense)</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0" w:type="dxa"/>
            <w:vAlign w:val="bottom"/>
          </w:tcPr>
          <w:p>
            <w:pPr>
              <w:spacing w:after="0"/>
              <w:rPr>
                <w:sz w:val="1"/>
                <w:szCs w:val="1"/>
                <w:color w:val="auto"/>
              </w:rPr>
            </w:pPr>
          </w:p>
        </w:tc>
      </w:tr>
      <w:tr>
        <w:trPr>
          <w:trHeight w:val="187"/>
        </w:trPr>
        <w:tc>
          <w:tcPr>
            <w:tcW w:w="672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Other comprehensive income (loss) and noncontrolling interests before reclassification</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 net of tax(a)</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net of tax(c)</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period(d)</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years ended December 31, 2023, 2022 and 2021.</w:t>
      </w:r>
    </w:p>
    <w:p>
      <w:pPr>
        <w:spacing w:after="0" w:line="11"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years ended December 31, 2023, 2022 and 2021.</w:t>
      </w:r>
    </w:p>
    <w:p>
      <w:pPr>
        <w:spacing w:after="0" w:line="14" w:lineRule="exact"/>
        <w:rPr>
          <w:rFonts w:ascii="Times New Roman" w:cs="Times New Roman" w:eastAsia="Times New Roman" w:hAnsi="Times New Roman"/>
          <w:sz w:val="16"/>
          <w:szCs w:val="16"/>
          <w:color w:val="auto"/>
        </w:rPr>
      </w:pPr>
    </w:p>
    <w:p>
      <w:pPr>
        <w:ind w:left="340" w:hanging="333"/>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years ended December 31, 2023, 2022 and 2021.</w:t>
      </w:r>
    </w:p>
    <w:p>
      <w:pPr>
        <w:spacing w:after="0" w:line="4" w:lineRule="exact"/>
        <w:rPr>
          <w:rFonts w:ascii="Times New Roman" w:cs="Times New Roman" w:eastAsia="Times New Roman" w:hAnsi="Times New Roman"/>
          <w:sz w:val="16"/>
          <w:szCs w:val="16"/>
          <w:color w:val="auto"/>
        </w:rPr>
      </w:pPr>
    </w:p>
    <w:p>
      <w:pPr>
        <w:ind w:left="360" w:hanging="353"/>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Earnings Per Share</w:t>
      </w:r>
    </w:p>
    <w:p>
      <w:pPr>
        <w:spacing w:after="0" w:line="11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10,127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54"/>
        </w:trPr>
        <w:tc>
          <w:tcPr>
            <w:tcW w:w="6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10,022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54"/>
        </w:trPr>
        <w:tc>
          <w:tcPr>
            <w:tcW w:w="6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warrants and awards under stock incentive plans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8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54"/>
        </w:trPr>
        <w:tc>
          <w:tcPr>
            <w:tcW w:w="6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ind w:left="340" w:hanging="333"/>
        <w:spacing w:after="0" w:line="256" w:lineRule="auto"/>
        <w:tabs>
          <w:tab w:leader="none" w:pos="409"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$909 million deemed dividend related to the redemption of Cruise preferred shares from SoftBank and an insignificant amount in participating securities income from a subsidiary for the year ended December 31, 2022.</w:t>
      </w:r>
    </w:p>
    <w:p>
      <w:pPr>
        <w:spacing w:after="0" w:line="1" w:lineRule="exact"/>
        <w:rPr>
          <w:rFonts w:ascii="Times New Roman" w:cs="Times New Roman" w:eastAsia="Times New Roman" w:hAnsi="Times New Roman"/>
          <w:sz w:val="16"/>
          <w:szCs w:val="16"/>
          <w:color w:val="auto"/>
        </w:rPr>
      </w:pPr>
    </w:p>
    <w:p>
      <w:pPr>
        <w:ind w:left="340" w:right="20" w:hanging="333"/>
        <w:spacing w:after="0" w:line="255" w:lineRule="auto"/>
        <w:tabs>
          <w:tab w:leader="none" w:pos="37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at December 31, 2023, 2022 and 2021 and RSUs at December 31, 2023 and 2022, were excluded from the computation of diluted EPS because the securities would have had an antidilutive effect.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Stock Incentive Plans</w:t>
      </w:r>
    </w:p>
    <w:p>
      <w:pPr>
        <w:spacing w:after="0" w:line="115"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Stock Incentive Awards </w:t>
      </w:r>
      <w:r>
        <w:rPr>
          <w:rFonts w:ascii="Times New Roman" w:cs="Times New Roman" w:eastAsia="Times New Roman" w:hAnsi="Times New Roman"/>
          <w:sz w:val="18"/>
          <w:szCs w:val="18"/>
          <w:color w:val="auto"/>
        </w:rPr>
        <w:t>We grant to certain employees RSUs, PSUs and stock options (collectively, stock incentive awards) under our 2020 LTIP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prior to the 2020 LTIP, under our 2017 and 2014 LTIP. The 2020 LTIP was approved by stockholders in June 2020. Any new awards granted after the approval of the 2020 LTIP in June 2020 will be issued under the 2020 LTIP. To the extent any shares remain available for issuance under the 2017 LTIP and/or the 2014 LTIP, such shares will only be used to settle outstanding awards that were previously granted under such plans prior to June 2020. Shares awarded under the plans are subject to forfeiture if the participant leaves the company for reasons other than those permitted under the plans such as retirement, death or disability.</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RSU awards granted either cliff vest or ratably vest generally over a three-year service period, as defined in the terms of each award. PSU awards vest at the end of a three-year performance period, based on performance criteria determined by the Executive Compensation Committee of the Board of Directors at the time of award. The number of shares earned may equal, exceed or be less than the targeted number of shares depending on whether the performance criteria are met, surpassed or not met. Stock options expire 10 years from the grant date. Our performance-based stock options vest ratably over 55 months based on the performance of our common stock relative to that of a specified peer group. Our service-based stock options vest ratably over three years.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 (in millions)</w:t>
            </w:r>
          </w:p>
        </w:tc>
        <w:tc>
          <w:tcPr>
            <w:tcW w:w="1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January 1, 2023</w:t>
            </w:r>
          </w:p>
        </w:tc>
        <w:tc>
          <w:tcPr>
            <w:tcW w:w="164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Settled</w:t>
            </w:r>
          </w:p>
        </w:tc>
        <w:tc>
          <w:tcPr>
            <w:tcW w:w="16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CCEEFF"/>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outstanding at December 31, 2023(a)</w:t>
            </w:r>
          </w:p>
        </w:tc>
        <w:tc>
          <w:tcPr>
            <w:tcW w:w="16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jc w:val="right"/>
              <w:ind w:right="5110"/>
              <w:spacing w:after="0"/>
              <w:rPr>
                <w:sz w:val="20"/>
                <w:szCs w:val="20"/>
                <w:color w:val="auto"/>
              </w:rPr>
            </w:pPr>
            <w:r>
              <w:rPr>
                <w:rFonts w:ascii="Times New Roman" w:cs="Times New Roman" w:eastAsia="Times New Roman" w:hAnsi="Times New Roman"/>
                <w:sz w:val="18"/>
                <w:szCs w:val="18"/>
                <w:color w:val="auto"/>
                <w:w w:val="97"/>
              </w:rPr>
              <w:t>__________</w:t>
            </w: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gridSpan w:val="2"/>
            <w:vMerge w:val="continue"/>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80" w:hanging="373"/>
        <w:spacing w:after="0"/>
        <w:tabs>
          <w:tab w:leader="none" w:pos="3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target amount of PSUs.</w:t>
      </w:r>
    </w:p>
    <w:p>
      <w:pPr>
        <w:spacing w:after="0" w:line="24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weighted-average assumptions used to value our stock options are a dividend yield of 1.90%, 1.60% and 1.67%, expected volatility of 34.0%, 41.0% and 47.8%, a risk-free interest rate of 3.70%, 1.88% and 0.76%, and an expected option life of 6.00 years for options issued during the years ended December 31, 2023, 2022 and 2021. The expected volatility is based on the average of the implied volatility of publicly traded options for our common stock.</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Total compensation expense related to the above awards was $340 million, $419 million and $391 million in the years ended December 31, 2023, 2022 and 2021.</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At December 31, 2023, the total unrecognized compensation expense for nonvested equity awards granted was $249 million. This expense is expected to be recorded over a weighted-average period of 1.4 years. The total fair value of stock incentive awards vested was $425 million, $307 million and $258 million in the years ended December 31, 2023, 2022 and 2021.</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Stock Incentive Awards </w:t>
      </w:r>
      <w:r>
        <w:rPr>
          <w:rFonts w:ascii="Times New Roman" w:cs="Times New Roman" w:eastAsia="Times New Roman" w:hAnsi="Times New Roman"/>
          <w:sz w:val="18"/>
          <w:szCs w:val="18"/>
          <w:color w:val="auto"/>
        </w:rPr>
        <w:t>Cruise granted RSUs that will settle in common shares of Cruise Holdings in the years ended December 31, 2023,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2021. Stock options were granted in common shares of Cruise Holdings in the years ended December 31, 2022 and 2021. These awards were granted under Cruise's 2018 Employee Incentive Plan approved by Cruise Holdings' Board of Directors in August 2018. Shares awarded under the plan are subject to forfeiture if the participant leaves the company for reasons other than those permitted under the plan. In March 2022, Cruise modified its RSUs that settle in Cruise Class B Common Shares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Subsequent to the modification, holders of Cruise Class B Common Shares issued to settle vested awards could tender their shares generally at the fair value of Cruise’s common stock. The ability to tender the Class B Common Shares results in certain awards to be classified as liabilities and other awards to be presented in temporary equity. Stock options vest ratably over four to 10 years, as defined in the terms of each award. Stock options expire up to 10 years from the grant date. During the year ended December 31, 2023, 14.6 million stock options were forfeited. At December 31, 2023, 9.8 million equity classified vested stock options with a 2.8 year weighted-average remaining contractual term are outstanding.</w:t>
      </w:r>
    </w:p>
    <w:p>
      <w:pPr>
        <w:spacing w:after="0" w:line="21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Total compensation expense related to Cruise Holdings' share-based awards was $0.4 billion, $1.6 billion and an insignificant amount for the years ended December 31, 2023, 2022 and 2021. Compensation expense for the year ended December 31, 2022, when excluding the compensation expense for the period April 1, 2022 through December 31, 2022, primarily represents the impact of the modification to outstanding awards. GM conducted quarterly tender offers and paid approximately $0.3 billion and $0.6 billion in cash to settle tendered Cruise Class B Common Shares during the years ended December 31, 2023 and 2022. No cash was paid to settle share-based awards for the three months ended March 31, 2022. Total unrecognized compensation expense for Cruise Holdings’ nonvested share-based awards granted was $0.7 billion at December 31, 2023. The expense related to share-based awards is expected to be recorded over a weighted-average period of 2.9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Reporting</w:t>
      </w:r>
    </w:p>
    <w:p>
      <w:pPr>
        <w:spacing w:after="0" w:line="11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 through EBIT-adjusted, which is presented net of noncontrolling interests. The chief operating decision-maker evaluates GM Financial through EBT-adjusted because interest income and interest expense are part of operating results when assessing and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8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2023</w:t>
            </w: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141,445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157,667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14,225</w:t>
            </w: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171,842</w:t>
            </w:r>
          </w:p>
        </w:tc>
        <w:tc>
          <w:tcPr>
            <w:tcW w:w="0" w:type="dxa"/>
            <w:vAlign w:val="bottom"/>
          </w:tcPr>
          <w:p>
            <w:pPr>
              <w:spacing w:after="0"/>
              <w:rPr>
                <w:sz w:val="1"/>
                <w:szCs w:val="1"/>
                <w:color w:val="auto"/>
              </w:rPr>
            </w:pPr>
          </w:p>
        </w:tc>
      </w:tr>
      <w:tr>
        <w:trPr>
          <w:trHeight w:val="121"/>
        </w:trPr>
        <w:tc>
          <w:tcPr>
            <w:tcW w:w="21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w w:val="99"/>
              </w:rPr>
              <w:t>Earnings (loss) before interest and taxes-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1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0" w:type="dxa"/>
            <w:vAlign w:val="bottom"/>
          </w:tcPr>
          <w:p>
            <w:pPr>
              <w:spacing w:after="0"/>
              <w:rPr>
                <w:sz w:val="1"/>
                <w:szCs w:val="1"/>
                <w:color w:val="auto"/>
              </w:rPr>
            </w:pPr>
          </w:p>
        </w:tc>
      </w:tr>
      <w:tr>
        <w:trPr>
          <w:trHeight w:val="169"/>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0" w:type="dxa"/>
            <w:vAlign w:val="bottom"/>
          </w:tcPr>
          <w:p>
            <w:pPr>
              <w:spacing w:after="0"/>
              <w:rPr>
                <w:sz w:val="1"/>
                <w:szCs w:val="1"/>
                <w:color w:val="auto"/>
              </w:rPr>
            </w:pPr>
          </w:p>
        </w:tc>
      </w:tr>
      <w:tr>
        <w:trPr>
          <w:trHeight w:val="121"/>
        </w:trPr>
        <w:tc>
          <w:tcPr>
            <w:tcW w:w="21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10,403</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0" w:type="dxa"/>
            <w:vAlign w:val="bottom"/>
          </w:tcPr>
          <w:p>
            <w:pPr>
              <w:spacing w:after="0"/>
              <w:rPr>
                <w:sz w:val="1"/>
                <w:szCs w:val="1"/>
                <w:color w:val="auto"/>
              </w:rPr>
            </w:pPr>
          </w:p>
        </w:tc>
      </w:tr>
      <w:tr>
        <w:trPr>
          <w:trHeight w:val="121"/>
        </w:trPr>
        <w:tc>
          <w:tcPr>
            <w:tcW w:w="21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10,127</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10,613</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4,862</w:t>
            </w:r>
          </w:p>
        </w:tc>
        <w:tc>
          <w:tcPr>
            <w:tcW w:w="0" w:type="dxa"/>
            <w:vAlign w:val="bottom"/>
          </w:tcPr>
          <w:p>
            <w:pPr>
              <w:spacing w:after="0"/>
              <w:rPr>
                <w:sz w:val="1"/>
                <w:szCs w:val="1"/>
                <w:color w:val="auto"/>
              </w:rPr>
            </w:pPr>
          </w:p>
        </w:tc>
      </w:tr>
      <w:tr>
        <w:trPr>
          <w:trHeight w:val="169"/>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41,271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(82,858)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140,546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4,555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130,780</w:t>
            </w: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273,064</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10,970</w:t>
            </w:r>
          </w:p>
        </w:tc>
        <w:tc>
          <w:tcPr>
            <w:tcW w:w="0" w:type="dxa"/>
            <w:vAlign w:val="bottom"/>
          </w:tcPr>
          <w:p>
            <w:pPr>
              <w:spacing w:after="0"/>
              <w:rPr>
                <w:sz w:val="1"/>
                <w:szCs w:val="1"/>
                <w:color w:val="auto"/>
              </w:rPr>
            </w:pPr>
          </w:p>
        </w:tc>
      </w:tr>
      <w:tr>
        <w:trPr>
          <w:trHeight w:val="169"/>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64"/>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4" w:lineRule="exact"/>
        <w:rPr>
          <w:sz w:val="20"/>
          <w:szCs w:val="20"/>
          <w:color w:val="auto"/>
        </w:rPr>
      </w:pPr>
    </w:p>
    <w:p>
      <w:pPr>
        <w:ind w:left="340" w:right="20" w:hanging="333"/>
        <w:spacing w:after="0" w:line="246" w:lineRule="auto"/>
        <w:tabs>
          <w:tab w:leader="none" w:pos="30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the VSP and strategic activities related to Buick dealerships in GMNA; the gain associated with India asset sales and the partial resolution of Korean subcontractor matters in GMI; and charges related to Cruise restructuring.</w:t>
      </w:r>
    </w:p>
    <w:p>
      <w:pPr>
        <w:ind w:left="340" w:hanging="333"/>
        <w:spacing w:after="0" w:line="238" w:lineRule="auto"/>
        <w:tabs>
          <w:tab w:leader="none" w:pos="334"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Equity earnings related to Ultium Cells Holdings LLC were $293 million in the year ended December 31, 2023.</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56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2022</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20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128,378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143,974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156,735</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12,286</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14,474</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11,597</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9,708</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9,934</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Times New Roman" w:cs="Times New Roman" w:eastAsia="Times New Roman" w:hAnsi="Times New Roman"/>
                <w:sz w:val="11"/>
                <w:szCs w:val="11"/>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10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10,176</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157,250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24,808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8"/>
              </w:rPr>
              <w:t>(104,157)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138,419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121,544</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264,037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6,335</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4,888</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2" w:lineRule="exact"/>
        <w:rPr>
          <w:sz w:val="20"/>
          <w:szCs w:val="20"/>
          <w:color w:val="auto"/>
        </w:rPr>
      </w:pPr>
    </w:p>
    <w:p>
      <w:pPr>
        <w:ind w:left="340" w:hanging="333"/>
        <w:spacing w:after="0" w:line="238" w:lineRule="auto"/>
        <w:tabs>
          <w:tab w:leader="none" w:pos="29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and the resolution of substantially all royalty matters accrued with respect to past-year vehicle sales in GMNA; charges related to the shutdown of our Russia business in GMI; and charges related to the one-time modification of Cruise stock incentive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80"/>
              <w:spacing w:after="0"/>
              <w:rPr>
                <w:sz w:val="20"/>
                <w:szCs w:val="20"/>
                <w:color w:val="auto"/>
              </w:rPr>
            </w:pPr>
            <w:r>
              <w:rPr>
                <w:rFonts w:ascii="Times New Roman" w:cs="Times New Roman" w:eastAsia="Times New Roman" w:hAnsi="Times New Roman"/>
                <w:sz w:val="13"/>
                <w:szCs w:val="13"/>
                <w:b w:val="1"/>
                <w:bCs w:val="1"/>
                <w:color w:val="auto"/>
              </w:rPr>
              <w:t>At and For the Year Ended December 31,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113,584</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13,419</w:t>
            </w: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127,004</w:t>
            </w:r>
          </w:p>
        </w:tc>
        <w:tc>
          <w:tcPr>
            <w:tcW w:w="0" w:type="dxa"/>
            <w:vAlign w:val="bottom"/>
          </w:tcPr>
          <w:p>
            <w:pPr>
              <w:spacing w:after="0"/>
              <w:rPr>
                <w:sz w:val="1"/>
                <w:szCs w:val="1"/>
                <w:color w:val="auto"/>
              </w:rPr>
            </w:pPr>
          </w:p>
        </w:tc>
      </w:tr>
      <w:tr>
        <w:trPr>
          <w:trHeight w:val="130"/>
        </w:trPr>
        <w:tc>
          <w:tcPr>
            <w:tcW w:w="21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10,465</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5,036</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14,295</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30"/>
        </w:trPr>
        <w:tc>
          <w:tcPr>
            <w:tcW w:w="21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12,716</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9,945</w:t>
            </w:r>
          </w:p>
        </w:tc>
        <w:tc>
          <w:tcPr>
            <w:tcW w:w="0" w:type="dxa"/>
            <w:vAlign w:val="bottom"/>
          </w:tcPr>
          <w:p>
            <w:pPr>
              <w:spacing w:after="0"/>
              <w:rPr>
                <w:sz w:val="1"/>
                <w:szCs w:val="1"/>
                <w:color w:val="auto"/>
              </w:rPr>
            </w:pPr>
          </w:p>
        </w:tc>
      </w:tr>
      <w:tr>
        <w:trPr>
          <w:trHeight w:val="130"/>
        </w:trPr>
        <w:tc>
          <w:tcPr>
            <w:tcW w:w="21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16"/>
        </w:trPr>
        <w:tc>
          <w:tcPr>
            <w:tcW w:w="214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10,019</w:t>
            </w:r>
          </w:p>
        </w:tc>
        <w:tc>
          <w:tcPr>
            <w:tcW w:w="0" w:type="dxa"/>
            <w:vAlign w:val="bottom"/>
          </w:tcPr>
          <w:p>
            <w:pPr>
              <w:spacing w:after="0"/>
              <w:rPr>
                <w:sz w:val="1"/>
                <w:szCs w:val="1"/>
                <w:color w:val="auto"/>
              </w:rPr>
            </w:pPr>
          </w:p>
        </w:tc>
      </w:tr>
      <w:tr>
        <w:trPr>
          <w:trHeight w:val="173"/>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16"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7,960</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121,735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22,876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8"/>
              </w:rPr>
              <w:t>(56,936)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128,167</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113,207</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244,718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7,509</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5,861</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6,134</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4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2" w:lineRule="exact"/>
        <w:rPr>
          <w:sz w:val="20"/>
          <w:szCs w:val="20"/>
          <w:color w:val="auto"/>
        </w:rPr>
      </w:pPr>
    </w:p>
    <w:p>
      <w:pPr>
        <w:ind w:left="340" w:hanging="333"/>
        <w:spacing w:after="0" w:line="238" w:lineRule="auto"/>
        <w:tabs>
          <w:tab w:leader="none" w:pos="329"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royalties accrued with respect to past-year vehicle sales and charges for strategic activities related to Cadillac dealerships in GMNA; and a settlement with certain third parties relating to retrospective recoveries of indirect taxes and an adjustment related to the unique events associated with Korea Supreme Court decisions related to our salaried workers in GMI.</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Automotive revenue is attributed to geographic areas based on the country of sale. GM Financial revenue is attributed to the geographic area where the financing is originated. The following table summarizes information concerning principal geographic areas: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At and For the Years Ended December 31,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Net Sales and</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0" w:type="dxa"/>
            <w:vAlign w:val="bottom"/>
          </w:tcPr>
          <w:p>
            <w:pPr>
              <w:spacing w:after="0"/>
              <w:rPr>
                <w:sz w:val="1"/>
                <w:szCs w:val="1"/>
                <w:color w:val="auto"/>
              </w:rPr>
            </w:pPr>
          </w:p>
        </w:tc>
      </w:tr>
      <w:tr>
        <w:trPr>
          <w:trHeight w:val="228"/>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171,842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No individual country other than the U.S. represented more than 10% of our total net sales and revenue or long-lived assets, other than Mexico, whose long-lived assets were approximately 12%, 11% and 10% of our total long-lived assets at December 31, 2023,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Supplemental Information for the Consolidated Statements of Cash Flows</w:t>
      </w:r>
    </w:p>
    <w:p>
      <w:pPr>
        <w:spacing w:after="0" w:line="11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sources (uses) of cash provided by Change in other operating assets and liabilities and Cash paid for income taxes and interest: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other operating assets and liabilities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receivables funded by GM Financial,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income taxes and interest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Automotive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 – GM Financial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 for interest (net of amounts capitalized)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December 31, 2023 as required by paragraph (b) of Rules 13a-15 or 15d-15. Based on this evaluation, our CEO and CFO concluded that our disclosure controls and procedures were effective as of December 31, 2023.</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effective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208" w:lineRule="exact"/>
        <w:rPr>
          <w:sz w:val="20"/>
          <w:szCs w:val="20"/>
          <w:color w:val="auto"/>
        </w:rPr>
      </w:pPr>
    </w:p>
    <w:p>
      <w:pPr>
        <w:jc w:val="both"/>
        <w:ind w:firstLine="202"/>
        <w:spacing w:after="0" w:line="259" w:lineRule="auto"/>
        <w:rPr>
          <w:sz w:val="20"/>
          <w:szCs w:val="20"/>
          <w:color w:val="auto"/>
        </w:rPr>
      </w:pPr>
      <w:r>
        <w:rPr>
          <w:rFonts w:ascii="Times New Roman" w:cs="Times New Roman" w:eastAsia="Times New Roman" w:hAnsi="Times New Roman"/>
          <w:sz w:val="18"/>
          <w:szCs w:val="18"/>
          <w:color w:val="auto"/>
        </w:rPr>
        <w:t>Our management performed an assessment of the effectiveness of our internal control over financial reporting at December 31, 2023, utilizing the criteria discussed in the “Internal Control – Integrated Framework (2013)” issued by the Committee of Sponsoring Organizations of the Treadway Commission. The objective of this assessment was to determine whether our internal control over financial reporting was effective as of December 31, 2023. Based on management's assessment, we have concluded that our internal control over financial reporting was effective as of December 31, 2023.</w:t>
      </w:r>
    </w:p>
    <w:p>
      <w:pPr>
        <w:spacing w:after="0" w:line="208" w:lineRule="exact"/>
        <w:rPr>
          <w:sz w:val="20"/>
          <w:szCs w:val="20"/>
          <w:color w:val="auto"/>
        </w:rPr>
      </w:pPr>
    </w:p>
    <w:p>
      <w:pPr>
        <w:jc w:val="both"/>
        <w:ind w:firstLine="202"/>
        <w:spacing w:after="0" w:line="28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(PCAOB ID: 42), an independent registered public accounting firm, as stated in its report included herein.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2023 that have materially affected, or are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Information required by Items 10, 11, 12, 13 and 14 of this Form 10-K is incorporated by reference from our definitive Proxy Statement for our 2024 Annual Meeting of Stockholders, which will be filed with the SEC, pursuant to Regulation 14A, not later than 120 days after the end of the 2023 fiscal year, all of which information is hereby incorporated by reference in, and made part of, this Form 10-K, except disclosure of our executive officers, which is included in Part I, Item 1 of this report.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0" w:lineRule="exact"/>
        <w:rPr>
          <w:sz w:val="20"/>
          <w:szCs w:val="20"/>
          <w:color w:val="auto"/>
        </w:rPr>
      </w:pPr>
    </w:p>
    <w:p>
      <w:pPr>
        <w:ind w:left="640" w:hanging="310"/>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All Financial Statements and Supplemental Information</w:t>
      </w:r>
    </w:p>
    <w:p>
      <w:pPr>
        <w:spacing w:after="0" w:line="26"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8" w:lineRule="exact"/>
        <w:rPr>
          <w:rFonts w:ascii="Times New Roman" w:cs="Times New Roman" w:eastAsia="Times New Roman" w:hAnsi="Times New Roman"/>
          <w:sz w:val="18"/>
          <w:szCs w:val="18"/>
          <w:color w:val="auto"/>
        </w:rPr>
      </w:pPr>
    </w:p>
    <w:p>
      <w:pPr>
        <w:ind w:left="8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as the required information is inapplicable or the information is presented in the consolidated financial statements and notes thereto in Item 8.</w:t>
      </w:r>
    </w:p>
    <w:p>
      <w:pPr>
        <w:ind w:left="840" w:hanging="188"/>
        <w:spacing w:after="0"/>
        <w:tabs>
          <w:tab w:leader="none" w:pos="8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0" w:type="dxa"/>
            <w:vAlign w:val="bottom"/>
            <w:gridSpan w:val="27"/>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0" w:type="dxa"/>
            <w:vAlign w:val="bottom"/>
            <w:gridSpan w:val="27"/>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9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540" w:type="dxa"/>
            <w:vAlign w:val="bottom"/>
            <w:tcBorders>
              <w:top w:val="single" w:sz="8" w:color="auto"/>
            </w:tcBorders>
            <w:gridSpan w:val="31"/>
            <w:shd w:val="clear" w:color="auto" w:fill="CCEEFF"/>
          </w:tcPr>
          <w:p>
            <w:pPr>
              <w:spacing w:after="0" w:line="170"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Master Agreement, dated as of March 5, 2017, between General Motors Holdings LLC and Peugeot S.A., incorporated by</w:t>
              </w:r>
            </w:hyperlink>
          </w:p>
        </w:tc>
        <w:tc>
          <w:tcPr>
            <w:tcW w:w="158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reference to Exhibit 2.1 to the Quarterly Report on Form 10-Q of General Motors Company filed April 28, 2017</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Purchase Agreement dated as of May 31, 2018, by and among General Motors Holdings LLC, GM Cruise Holdings LLC, and</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Softbank Vision Fund (AIV M1), L.P. incorporated by reference to Exhibit 2.1 to the Quarterly Report on Form 10-Q of</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gridSpan w:val="28"/>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General Motors Company filed July 25,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Purchase Agreement by and between GM Cruise Holdings LLC and Honda Motor Co., LTD., dated October 3, 2018,</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4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incorporated by reference to Exhibit 2.3 to the Annual Report on Form 10-K of General Motors Company filed February 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2019</w:t>
              </w:r>
            </w:hyperlink>
          </w:p>
        </w:tc>
        <w:tc>
          <w:tcPr>
            <w:tcW w:w="20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0000FF"/>
            </w:tcBorders>
            <w:shd w:val="clear" w:color="auto" w:fill="CCEEFF"/>
          </w:tcPr>
          <w:p>
            <w:pPr>
              <w:spacing w:after="0"/>
              <w:rPr>
                <w:sz w:val="12"/>
                <w:szCs w:val="12"/>
                <w:color w:val="auto"/>
              </w:rPr>
            </w:pPr>
          </w:p>
        </w:tc>
        <w:tc>
          <w:tcPr>
            <w:tcW w:w="208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900" w:type="dxa"/>
            <w:vAlign w:val="bottom"/>
            <w:tcBorders>
              <w:top w:val="single" w:sz="8" w:color="0000FF"/>
            </w:tcBorders>
            <w:shd w:val="clear" w:color="auto" w:fill="CCEEFF"/>
          </w:tcPr>
          <w:p>
            <w:pPr>
              <w:spacing w:after="0"/>
              <w:rPr>
                <w:sz w:val="12"/>
                <w:szCs w:val="12"/>
                <w:color w:val="auto"/>
              </w:rPr>
            </w:pPr>
          </w:p>
        </w:tc>
        <w:tc>
          <w:tcPr>
            <w:tcW w:w="68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Restated Certificate of Incorporation of General Motors Company dated December 7, 2010, incorporated by reference to</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2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Exhibit 3.2 to the Current Report on Form 8-K of General Motors Company filed December 13, 2010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General Motors Company Amended and Restated Bylaws, as amended April 20, 2023, incorporated by reference to Exhibit 3.1</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480" w:type="dxa"/>
            <w:vAlign w:val="bottom"/>
            <w:tcBorders>
              <w:top w:val="single" w:sz="8" w:color="0000FF"/>
              <w:bottom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to the Current Report on Form 8-K of General Motors Company filed April 21, 2023</w:t>
              </w:r>
            </w:hyperlink>
          </w:p>
        </w:tc>
        <w:tc>
          <w:tcPr>
            <w:tcW w:w="3000" w:type="dxa"/>
            <w:vAlign w:val="bottom"/>
            <w:tcBorders>
              <w:top w:val="single" w:sz="8" w:color="0000FF"/>
              <w:bottom w:val="single" w:sz="8" w:color="CCEEFF"/>
            </w:tcBorders>
            <w:gridSpan w:val="19"/>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Description of Securities, incorporated by reference to Exhibit 4.1 to the Annual Report on Form 10-K of General Motors</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Company filed February 5,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Indenture, dated as of September 27, 2013, between General Motors Company and the Bank of New York Mellon, as Trustee,</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incorporated by reference to Exhibit 4.2 to the Registration Statement on Form S-3 of General Motors Company filed April 30,</w:t>
              </w:r>
            </w:hyperlink>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2014</w:t>
              </w:r>
            </w:hyperlink>
          </w:p>
        </w:tc>
        <w:tc>
          <w:tcPr>
            <w:tcW w:w="20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0000FF"/>
            </w:tcBorders>
            <w:shd w:val="clear" w:color="auto" w:fill="CCEEFF"/>
          </w:tcPr>
          <w:p>
            <w:pPr>
              <w:spacing w:after="0"/>
              <w:rPr>
                <w:sz w:val="12"/>
                <w:szCs w:val="12"/>
                <w:color w:val="auto"/>
              </w:rPr>
            </w:pPr>
          </w:p>
        </w:tc>
        <w:tc>
          <w:tcPr>
            <w:tcW w:w="208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900" w:type="dxa"/>
            <w:vAlign w:val="bottom"/>
            <w:tcBorders>
              <w:top w:val="single" w:sz="8" w:color="0000FF"/>
            </w:tcBorders>
            <w:shd w:val="clear" w:color="auto" w:fill="CCEEFF"/>
          </w:tcPr>
          <w:p>
            <w:pPr>
              <w:spacing w:after="0"/>
              <w:rPr>
                <w:sz w:val="12"/>
                <w:szCs w:val="12"/>
                <w:color w:val="auto"/>
              </w:rPr>
            </w:pPr>
          </w:p>
        </w:tc>
        <w:tc>
          <w:tcPr>
            <w:tcW w:w="680" w:type="dxa"/>
            <w:vAlign w:val="bottom"/>
            <w:tcBorders>
              <w:top w:val="single" w:sz="8" w:color="0000FF"/>
            </w:tcBorders>
            <w:shd w:val="clear" w:color="auto" w:fill="CCEEFF"/>
          </w:tcPr>
          <w:p>
            <w:pPr>
              <w:spacing w:after="0"/>
              <w:rPr>
                <w:sz w:val="12"/>
                <w:szCs w:val="12"/>
                <w:color w:val="auto"/>
              </w:rPr>
            </w:pPr>
          </w:p>
        </w:tc>
        <w:tc>
          <w:tcPr>
            <w:tcW w:w="9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First Supplemental Indenture, dated as of September 27, 2013 to the Indenture dated as of September 27, 2013 between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General Motors Company and the Bank of New York Mellon, as Trustee, incorporated by reference to Exhibit 4.3 to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gridSpan w:val="25"/>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Registration Statement on Form S-4 of General Motors Company filed May 22,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Second Supplemental Indenture, dated as of November 12, 2014 to the Indenture dated as of September 27, 2013 between</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80" w:type="dxa"/>
            <w:vAlign w:val="bottom"/>
            <w:tcBorders>
              <w:top w:val="single" w:sz="8" w:color="0000FF"/>
            </w:tcBorders>
            <w:gridSpan w:val="28"/>
            <w:shd w:val="clear" w:color="auto" w:fill="CCEEFF"/>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General Motors Company and the Bank of New York Mellon, as Trustee, incorporated by reference to Exhibit 4.4 to the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420" w:type="dxa"/>
            <w:vAlign w:val="bottom"/>
            <w:tcBorders>
              <w:top w:val="single" w:sz="8" w:color="0000FF"/>
              <w:bottom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Current Report on Form 8-K of General Motors Company filed November 12, 2014</w:t>
              </w:r>
            </w:hyperlink>
          </w:p>
        </w:tc>
        <w:tc>
          <w:tcPr>
            <w:tcW w:w="300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Third Supplemental Indenture, dated as of February 23, 2016, to the Indenture, dated as of September 27, 2013, between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General Motors Company, as issuer, and The Bank of New York Mellon, as Trustee, incorporated by reference to Exhibit 4.1 to</w:t>
              </w:r>
            </w:hyperlink>
          </w:p>
        </w:tc>
        <w:tc>
          <w:tcPr>
            <w:tcW w:w="60" w:type="dxa"/>
            <w:vAlign w:val="bottom"/>
            <w:gridSpan w:val="3"/>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the Current Report on Form 8-K of General Motors Company filed February 23, 2016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Fourth Supplemental Indenture, dated as of August 7, 2017, to the Indenture, dated as of September 27, 2013, between General</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8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Motors Company, as issuer, and The Bank of New York Mellon, as Trustee, incorporated by reference to Exhibit 4.1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12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Current Report on Form 8-K of General Motors Company filed August 8, 2017</w:t>
              </w:r>
            </w:hyperlink>
          </w:p>
        </w:tc>
        <w:tc>
          <w:tcPr>
            <w:tcW w:w="324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Fifth Supplemental Indenture, dated as of September 10, 2018, to the Indenture, dated as of September 27, 2013, between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the Current Report on Form 8-K of General Motors Company filed September 10, 2018</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Sixth Supplemental Indenture, dated as of May 12, 2020, to the Indenture. dated as of September 27, 2013, between General</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Motors Company, as issuer, and The Bank of New York Mellon, as Trustee, incorporated by reference to Exhibit 4.2 to the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6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Current Report on Form 8-K of General Motors Company filed May 12, 2020</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40" w:type="dxa"/>
            <w:vAlign w:val="bottom"/>
            <w:gridSpan w:val="31"/>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Seventh Supplemental Indenture, dated as of August 2, 2022, to the Indenture. dated as of September 27, 2013, between</w:t>
              </w:r>
            </w:hyperlink>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General Motors Company, as issuer, and The Bank of New York Mellon, as Trustee, incorporated by reference to Exhibit 4.2 to</w:t>
              </w:r>
            </w:hyperlink>
          </w:p>
        </w:tc>
        <w:tc>
          <w:tcPr>
            <w:tcW w:w="14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4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the Current Report on Form 8-K of General Motors Company filed August 2, 2022</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40" w:type="dxa"/>
            <w:vAlign w:val="bottom"/>
            <w:gridSpan w:val="31"/>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Calculation Agency Agreement, dated as of September 10, 2018 between General Motors Company and the Bank of New York</w:t>
              </w:r>
            </w:hyperlink>
          </w:p>
        </w:tc>
        <w:tc>
          <w:tcPr>
            <w:tcW w:w="15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1"/>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6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Mellon, as calculation agent, incorporated by reference to Exhibit 4.3 to the Current Report on Form 8-K of General Motors</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38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Company filed September 10, 2018</w:t>
              </w:r>
            </w:hyperlink>
          </w:p>
        </w:tc>
        <w:tc>
          <w:tcPr>
            <w:tcW w:w="160" w:type="dxa"/>
            <w:vAlign w:val="bottom"/>
            <w:tcBorders>
              <w:top w:val="single" w:sz="8" w:color="CCEEFF"/>
            </w:tcBorders>
            <w:gridSpan w:val="8"/>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940" w:type="dxa"/>
            <w:vAlign w:val="bottom"/>
            <w:gridSpan w:val="31"/>
            <w:vMerge w:val="restart"/>
          </w:tcPr>
          <w:p>
            <w:pPr>
              <w:ind w:left="100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40" w:type="dxa"/>
            <w:vAlign w:val="bottom"/>
            <w:gridSpan w:val="31"/>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98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580" w:type="dxa"/>
            <w:vAlign w:val="bottom"/>
            <w:tcBorders>
              <w:top w:val="single" w:sz="8" w:color="auto"/>
            </w:tcBorders>
            <w:gridSpan w:val="37"/>
          </w:tcPr>
          <w:p>
            <w:pPr>
              <w:spacing w:after="0" w:line="171"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Form of Compensation Statement, incorporated by reference to Exhibit 10.14 to the Annual Report on Form 10-K of General</w:t>
              </w:r>
            </w:hyperlink>
          </w:p>
        </w:tc>
        <w:tc>
          <w:tcPr>
            <w:tcW w:w="1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Motors Company filed April 7,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General Motors Company Executive Retirement Plan, with modifications through October 10, 2012, incorporated by reference</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to Exhibit 10.12 to the Annual Report on Form 10-K of General Motors Company filed February 15, 2013</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Amendment No. 1 to General Motors Company Executive Retirement Plan, with modifications through October 10, 2012,</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incorporated by reference to Exhibit 10.2 to the Current Report on Form 8-K of General Motors Company filed February 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2016</w:t>
              </w:r>
            </w:hyperlink>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General Motors Company Vehicle Operations - Senior Management Vehicle Program (SMVP) Supplement, revised December</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0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15, 2005, incorporated by reference to Exhibit 10(g) to the Annual Report on Form 10-K of Motors Liquidation Company filed</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2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March 28, 2006</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General Motors Company 2014 Long-Term Incentive Plan, incorporated by reference to Exhibit 10.1 to the Current Report on</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6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Form 8-K of General Motors Company filed June 12,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Non-Qualified Stock Option Agreement under the 2014 Long-Term Incentive Plan, incorporated by reference to</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40" w:type="dxa"/>
            <w:vAlign w:val="bottom"/>
            <w:tcBorders>
              <w:top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Exhibit 10.1 to the Current Report on Form 8-K of General Motors Company filed July 30, 2015</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Form of Director and Officer Indemnification Agreement, incorporated by reference to Exhibit 10.6 to the Quarterly Report on</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tcBorders>
              <w:top w:val="single" w:sz="8" w:color="0000FF"/>
            </w:tcBorders>
            <w:gridSpan w:val="35"/>
          </w:tcPr>
          <w:p>
            <w:pPr>
              <w:spacing w:after="0" w:line="14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Form 10-Q of General Motors Company filed April 21,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General Motors Company 2017 Short-Term Incentive Plan, incorporated by reference to Exhibit 10.25 to the Annual Report on</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60" w:type="dxa"/>
            <w:vAlign w:val="bottom"/>
            <w:tcBorders>
              <w:top w:val="single" w:sz="8" w:color="0000FF"/>
            </w:tcBorders>
            <w:gridSpan w:val="36"/>
            <w:shd w:val="clear" w:color="auto" w:fill="CCEEFF"/>
          </w:tcPr>
          <w:p>
            <w:pPr>
              <w:spacing w:after="0" w:line="14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10-K of General Motors Company filed February 6,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General Motors Company 2017 Long-Term Incentive Plan, incorporated by reference to Exhibit 4.1 to the Registration</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6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Statement on Form S-8 of General Motors Company filed June 16, 2017</w:t>
              </w:r>
            </w:hyperlink>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860" w:type="dxa"/>
            <w:vAlign w:val="bottom"/>
            <w:tcBorders>
              <w:bottom w:val="single" w:sz="8" w:color="0000FF"/>
            </w:tcBorders>
            <w:gridSpan w:val="17"/>
            <w:shd w:val="clear" w:color="auto" w:fill="CCEEFF"/>
          </w:tcPr>
          <w:p>
            <w:pPr>
              <w:spacing w:after="0" w:line="17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Form of Performance Share Unit Award Agreement under the General Motors Company 2017 Long-Term Incentive Plan,</w:t>
              </w:r>
            </w:hyperlink>
          </w:p>
        </w:tc>
        <w:tc>
          <w:tcPr>
            <w:tcW w:w="720" w:type="dxa"/>
            <w:vAlign w:val="bottom"/>
            <w:tcBorders>
              <w:bottom w:val="single" w:sz="8" w:color="CCEEFF"/>
            </w:tcBorders>
            <w:gridSpan w:val="20"/>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55"/>
        </w:trPr>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580" w:type="dxa"/>
            <w:vAlign w:val="bottom"/>
            <w:gridSpan w:val="37"/>
            <w:shd w:val="clear" w:color="auto" w:fill="CCEEFF"/>
          </w:tcPr>
          <w:p>
            <w:pPr>
              <w:spacing w:after="0" w:line="15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incorporated by reference to Exhibit 10.1 to the Quarterly Report on Form 10-Q of General Motors Company filed May 6,</w:t>
              </w:r>
            </w:hyperlink>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0000FF"/>
            </w:tcBorders>
            <w:gridSpan w:val="2"/>
            <w:shd w:val="clear" w:color="auto" w:fill="CCEEFF"/>
          </w:tcPr>
          <w:p>
            <w:pPr>
              <w:spacing w:after="0" w:line="168"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2020</w:t>
              </w:r>
            </w:hyperlink>
          </w:p>
        </w:tc>
        <w:tc>
          <w:tcPr>
            <w:tcW w:w="8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136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118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7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Form of Non-Qualified Stock Option Award Agreement No. 1 under the General Motors Company 2017 Long-Term Incentive</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2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6"/>
              </w:rPr>
            </w:pPr>
            <w:hyperlink r:id="rId164">
              <w:r>
                <w:rPr>
                  <w:rFonts w:ascii="Times New Roman" w:cs="Times New Roman" w:eastAsia="Times New Roman" w:hAnsi="Times New Roman"/>
                  <w:sz w:val="16"/>
                  <w:szCs w:val="16"/>
                  <w:color w:val="0000FF"/>
                  <w:w w:val="96"/>
                </w:rPr>
                <w:t>26, 2018</w:t>
              </w:r>
            </w:hyperlink>
          </w:p>
        </w:tc>
        <w:tc>
          <w:tcPr>
            <w:tcW w:w="46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Form of Non-Qualified Stock Option Award Agreement No. 2 under the General Motors Company 2017 Long-Term Incentive</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Plan, incorporated by reference to Exhibit 10.2 to the Quarterly Report on Form 10-Q of General Motors Company filed May</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6, 2020</w:t>
              </w:r>
            </w:hyperlink>
          </w:p>
        </w:tc>
        <w:tc>
          <w:tcPr>
            <w:tcW w:w="460" w:type="dxa"/>
            <w:vAlign w:val="bottom"/>
            <w:tcBorders>
              <w:top w:val="single" w:sz="8" w:color="0000FF"/>
            </w:tcBorders>
            <w:shd w:val="clear" w:color="auto" w:fill="CCEEFF"/>
          </w:tcPr>
          <w:p>
            <w:pPr>
              <w:spacing w:after="0"/>
              <w:rPr>
                <w:sz w:val="12"/>
                <w:szCs w:val="12"/>
                <w:color w:val="auto"/>
              </w:rPr>
            </w:pPr>
          </w:p>
        </w:tc>
        <w:tc>
          <w:tcPr>
            <w:tcW w:w="13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Amended and Restated General Motors LLC U.S. Executive Severance Program, incorporated by reference to Exhibit 10.23 to</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8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the Annual Report on Form 10-K of General Motors Company filed February 6, 2019</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Form of Time Sharing Agreement, incorporated by reference to Exhibit 10.2 to the Quarterly Report on Form 10-Q of General</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4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Motors Company filed October 29, 2019</w:t>
              </w:r>
            </w:hyperlink>
          </w:p>
        </w:tc>
        <w:tc>
          <w:tcPr>
            <w:tcW w:w="572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5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The General Motors Company Deferred Compensation Plan for Non-Employee Directors, incorporated by reference to Exhibit</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8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19</w:t>
              </w:r>
              <w:r>
                <w:rPr>
                  <w:rFonts w:ascii="Times New Roman" w:cs="Times New Roman" w:eastAsia="Times New Roman" w:hAnsi="Times New Roman"/>
                  <w:sz w:val="16"/>
                  <w:szCs w:val="16"/>
                  <w:color w:val="0000FF"/>
                </w:rPr>
                <w:t xml:space="preserve"> to the Annual Report on Form 10-K of General Motors Company filed February 5, 2020</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General Motors Company 2020 Long-Term Incentive Plan, incorporated by reference to Exhibit 4.1 to the Registration</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62"/>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Statement on Form S-8 of General Motors Company filed June 25, 2020</w:t>
              </w:r>
            </w:hyperlink>
          </w:p>
        </w:tc>
        <w:tc>
          <w:tcPr>
            <w:tcW w:w="3880" w:type="dxa"/>
            <w:vAlign w:val="bottom"/>
            <w:tcBorders>
              <w:top w:val="single" w:sz="8" w:color="0000FF"/>
              <w:bottom w:val="single" w:sz="8" w:color="CCEEFF"/>
            </w:tcBorders>
            <w:gridSpan w:val="2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Amendment No. 1 to the General Motors Company 2020 Long-Term Incentive Plan, incorporated by reference to Appendix B</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4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of the Definitive Proxy Statement of General Motors Company filed April 28, 2023</w:t>
              </w:r>
            </w:hyperlink>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Form of Performance Share Unit Award Agreement No.1 under the General Motors Company 2020 Long-Term Incentive Plan,</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52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incorporated by reference to Exhibit 10.1 to the Quarterly Report on Form 10-Q of General Motors Company filed May 5,</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2021</w:t>
              </w:r>
            </w:hyperlink>
          </w:p>
        </w:tc>
        <w:tc>
          <w:tcPr>
            <w:tcW w:w="8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3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of Performance Share Unit Award Agreement No.3 under the General Motors Company 2020 Long-Term Incentive Plan,</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20" w:type="dxa"/>
            <w:vAlign w:val="bottom"/>
            <w:tcBorders>
              <w:top w:val="single" w:sz="8" w:color="0000FF"/>
            </w:tcBorders>
            <w:gridSpan w:val="34"/>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incorporated by reference to Exhibit 10.1 to the Quarterly Report on Form 10-Q of General Motors Company, filed April 27,</w:t>
              </w:r>
            </w:hyperlink>
          </w:p>
        </w:tc>
        <w:tc>
          <w:tcPr>
            <w:tcW w:w="60" w:type="dxa"/>
            <w:vAlign w:val="bottom"/>
            <w:gridSpan w:val="3"/>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2022</w:t>
              </w:r>
            </w:hyperlink>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Non-Qualified Stock Option Award Agreement No. 1 under the General Motors Company 2020 Long- Term Incentive</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8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Plan, incorporated by reference to Exhibit 10.2 to the Quarterly Report on Form 10-Q of General Motors Company filed May</w:t>
              </w:r>
            </w:hyperlink>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gridSpan w:val="14"/>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5, 2021</w:t>
              </w:r>
            </w:hyperlink>
          </w:p>
        </w:tc>
        <w:tc>
          <w:tcPr>
            <w:tcW w:w="460" w:type="dxa"/>
            <w:vAlign w:val="bottom"/>
            <w:tcBorders>
              <w:top w:val="single" w:sz="8" w:color="0000FF"/>
            </w:tcBorders>
            <w:shd w:val="clear" w:color="auto" w:fill="CCEEFF"/>
          </w:tcPr>
          <w:p>
            <w:pPr>
              <w:spacing w:after="0"/>
              <w:rPr>
                <w:sz w:val="12"/>
                <w:szCs w:val="12"/>
                <w:color w:val="auto"/>
              </w:rPr>
            </w:pPr>
          </w:p>
        </w:tc>
        <w:tc>
          <w:tcPr>
            <w:tcW w:w="136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118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480" w:type="dxa"/>
            <w:vAlign w:val="bottom"/>
            <w:tcBorders>
              <w:top w:val="single" w:sz="8" w:color="0000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37"/>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of Non-Qualified Stock Option Award Agreement No.2 under the General Motors Company 2020 Long-Term Incentive</w:t>
              </w:r>
            </w:hyperlink>
          </w:p>
        </w:tc>
        <w:tc>
          <w:tcPr>
            <w:tcW w:w="15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30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Plan incorporated by reference to Exhibit 10.2 to the Quarterly Report on Form 10-Q of General Motors Company, filed April</w:t>
              </w:r>
            </w:hyperlink>
          </w:p>
        </w:tc>
        <w:tc>
          <w:tcPr>
            <w:tcW w:w="280" w:type="dxa"/>
            <w:vAlign w:val="bottom"/>
            <w:gridSpan w:val="14"/>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6"/>
              </w:rPr>
            </w:pPr>
            <w:hyperlink r:id="rId174">
              <w:r>
                <w:rPr>
                  <w:rFonts w:ascii="Times New Roman" w:cs="Times New Roman" w:eastAsia="Times New Roman" w:hAnsi="Times New Roman"/>
                  <w:sz w:val="16"/>
                  <w:szCs w:val="16"/>
                  <w:color w:val="0000FF"/>
                  <w:w w:val="96"/>
                </w:rPr>
                <w:t>27, 2022</w:t>
              </w:r>
            </w:hyperlink>
          </w:p>
        </w:tc>
        <w:tc>
          <w:tcPr>
            <w:tcW w:w="46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58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Form of Restricted Stock Unit Award Agreement No. 1 under the General Motors Company 2020 Long-Term Incentive Plan</w:t>
              </w:r>
            </w:hyperlink>
          </w:p>
        </w:tc>
        <w:tc>
          <w:tcPr>
            <w:tcW w:w="15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89"/>
              </w:rPr>
              <w:t>Incorporated by Reference</w:t>
            </w:r>
          </w:p>
        </w:tc>
        <w:tc>
          <w:tcPr>
            <w:tcW w:w="0" w:type="dxa"/>
            <w:vAlign w:val="bottom"/>
          </w:tcPr>
          <w:p>
            <w:pPr>
              <w:spacing w:after="0"/>
              <w:rPr>
                <w:sz w:val="1"/>
                <w:szCs w:val="1"/>
                <w:color w:val="auto"/>
              </w:rPr>
            </w:pPr>
          </w:p>
        </w:tc>
      </w:tr>
      <w:tr>
        <w:trPr>
          <w:trHeight w:val="161"/>
        </w:trPr>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26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incorporated by reference to Exhibit 10.24 to the Annual Report on Form 10-K of General Motors Company, filed February</w:t>
              </w:r>
            </w:hyperlink>
          </w:p>
        </w:tc>
        <w:tc>
          <w:tcPr>
            <w:tcW w:w="320" w:type="dxa"/>
            <w:vAlign w:val="bottom"/>
            <w:tcBorders>
              <w:top w:val="single" w:sz="8" w:color="CCEEFF"/>
            </w:tcBorders>
            <w:gridSpan w:val="16"/>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0000FF"/>
              <w:bottom w:val="single" w:sz="8" w:color="0000FF"/>
            </w:tcBorders>
            <w:gridSpan w:val="3"/>
            <w:shd w:val="clear" w:color="auto" w:fill="CCEEFF"/>
          </w:tcPr>
          <w:p>
            <w:pPr>
              <w:spacing w:after="0" w:line="121"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10, 2021</w:t>
              </w:r>
            </w:hyperlink>
          </w:p>
        </w:tc>
        <w:tc>
          <w:tcPr>
            <w:tcW w:w="460" w:type="dxa"/>
            <w:vAlign w:val="bottom"/>
            <w:tcBorders>
              <w:top w:val="single" w:sz="8" w:color="0000FF"/>
              <w:bottom w:val="single" w:sz="8" w:color="CCEEFF"/>
            </w:tcBorders>
            <w:shd w:val="clear" w:color="auto" w:fill="CCEEFF"/>
          </w:tcPr>
          <w:p>
            <w:pPr>
              <w:spacing w:after="0"/>
              <w:rPr>
                <w:sz w:val="10"/>
                <w:szCs w:val="10"/>
                <w:color w:val="auto"/>
              </w:rPr>
            </w:pPr>
          </w:p>
        </w:tc>
        <w:tc>
          <w:tcPr>
            <w:tcW w:w="1360" w:type="dxa"/>
            <w:vAlign w:val="bottom"/>
            <w:tcBorders>
              <w:top w:val="single" w:sz="8" w:color="0000FF"/>
              <w:bottom w:val="single" w:sz="8" w:color="CCEEFF"/>
            </w:tcBorders>
            <w:shd w:val="clear" w:color="auto" w:fill="CCEEFF"/>
          </w:tcPr>
          <w:p>
            <w:pPr>
              <w:spacing w:after="0"/>
              <w:rPr>
                <w:sz w:val="10"/>
                <w:szCs w:val="10"/>
                <w:color w:val="auto"/>
              </w:rPr>
            </w:pPr>
          </w:p>
        </w:tc>
        <w:tc>
          <w:tcPr>
            <w:tcW w:w="260" w:type="dxa"/>
            <w:vAlign w:val="bottom"/>
            <w:tcBorders>
              <w:top w:val="single" w:sz="8" w:color="0000FF"/>
              <w:bottom w:val="single" w:sz="8" w:color="CCEEFF"/>
            </w:tcBorders>
            <w:shd w:val="clear" w:color="auto" w:fill="CCEEFF"/>
          </w:tcPr>
          <w:p>
            <w:pPr>
              <w:spacing w:after="0"/>
              <w:rPr>
                <w:sz w:val="10"/>
                <w:szCs w:val="10"/>
                <w:color w:val="auto"/>
              </w:rPr>
            </w:pPr>
          </w:p>
        </w:tc>
        <w:tc>
          <w:tcPr>
            <w:tcW w:w="1180" w:type="dxa"/>
            <w:vAlign w:val="bottom"/>
            <w:tcBorders>
              <w:top w:val="single" w:sz="8" w:color="0000FF"/>
              <w:bottom w:val="single" w:sz="8" w:color="CCEEFF"/>
            </w:tcBorders>
            <w:shd w:val="clear" w:color="auto" w:fill="CCEEFF"/>
          </w:tcPr>
          <w:p>
            <w:pPr>
              <w:spacing w:after="0"/>
              <w:rPr>
                <w:sz w:val="10"/>
                <w:szCs w:val="10"/>
                <w:color w:val="auto"/>
              </w:rPr>
            </w:pPr>
          </w:p>
        </w:tc>
        <w:tc>
          <w:tcPr>
            <w:tcW w:w="120" w:type="dxa"/>
            <w:vAlign w:val="bottom"/>
            <w:tcBorders>
              <w:top w:val="single" w:sz="8" w:color="0000FF"/>
              <w:bottom w:val="single" w:sz="8" w:color="CCEEFF"/>
            </w:tcBorders>
            <w:shd w:val="clear" w:color="auto" w:fill="CCEEFF"/>
          </w:tcPr>
          <w:p>
            <w:pPr>
              <w:spacing w:after="0"/>
              <w:rPr>
                <w:sz w:val="10"/>
                <w:szCs w:val="10"/>
                <w:color w:val="auto"/>
              </w:rPr>
            </w:pPr>
          </w:p>
        </w:tc>
        <w:tc>
          <w:tcPr>
            <w:tcW w:w="160" w:type="dxa"/>
            <w:vAlign w:val="bottom"/>
            <w:tcBorders>
              <w:top w:val="single" w:sz="8" w:color="0000FF"/>
              <w:bottom w:val="single" w:sz="8" w:color="CCEEFF"/>
            </w:tcBorders>
            <w:shd w:val="clear" w:color="auto" w:fill="CCEEFF"/>
          </w:tcPr>
          <w:p>
            <w:pPr>
              <w:spacing w:after="0"/>
              <w:rPr>
                <w:sz w:val="10"/>
                <w:szCs w:val="10"/>
                <w:color w:val="auto"/>
              </w:rPr>
            </w:pPr>
          </w:p>
        </w:tc>
        <w:tc>
          <w:tcPr>
            <w:tcW w:w="580" w:type="dxa"/>
            <w:vAlign w:val="bottom"/>
            <w:tcBorders>
              <w:top w:val="single" w:sz="8" w:color="0000FF"/>
              <w:bottom w:val="single" w:sz="8" w:color="CCEEFF"/>
            </w:tcBorders>
            <w:shd w:val="clear" w:color="auto" w:fill="CCEEFF"/>
          </w:tcPr>
          <w:p>
            <w:pPr>
              <w:spacing w:after="0"/>
              <w:rPr>
                <w:sz w:val="10"/>
                <w:szCs w:val="10"/>
                <w:color w:val="auto"/>
              </w:rPr>
            </w:pPr>
          </w:p>
        </w:tc>
        <w:tc>
          <w:tcPr>
            <w:tcW w:w="720" w:type="dxa"/>
            <w:vAlign w:val="bottom"/>
            <w:tcBorders>
              <w:top w:val="single" w:sz="8" w:color="0000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560" w:type="dxa"/>
            <w:vAlign w:val="bottom"/>
            <w:tcBorders>
              <w:top w:val="single" w:sz="8" w:color="0000FF"/>
              <w:bottom w:val="single" w:sz="8" w:color="CCEEFF"/>
            </w:tcBorders>
            <w:shd w:val="clear" w:color="auto" w:fill="CCEEFF"/>
          </w:tcPr>
          <w:p>
            <w:pPr>
              <w:spacing w:after="0"/>
              <w:rPr>
                <w:sz w:val="10"/>
                <w:szCs w:val="10"/>
                <w:color w:val="auto"/>
              </w:rPr>
            </w:pPr>
          </w:p>
        </w:tc>
        <w:tc>
          <w:tcPr>
            <w:tcW w:w="140" w:type="dxa"/>
            <w:vAlign w:val="bottom"/>
            <w:tcBorders>
              <w:top w:val="single" w:sz="8" w:color="0000FF"/>
              <w:bottom w:val="single" w:sz="8" w:color="CCEEFF"/>
            </w:tcBorders>
            <w:shd w:val="clear" w:color="auto" w:fill="CCEEFF"/>
          </w:tcPr>
          <w:p>
            <w:pPr>
              <w:spacing w:after="0"/>
              <w:rPr>
                <w:sz w:val="10"/>
                <w:szCs w:val="10"/>
                <w:color w:val="auto"/>
              </w:rPr>
            </w:pPr>
          </w:p>
        </w:tc>
        <w:tc>
          <w:tcPr>
            <w:tcW w:w="620" w:type="dxa"/>
            <w:vAlign w:val="bottom"/>
            <w:tcBorders>
              <w:top w:val="single" w:sz="8" w:color="0000FF"/>
              <w:bottom w:val="single" w:sz="8" w:color="CCEEFF"/>
            </w:tcBorders>
            <w:shd w:val="clear" w:color="auto" w:fill="CCEEFF"/>
          </w:tcPr>
          <w:p>
            <w:pPr>
              <w:spacing w:after="0"/>
              <w:rPr>
                <w:sz w:val="10"/>
                <w:szCs w:val="10"/>
                <w:color w:val="auto"/>
              </w:rPr>
            </w:pPr>
          </w:p>
        </w:tc>
        <w:tc>
          <w:tcPr>
            <w:tcW w:w="480" w:type="dxa"/>
            <w:vAlign w:val="bottom"/>
            <w:tcBorders>
              <w:top w:val="single" w:sz="8" w:color="0000FF"/>
              <w:bottom w:val="single" w:sz="8" w:color="CCEEFF"/>
            </w:tcBorders>
            <w:shd w:val="clear" w:color="auto" w:fill="CCEEFF"/>
          </w:tcPr>
          <w:p>
            <w:pPr>
              <w:spacing w:after="0"/>
              <w:rPr>
                <w:sz w:val="10"/>
                <w:szCs w:val="10"/>
                <w:color w:val="auto"/>
              </w:rPr>
            </w:pPr>
          </w:p>
        </w:tc>
        <w:tc>
          <w:tcPr>
            <w:tcW w:w="520" w:type="dxa"/>
            <w:vAlign w:val="bottom"/>
            <w:tcBorders>
              <w:top w:val="single" w:sz="8" w:color="0000FF"/>
              <w:bottom w:val="single" w:sz="8" w:color="CCEEFF"/>
            </w:tcBorders>
            <w:shd w:val="clear" w:color="auto" w:fill="CCEEFF"/>
          </w:tcPr>
          <w:p>
            <w:pPr>
              <w:spacing w:after="0"/>
              <w:rPr>
                <w:sz w:val="10"/>
                <w:szCs w:val="10"/>
                <w:color w:val="auto"/>
              </w:rPr>
            </w:pPr>
          </w:p>
        </w:tc>
        <w:tc>
          <w:tcPr>
            <w:tcW w:w="40" w:type="dxa"/>
            <w:vAlign w:val="bottom"/>
            <w:tcBorders>
              <w:top w:val="single" w:sz="8" w:color="0000FF"/>
              <w:bottom w:val="single" w:sz="8" w:color="CCEEFF"/>
            </w:tcBorders>
            <w:shd w:val="clear" w:color="auto" w:fill="CCEEFF"/>
          </w:tcPr>
          <w:p>
            <w:pPr>
              <w:spacing w:after="0"/>
              <w:rPr>
                <w:sz w:val="10"/>
                <w:szCs w:val="10"/>
                <w:color w:val="auto"/>
              </w:rPr>
            </w:pPr>
          </w:p>
        </w:tc>
        <w:tc>
          <w:tcPr>
            <w:tcW w:w="320" w:type="dxa"/>
            <w:vAlign w:val="bottom"/>
            <w:tcBorders>
              <w:top w:val="single" w:sz="8" w:color="0000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54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20" w:type="dxa"/>
            <w:vAlign w:val="bottom"/>
            <w:gridSpan w:val="2"/>
            <w:vMerge w:val="restart"/>
          </w:tcPr>
          <w:p>
            <w:pPr>
              <w:ind w:left="346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0" w:type="dxa"/>
            <w:vAlign w:val="bottom"/>
          </w:tcPr>
          <w:p>
            <w:pPr>
              <w:spacing w:after="0"/>
              <w:rPr>
                <w:sz w:val="1"/>
                <w:szCs w:val="1"/>
                <w:color w:val="auto"/>
              </w:rPr>
            </w:pPr>
          </w:p>
        </w:tc>
      </w:tr>
      <w:tr>
        <w:trPr>
          <w:trHeight w:val="213"/>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10.23*</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540" w:type="dxa"/>
            <w:vAlign w:val="bottom"/>
            <w:tcBorders>
              <w:top w:val="single" w:sz="8" w:color="auto"/>
            </w:tcBorders>
            <w:gridSpan w:val="3"/>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Form of Restricted Stock Unit Award Agreement No. 2 under the General Motors Company 2020 Long-Term Incentive Plan,</w:t>
              </w:r>
            </w:hyperlink>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incorporated by reference to Exhibit 10.1 to the Quarterly Report on Form 10-Q of General Motors Company, filed October 24,</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177">
              <w:r>
                <w:rPr>
                  <w:rFonts w:ascii="Times New Roman" w:cs="Times New Roman" w:eastAsia="Times New Roman" w:hAnsi="Times New Roman"/>
                  <w:sz w:val="16"/>
                  <w:szCs w:val="16"/>
                  <w:color w:val="0000FF"/>
                  <w:w w:val="93"/>
                </w:rPr>
                <w:t>2023</w:t>
              </w:r>
            </w:hyperlink>
          </w:p>
        </w:tc>
        <w:tc>
          <w:tcPr>
            <w:tcW w:w="8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209" w:lineRule="exact"/>
        <w:rPr>
          <w:sz w:val="20"/>
          <w:szCs w:val="20"/>
          <w:color w:val="auto"/>
        </w:rPr>
      </w:pPr>
    </w:p>
    <w:p>
      <w:pPr>
        <w:sectPr>
          <w:pgSz w:w="11900" w:h="16838" w:orient="portrait"/>
          <w:cols w:equalWidth="0" w:num="2">
            <w:col w:w="9660" w:space="120"/>
            <w:col w:w="1440"/>
          </w:cols>
          <w:pgMar w:left="320" w:top="363" w:right="359" w:bottom="1440" w:gutter="0" w:footer="0" w:header="0"/>
        </w:sectPr>
      </w:pPr>
    </w:p>
    <w:tbl>
      <w:tblPr>
        <w:tblLayout w:type="fixed"/>
        <w:tblInd w:w="0" w:type="dxa"/>
        <w:tblCellMar>
          <w:top w:w="0" w:type="dxa"/>
          <w:left w:w="0" w:type="dxa"/>
          <w:bottom w:w="0" w:type="dxa"/>
          <w:right w:w="0" w:type="dxa"/>
        </w:tblCellMar>
      </w:tblPr>
      <w:tr>
        <w:trPr>
          <w:trHeight w:val="204"/>
        </w:trPr>
        <w:tc>
          <w:tcPr>
            <w:tcW w:w="112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10.24*</w:t>
            </w:r>
          </w:p>
        </w:tc>
        <w:tc>
          <w:tcPr>
            <w:tcW w:w="804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Form of Restricted Stock Unit Award Agreement No. 3 under the General Motors Company 2020 Long-Term Incentive Plan</w:t>
            </w:r>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75"/>
        </w:trPr>
        <w:tc>
          <w:tcPr>
            <w:tcW w:w="1120" w:type="dxa"/>
            <w:vAlign w:val="bottom"/>
          </w:tcPr>
          <w:p>
            <w:pPr>
              <w:jc w:val="right"/>
              <w:ind w:right="579"/>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8580" w:type="dxa"/>
            <w:vAlign w:val="bottom"/>
            <w:gridSpan w:val="6"/>
          </w:tcPr>
          <w:p>
            <w:pPr>
              <w:spacing w:after="0" w:line="175"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Fourth Amended and Restated 5-Year Revolving Credit Agreement among General Motors Company, General Motors Financial</w:t>
              </w:r>
            </w:hyperlink>
          </w:p>
        </w:tc>
        <w:tc>
          <w:tcPr>
            <w:tcW w:w="15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Incorporated by</w:t>
            </w:r>
          </w:p>
        </w:tc>
      </w:tr>
      <w:tr>
        <w:trPr>
          <w:trHeight w:val="141"/>
        </w:trPr>
        <w:tc>
          <w:tcPr>
            <w:tcW w:w="1120" w:type="dxa"/>
            <w:vAlign w:val="bottom"/>
          </w:tcPr>
          <w:p>
            <w:pPr>
              <w:spacing w:after="0"/>
              <w:rPr>
                <w:sz w:val="12"/>
                <w:szCs w:val="12"/>
                <w:color w:val="auto"/>
              </w:rPr>
            </w:pPr>
          </w:p>
        </w:tc>
        <w:tc>
          <w:tcPr>
            <w:tcW w:w="854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40" w:type="dxa"/>
            <w:vAlign w:val="bottom"/>
          </w:tcPr>
          <w:p>
            <w:pPr>
              <w:spacing w:after="0"/>
              <w:rPr>
                <w:sz w:val="12"/>
                <w:szCs w:val="12"/>
                <w:color w:val="auto"/>
              </w:rPr>
            </w:pPr>
          </w:p>
        </w:tc>
        <w:tc>
          <w:tcPr>
            <w:tcW w:w="1520" w:type="dxa"/>
            <w:vAlign w:val="bottom"/>
          </w:tcPr>
          <w:p>
            <w:pPr>
              <w:ind w:left="80"/>
              <w:spacing w:after="0" w:line="142" w:lineRule="exact"/>
              <w:rPr>
                <w:sz w:val="20"/>
                <w:szCs w:val="20"/>
                <w:color w:val="auto"/>
              </w:rPr>
            </w:pPr>
            <w:r>
              <w:rPr>
                <w:rFonts w:ascii="Times New Roman" w:cs="Times New Roman" w:eastAsia="Times New Roman" w:hAnsi="Times New Roman"/>
                <w:sz w:val="16"/>
                <w:szCs w:val="16"/>
                <w:color w:val="auto"/>
              </w:rPr>
              <w:t>Reference</w:t>
            </w:r>
          </w:p>
        </w:tc>
      </w:tr>
      <w:tr>
        <w:trPr>
          <w:trHeight w:val="141"/>
        </w:trPr>
        <w:tc>
          <w:tcPr>
            <w:tcW w:w="11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JPMorgan Chase Bank, N.A., as administrative agent, and Citibank, N.A., as syndication agent, incorporated by reference to</w:t>
              </w:r>
            </w:hyperlink>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r>
      <w:tr>
        <w:trPr>
          <w:trHeight w:val="141"/>
        </w:trPr>
        <w:tc>
          <w:tcPr>
            <w:tcW w:w="1120" w:type="dxa"/>
            <w:vAlign w:val="bottom"/>
          </w:tcPr>
          <w:p>
            <w:pPr>
              <w:spacing w:after="0"/>
              <w:rPr>
                <w:sz w:val="12"/>
                <w:szCs w:val="12"/>
                <w:color w:val="auto"/>
              </w:rPr>
            </w:pPr>
          </w:p>
        </w:tc>
        <w:tc>
          <w:tcPr>
            <w:tcW w:w="8520" w:type="dxa"/>
            <w:vAlign w:val="bottom"/>
            <w:gridSpan w:val="4"/>
          </w:tcPr>
          <w:p>
            <w:pPr>
              <w:spacing w:after="0" w:line="14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Exhibit 10.1 to the Current Report on Form 8-K of General Motors Company filed March 31, 2023</w:t>
              </w:r>
            </w:hyperlink>
          </w:p>
        </w:tc>
        <w:tc>
          <w:tcPr>
            <w:tcW w:w="6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20"/>
          </w:cols>
          <w:pgMar w:left="320" w:top="363" w:right="359" w:bottom="1440" w:gutter="0" w:footer="0" w:header="0"/>
          <w:type w:val="continuous"/>
        </w:sectPr>
      </w:pPr>
    </w:p>
    <w:p>
      <w:pPr>
        <w:jc w:val="both"/>
        <w:ind w:left="1120" w:hanging="1087"/>
        <w:spacing w:after="0" w:line="226" w:lineRule="auto"/>
        <w:tabs>
          <w:tab w:leader="none" w:pos="11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10.26†</w:t>
      </w:r>
      <w:r>
        <w:rPr>
          <w:sz w:val="20"/>
          <w:szCs w:val="20"/>
          <w:color w:val="auto"/>
        </w:rPr>
        <w:tab/>
      </w:r>
      <w:hyperlink r:id="rId179">
        <w:r>
          <w:rPr>
            <w:rFonts w:ascii="Times New Roman" w:cs="Times New Roman" w:eastAsia="Times New Roman" w:hAnsi="Times New Roman"/>
            <w:sz w:val="16"/>
            <w:szCs w:val="16"/>
            <w:u w:val="single" w:color="auto"/>
            <w:color w:val="0000FF"/>
          </w:rPr>
          <w:t>Fifth Amended and Restated 3-Year Revolving Credit Agreement among General Motors Company, General Motors Financial</w:t>
        </w:r>
      </w:hyperlink>
      <w:r>
        <w:rPr>
          <w:rFonts w:ascii="Times New Roman" w:cs="Times New Roman" w:eastAsia="Times New Roman" w:hAnsi="Times New Roman"/>
          <w:sz w:val="16"/>
          <w:szCs w:val="16"/>
          <w:u w:val="single" w:color="auto"/>
          <w:color w:val="0000FF"/>
        </w:rPr>
        <w:t xml:space="preserve"> </w:t>
      </w:r>
      <w:hyperlink r:id="rId179">
        <w:r>
          <w:rPr>
            <w:rFonts w:ascii="Times New Roman" w:cs="Times New Roman" w:eastAsia="Times New Roman" w:hAnsi="Times New Roman"/>
            <w:sz w:val="16"/>
            <w:szCs w:val="16"/>
            <w:u w:val="single" w:color="auto"/>
            <w:color w:val="0000FF"/>
          </w:rPr>
          <w:t>Company, Inc., the subsidiary borrowers from time to time parties thereto, the several lenders from time to time parties thereto,</w:t>
        </w:r>
      </w:hyperlink>
      <w:r>
        <w:rPr>
          <w:rFonts w:ascii="Times New Roman" w:cs="Times New Roman" w:eastAsia="Times New Roman" w:hAnsi="Times New Roman"/>
          <w:sz w:val="16"/>
          <w:szCs w:val="16"/>
          <w:u w:val="single" w:color="auto"/>
          <w:color w:val="0000FF"/>
        </w:rPr>
        <w:t xml:space="preserve"> </w:t>
      </w:r>
      <w:hyperlink r:id="rId179">
        <w:r>
          <w:rPr>
            <w:rFonts w:ascii="Times New Roman" w:cs="Times New Roman" w:eastAsia="Times New Roman" w:hAnsi="Times New Roman"/>
            <w:sz w:val="16"/>
            <w:szCs w:val="16"/>
            <w:u w:val="single" w:color="auto"/>
            <w:color w:val="0000FF"/>
          </w:rPr>
          <w:t>JPMorgan Chase Bank, N.A., as administrative agent, and Citibank, N.A., as syndication agent, incorporated by reference to</w:t>
        </w:r>
      </w:hyperlink>
      <w:r>
        <w:rPr>
          <w:rFonts w:ascii="Times New Roman" w:cs="Times New Roman" w:eastAsia="Times New Roman" w:hAnsi="Times New Roman"/>
          <w:sz w:val="16"/>
          <w:szCs w:val="16"/>
          <w:u w:val="single" w:color="auto"/>
          <w:color w:val="0000FF"/>
        </w:rPr>
        <w:t xml:space="preserve"> </w:t>
      </w:r>
      <w:hyperlink r:id="rId179">
        <w:r>
          <w:rPr>
            <w:rFonts w:ascii="Times New Roman" w:cs="Times New Roman" w:eastAsia="Times New Roman" w:hAnsi="Times New Roman"/>
            <w:sz w:val="16"/>
            <w:szCs w:val="16"/>
            <w:u w:val="single" w:color="auto"/>
            <w:color w:val="0000FF"/>
          </w:rPr>
          <w:t>Exhibit 10.2 to the Current Report on Form 8-K of General Motors Company filed March 31, 2023</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15810" cy="4692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15810" cy="469265"/>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ind w:right="420"/>
        <w:spacing w:after="0" w:line="243" w:lineRule="auto"/>
        <w:rPr>
          <w:sz w:val="20"/>
          <w:szCs w:val="20"/>
          <w:color w:val="auto"/>
        </w:rPr>
      </w:pPr>
      <w:r>
        <w:rPr>
          <w:rFonts w:ascii="Times New Roman" w:cs="Times New Roman" w:eastAsia="Times New Roman" w:hAnsi="Times New Roman"/>
          <w:sz w:val="16"/>
          <w:szCs w:val="16"/>
          <w:color w:val="auto"/>
        </w:rPr>
        <w:t>Incorporated by Reference</w:t>
      </w:r>
    </w:p>
    <w:p>
      <w:pPr>
        <w:spacing w:after="0" w:line="357"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9620" w:space="160"/>
            <w:col w:w="1440"/>
          </w:cols>
          <w:pgMar w:left="320" w:top="363"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8620" w:type="dxa"/>
            <w:vAlign w:val="bottom"/>
            <w:gridSpan w:val="19"/>
          </w:tcPr>
          <w:p>
            <w:pPr>
              <w:spacing w:after="0"/>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Fifth Amended and Restated 364-Day Revolving Credit Agreement among General Motors Company, General Motors Financial</w:t>
              </w:r>
            </w:hyperlink>
          </w:p>
        </w:tc>
        <w:tc>
          <w:tcPr>
            <w:tcW w:w="1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852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Company, Inc., the subsidiary borrowers from time to time parties thereto, the several lenders from time to time parties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JPMorgan Chase Bank, N.A., as administrative agent, and Citibank, N.A., as syndication agent, incorporated by reference to</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8540" w:type="dxa"/>
            <w:vAlign w:val="bottom"/>
            <w:gridSpan w:val="15"/>
          </w:tcPr>
          <w:p>
            <w:pPr>
              <w:spacing w:after="0" w:line="14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Exhibit 10.3 to the Current Report on Form 8-K of General Motors Company filed March 31,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10.28†</w:t>
            </w:r>
          </w:p>
        </w:tc>
        <w:tc>
          <w:tcPr>
            <w:tcW w:w="86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364-Day Delayed Draw Term Loan Credit Agreement, dated November 29, 2023, among General Motors Company, the several</w:t>
              </w:r>
            </w:hyperlink>
          </w:p>
        </w:tc>
        <w:tc>
          <w:tcPr>
            <w:tcW w:w="14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1120" w:type="dxa"/>
            <w:vAlign w:val="bottom"/>
            <w:tcBorders>
              <w:top w:val="single" w:sz="8" w:color="CCEEFF"/>
            </w:tcBorders>
            <w:shd w:val="clear" w:color="auto" w:fill="CCEEFF"/>
          </w:tcPr>
          <w:p>
            <w:pPr>
              <w:spacing w:after="0"/>
              <w:rPr>
                <w:sz w:val="12"/>
                <w:szCs w:val="12"/>
                <w:color w:val="auto"/>
              </w:rPr>
            </w:pPr>
          </w:p>
        </w:tc>
        <w:tc>
          <w:tcPr>
            <w:tcW w:w="860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lenders from time to time parties thereto, and Bank of America, N.A., as administrative agent, incorporated by reference to Exhibit</w:t>
              </w:r>
            </w:hyperlink>
          </w:p>
        </w:tc>
        <w:tc>
          <w:tcPr>
            <w:tcW w:w="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162"/>
        </w:trPr>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614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FF"/>
                </w:rPr>
                <w:t xml:space="preserve"> to the Current Report on Form 8-K of General Motors Company filed November 29, 2023</w:t>
              </w:r>
            </w:hyperlink>
          </w:p>
        </w:tc>
        <w:tc>
          <w:tcPr>
            <w:tcW w:w="244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10.29</w:t>
            </w:r>
          </w:p>
        </w:tc>
        <w:tc>
          <w:tcPr>
            <w:tcW w:w="8620" w:type="dxa"/>
            <w:vAlign w:val="bottom"/>
            <w:tcBorders>
              <w:bottom w:val="single" w:sz="8" w:color="0000FF"/>
            </w:tcBorders>
            <w:gridSpan w:val="19"/>
          </w:tcPr>
          <w:p>
            <w:pPr>
              <w:spacing w:after="0" w:line="175"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Eighth Amended and Restated Limited Liability Company Agreement of GM Cruise Holdings LLC, dated March 18, 2022,</w:t>
              </w:r>
            </w:hyperlink>
          </w:p>
        </w:tc>
        <w:tc>
          <w:tcPr>
            <w:tcW w:w="14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8500" w:type="dxa"/>
            <w:vAlign w:val="bottom"/>
            <w:gridSpan w:val="13"/>
          </w:tcPr>
          <w:p>
            <w:pPr>
              <w:spacing w:after="0" w:line="14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incorporated by reference to Exhibit 10.2 to the Quarterly Report on Form 10-Q of General Motors Company filed July 26, 2022</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48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10.30</w:t>
            </w:r>
          </w:p>
        </w:tc>
        <w:tc>
          <w:tcPr>
            <w:tcW w:w="862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Form of Master Confirmation - Uncollared Accelerated Share Repurchase, dated November 29, 2023, incorporated by reference to</w:t>
              </w:r>
            </w:hyperlink>
          </w:p>
        </w:tc>
        <w:tc>
          <w:tcPr>
            <w:tcW w:w="14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Incorporated by</w:t>
            </w:r>
          </w:p>
        </w:tc>
        <w:tc>
          <w:tcPr>
            <w:tcW w:w="0" w:type="dxa"/>
            <w:vAlign w:val="bottom"/>
          </w:tcPr>
          <w:p>
            <w:pPr>
              <w:spacing w:after="0"/>
              <w:rPr>
                <w:sz w:val="1"/>
                <w:szCs w:val="1"/>
                <w:color w:val="auto"/>
              </w:rPr>
            </w:pPr>
          </w:p>
        </w:tc>
      </w:tr>
      <w:tr>
        <w:trPr>
          <w:trHeight w:val="162"/>
        </w:trPr>
        <w:tc>
          <w:tcPr>
            <w:tcW w:w="1120" w:type="dxa"/>
            <w:vAlign w:val="bottom"/>
            <w:tcBorders>
              <w:top w:val="single" w:sz="8" w:color="CCEEFF"/>
            </w:tcBorders>
            <w:shd w:val="clear" w:color="auto" w:fill="CCEEFF"/>
          </w:tcPr>
          <w:p>
            <w:pPr>
              <w:spacing w:after="0"/>
              <w:rPr>
                <w:sz w:val="14"/>
                <w:szCs w:val="14"/>
                <w:color w:val="auto"/>
              </w:rPr>
            </w:pPr>
          </w:p>
        </w:tc>
        <w:tc>
          <w:tcPr>
            <w:tcW w:w="856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Exhibit 10.1 to the Current Report on Form 8-K of General Motors Company filed November 29, 2023</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480" w:type="dxa"/>
            <w:vAlign w:val="bottom"/>
            <w:tcBorders>
              <w:top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color w:val="auto"/>
              </w:rPr>
              <w:t>Reference</w:t>
            </w:r>
          </w:p>
        </w:tc>
        <w:tc>
          <w:tcPr>
            <w:tcW w:w="0" w:type="dxa"/>
            <w:vAlign w:val="bottom"/>
          </w:tcPr>
          <w:p>
            <w:pPr>
              <w:spacing w:after="0"/>
              <w:rPr>
                <w:sz w:val="1"/>
                <w:szCs w:val="1"/>
                <w:color w:val="auto"/>
              </w:rPr>
            </w:pPr>
          </w:p>
        </w:tc>
      </w:tr>
      <w:tr>
        <w:trPr>
          <w:trHeight w:val="175"/>
        </w:trPr>
        <w:tc>
          <w:tcPr>
            <w:tcW w:w="112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19</w:t>
            </w:r>
          </w:p>
        </w:tc>
        <w:tc>
          <w:tcPr>
            <w:tcW w:w="6640" w:type="dxa"/>
            <w:vAlign w:val="bottom"/>
            <w:tcBorders>
              <w:top w:val="single" w:sz="8" w:color="0000FF"/>
            </w:tcBorders>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General Motors Company Amended and Restated Insider Trading Policy, dated March 9, 2023</w:t>
            </w:r>
          </w:p>
        </w:tc>
        <w:tc>
          <w:tcPr>
            <w:tcW w:w="1980" w:type="dxa"/>
            <w:vAlign w:val="bottom"/>
            <w:tcBorders>
              <w:top w:val="single" w:sz="8" w:color="CCEEFF"/>
            </w:tcBorders>
            <w:gridSpan w:val="10"/>
          </w:tcPr>
          <w:p>
            <w:pPr>
              <w:spacing w:after="0"/>
              <w:rPr>
                <w:sz w:val="15"/>
                <w:szCs w:val="15"/>
                <w:color w:val="auto"/>
              </w:rPr>
            </w:pPr>
          </w:p>
        </w:tc>
        <w:tc>
          <w:tcPr>
            <w:tcW w:w="1480" w:type="dxa"/>
            <w:vAlign w:val="bottom"/>
            <w:tcBorders>
              <w:top w:val="single" w:sz="8" w:color="CCEEFF"/>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862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Subsidiaries and Joint Ventures of the Registrant as of December 31, 2023</w:t>
            </w:r>
          </w:p>
        </w:tc>
        <w:tc>
          <w:tcPr>
            <w:tcW w:w="14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75"/>
        </w:trPr>
        <w:tc>
          <w:tcPr>
            <w:tcW w:w="112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4780" w:type="dxa"/>
            <w:vAlign w:val="bottom"/>
            <w:tcBorders>
              <w:top w:val="single" w:sz="8" w:color="0000FF"/>
            </w:tcBorders>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Consent of Ernst &amp; Young LLP</w:t>
            </w:r>
          </w:p>
        </w:tc>
        <w:tc>
          <w:tcPr>
            <w:tcW w:w="3840" w:type="dxa"/>
            <w:vAlign w:val="bottom"/>
            <w:tcBorders>
              <w:top w:val="single" w:sz="8" w:color="CCEEFF"/>
            </w:tcBorders>
            <w:gridSpan w:val="14"/>
          </w:tcPr>
          <w:p>
            <w:pPr>
              <w:spacing w:after="0"/>
              <w:rPr>
                <w:sz w:val="15"/>
                <w:szCs w:val="15"/>
                <w:color w:val="auto"/>
              </w:rPr>
            </w:pPr>
          </w:p>
        </w:tc>
        <w:tc>
          <w:tcPr>
            <w:tcW w:w="1480" w:type="dxa"/>
            <w:vAlign w:val="bottom"/>
            <w:tcBorders>
              <w:top w:val="single" w:sz="8" w:color="CCEEFF"/>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24</w:t>
            </w:r>
          </w:p>
        </w:tc>
        <w:tc>
          <w:tcPr>
            <w:tcW w:w="862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Power of Attorney for Directors of General Motors Company</w:t>
            </w:r>
          </w:p>
        </w:tc>
        <w:tc>
          <w:tcPr>
            <w:tcW w:w="14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75"/>
        </w:trPr>
        <w:tc>
          <w:tcPr>
            <w:tcW w:w="1120" w:type="dxa"/>
            <w:vAlign w:val="bottom"/>
            <w:tcBorders>
              <w:top w:val="single" w:sz="8" w:color="CCEEFF"/>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3960" w:type="dxa"/>
            <w:vAlign w:val="bottom"/>
            <w:tcBorders>
              <w:top w:val="single" w:sz="8" w:color="0000FF"/>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Executive Officer</w:t>
            </w:r>
          </w:p>
        </w:tc>
        <w:tc>
          <w:tcPr>
            <w:tcW w:w="4660" w:type="dxa"/>
            <w:vAlign w:val="bottom"/>
            <w:tcBorders>
              <w:top w:val="single" w:sz="8" w:color="CCEEFF"/>
            </w:tcBorders>
            <w:gridSpan w:val="15"/>
          </w:tcPr>
          <w:p>
            <w:pPr>
              <w:spacing w:after="0"/>
              <w:rPr>
                <w:sz w:val="15"/>
                <w:szCs w:val="15"/>
                <w:color w:val="auto"/>
              </w:rPr>
            </w:pPr>
          </w:p>
        </w:tc>
        <w:tc>
          <w:tcPr>
            <w:tcW w:w="1480" w:type="dxa"/>
            <w:vAlign w:val="bottom"/>
            <w:tcBorders>
              <w:top w:val="single" w:sz="8" w:color="CCEEFF"/>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862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302 Certification of the Chief Financial Officer</w:t>
            </w:r>
          </w:p>
        </w:tc>
        <w:tc>
          <w:tcPr>
            <w:tcW w:w="14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32</w:t>
            </w:r>
          </w:p>
        </w:tc>
        <w:tc>
          <w:tcPr>
            <w:tcW w:w="8620" w:type="dxa"/>
            <w:vAlign w:val="bottom"/>
            <w:gridSpan w:val="19"/>
            <w:vMerge w:val="restart"/>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w:t>
            </w:r>
          </w:p>
        </w:tc>
        <w:tc>
          <w:tcPr>
            <w:tcW w:w="148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auto"/>
              </w:rPr>
              <w:t>Furnished with this</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620" w:type="dxa"/>
            <w:vAlign w:val="bottom"/>
            <w:gridSpan w:val="19"/>
            <w:vMerge w:val="continue"/>
          </w:tcPr>
          <w:p>
            <w:pPr>
              <w:spacing w:after="0"/>
              <w:rPr>
                <w:sz w:val="15"/>
                <w:szCs w:val="15"/>
                <w:color w:val="auto"/>
              </w:rPr>
            </w:pPr>
          </w:p>
        </w:tc>
        <w:tc>
          <w:tcPr>
            <w:tcW w:w="14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Report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97</w:t>
            </w:r>
          </w:p>
        </w:tc>
        <w:tc>
          <w:tcPr>
            <w:tcW w:w="862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General Motors Company Amended and Restated Policy on Recoupment of Incentive Compensation, dated August 14, 2023</w:t>
            </w:r>
          </w:p>
        </w:tc>
        <w:tc>
          <w:tcPr>
            <w:tcW w:w="148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101</w:t>
            </w:r>
          </w:p>
        </w:tc>
        <w:tc>
          <w:tcPr>
            <w:tcW w:w="8620" w:type="dxa"/>
            <w:vAlign w:val="bottom"/>
            <w:gridSpan w:val="19"/>
          </w:tcPr>
          <w:p>
            <w:pPr>
              <w:spacing w:after="0" w:line="161" w:lineRule="exact"/>
              <w:rPr>
                <w:sz w:val="20"/>
                <w:szCs w:val="20"/>
                <w:color w:val="auto"/>
              </w:rPr>
            </w:pPr>
            <w:r>
              <w:rPr>
                <w:rFonts w:ascii="Times New Roman" w:cs="Times New Roman" w:eastAsia="Times New Roman" w:hAnsi="Times New Roman"/>
                <w:sz w:val="16"/>
                <w:szCs w:val="16"/>
                <w:color w:val="auto"/>
              </w:rPr>
              <w:t>The following financial information from the Company’s Annual Report on Form 10-K for the year ended December 31, 2023</w:t>
            </w:r>
          </w:p>
        </w:tc>
        <w:tc>
          <w:tcPr>
            <w:tcW w:w="148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8620" w:type="dxa"/>
            <w:vAlign w:val="bottom"/>
            <w:gridSpan w:val="19"/>
          </w:tcPr>
          <w:p>
            <w:pPr>
              <w:spacing w:after="0" w:line="161" w:lineRule="exact"/>
              <w:rPr>
                <w:sz w:val="20"/>
                <w:szCs w:val="20"/>
                <w:color w:val="auto"/>
              </w:rPr>
            </w:pPr>
            <w:r>
              <w:rPr>
                <w:rFonts w:ascii="Times New Roman" w:cs="Times New Roman" w:eastAsia="Times New Roman" w:hAnsi="Times New Roman"/>
                <w:sz w:val="16"/>
                <w:szCs w:val="16"/>
                <w:color w:val="auto"/>
              </w:rPr>
              <w:t>formatted in Inline Extensible Business Reporting Language (iXBRL) includes: (i) the Consolidated Income Statements, (ii) the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8620" w:type="dxa"/>
            <w:vAlign w:val="bottom"/>
            <w:gridSpan w:val="19"/>
          </w:tcPr>
          <w:p>
            <w:pPr>
              <w:spacing w:after="0" w:line="161" w:lineRule="exact"/>
              <w:rPr>
                <w:sz w:val="20"/>
                <w:szCs w:val="20"/>
                <w:color w:val="auto"/>
              </w:rPr>
            </w:pPr>
            <w:r>
              <w:rPr>
                <w:rFonts w:ascii="Times New Roman" w:cs="Times New Roman" w:eastAsia="Times New Roman" w:hAnsi="Times New Roman"/>
                <w:sz w:val="16"/>
                <w:szCs w:val="16"/>
                <w:color w:val="auto"/>
              </w:rPr>
              <w:t>Consolidated Statements of Comprehensive Income, (iii) the Consolidated Balance Sheets, (iv) the Consolidated Statements of</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86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Cash Flows, (v) the Consolidated Statements of Equity and (vi) Notes to the Consolidated Financial Statements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104</w:t>
            </w:r>
          </w:p>
        </w:tc>
        <w:tc>
          <w:tcPr>
            <w:tcW w:w="8620" w:type="dxa"/>
            <w:vAlign w:val="bottom"/>
            <w:gridSpan w:val="19"/>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The cover page from the Company's Annual Report on Form 10-K for the year ended December 31, 2023, formatted as Inline</w:t>
            </w:r>
          </w:p>
        </w:tc>
        <w:tc>
          <w:tcPr>
            <w:tcW w:w="1480" w:type="dxa"/>
            <w:vAlign w:val="bottom"/>
            <w:shd w:val="clear" w:color="auto" w:fill="CCEEFF"/>
          </w:tcPr>
          <w:p>
            <w:pPr>
              <w:ind w:left="40"/>
              <w:spacing w:after="0" w:line="164" w:lineRule="exact"/>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18"/>
                <w:szCs w:val="18"/>
                <w:color w:val="auto"/>
              </w:rPr>
            </w:pPr>
          </w:p>
        </w:tc>
        <w:tc>
          <w:tcPr>
            <w:tcW w:w="86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and contained in Exhibit 101</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20" w:lineRule="exact"/>
        <w:rPr>
          <w:sz w:val="20"/>
          <w:szCs w:val="20"/>
          <w:color w:val="auto"/>
        </w:rPr>
      </w:pPr>
    </w:p>
    <w:p>
      <w:pPr>
        <w:ind w:left="800" w:right="520" w:hanging="775"/>
        <w:spacing w:after="0" w:line="243" w:lineRule="auto"/>
        <w:tabs>
          <w:tab w:leader="none" w:pos="8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Rule 601(b)(10) of Regulation S-K. The omitted information is not material and would likely cause competitive harm to the registrant if publicly disclosed.</w:t>
      </w:r>
    </w:p>
    <w:p>
      <w:pPr>
        <w:spacing w:after="0" w:line="4" w:lineRule="exact"/>
        <w:rPr>
          <w:sz w:val="20"/>
          <w:szCs w:val="20"/>
          <w:color w:val="auto"/>
        </w:rPr>
      </w:pPr>
    </w:p>
    <w:p>
      <w:pPr>
        <w:ind w:left="800" w:hanging="775"/>
        <w:spacing w:after="0"/>
        <w:tabs>
          <w:tab w:leader="none" w:pos="8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contracts and compensatory plans and arrangements required to be filed as exhibits pursuant to Item 15(b) of this Report.</w:t>
      </w:r>
    </w:p>
    <w:p>
      <w:pPr>
        <w:spacing w:after="0" w:line="93"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9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16510</wp:posOffset>
            </wp:positionV>
            <wp:extent cx="24485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Mary T. Barra</w:t>
      </w:r>
    </w:p>
    <w:p>
      <w:pPr>
        <w:ind w:left="61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1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Date:</w:t>
        <w:tab/>
        <w:t>January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661DE8"/>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30th day of January 2024 by the following persons on behalf of the registrant and in the capacities indicated, including a majority of the directors.</w:t>
      </w:r>
    </w:p>
    <w:p>
      <w:pPr>
        <w:sectPr>
          <w:pgSz w:w="11900" w:h="16838" w:orient="portrait"/>
          <w:cols w:equalWidth="0" w:num="1">
            <w:col w:w="11240"/>
          </w:cols>
          <w:pgMar w:left="320" w:top="363" w:right="339" w:bottom="1440" w:gutter="0" w:footer="0" w:header="0"/>
        </w:sectPr>
      </w:pPr>
    </w:p>
    <w:p>
      <w:pPr>
        <w:spacing w:after="0" w:line="77"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1654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1654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T. Barra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6004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410" w:lineRule="exact"/>
        <w:rPr>
          <w:sz w:val="20"/>
          <w:szCs w:val="20"/>
          <w:color w:val="auto"/>
        </w:rPr>
      </w:pPr>
    </w:p>
    <w:p>
      <w:pPr>
        <w:sectPr>
          <w:pgSz w:w="11900" w:h="16838" w:orient="portrait"/>
          <w:cols w:equalWidth="0" w:num="2">
            <w:col w:w="4860" w:space="720"/>
            <w:col w:w="566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JACOBSON</w:t>
            </w:r>
          </w:p>
        </w:tc>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A. Jacobson</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HATTO</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Global Business Solutions and Chief</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Hatto</w:t>
            </w:r>
          </w:p>
        </w:tc>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PATRICIA F. RUSSO*</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Lead 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Patricia F. Russo</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ANEEL BHUSRI*</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Aneel Bhusri</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WESLEY G. BUSH*</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Wesley G. Bush</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JOANNE C. CREVOISERAT*</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Joanne C. Crevoiserat</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R. GOODEN*</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R. Gooden</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JIMENEZ*</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Jimenez</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MCNEILL*</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McNeill</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JUDITH A. MISCIK*</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A. Miscik</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M. SCHOEWE*</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M. Schoewe</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TATUM*</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Tatum</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 E. TIGHE*</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E. Tighe</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7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DEVIN N. WENIG*</w:t>
            </w:r>
          </w:p>
        </w:tc>
        <w:tc>
          <w:tcPr>
            <w:tcW w:w="58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Devin N. Wenig</w:t>
            </w:r>
          </w:p>
        </w:tc>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425"/>
        </w:trPr>
        <w:tc>
          <w:tcPr>
            <w:tcW w:w="5000" w:type="dxa"/>
            <w:vAlign w:val="bottom"/>
          </w:tcPr>
          <w:p>
            <w:pPr>
              <w:spacing w:after="0"/>
              <w:rPr>
                <w:sz w:val="24"/>
                <w:szCs w:val="24"/>
                <w:color w:val="auto"/>
              </w:rPr>
            </w:pPr>
          </w:p>
        </w:tc>
        <w:tc>
          <w:tcPr>
            <w:tcW w:w="494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*By: /s/ CRAIG B. GLIDDEN</w:t>
            </w:r>
          </w:p>
        </w:tc>
      </w:tr>
      <w:tr>
        <w:trPr>
          <w:trHeight w:val="215"/>
        </w:trPr>
        <w:tc>
          <w:tcPr>
            <w:tcW w:w="5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Craig B. Glidden</w:t>
            </w:r>
          </w:p>
        </w:tc>
      </w:tr>
      <w:tr>
        <w:trPr>
          <w:trHeight w:val="236"/>
        </w:trPr>
        <w:tc>
          <w:tcPr>
            <w:tcW w:w="5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Attorney-in-Fact</w:t>
            </w:r>
          </w:p>
        </w:tc>
      </w:tr>
      <w:tr>
        <w:trPr>
          <w:trHeight w:val="658"/>
        </w:trPr>
        <w:tc>
          <w:tcPr>
            <w:tcW w:w="5000" w:type="dxa"/>
            <w:vAlign w:val="bottom"/>
          </w:tcPr>
          <w:p>
            <w:pPr>
              <w:spacing w:after="0"/>
              <w:rPr>
                <w:sz w:val="24"/>
                <w:szCs w:val="24"/>
                <w:color w:val="auto"/>
              </w:rPr>
            </w:pPr>
          </w:p>
        </w:tc>
        <w:tc>
          <w:tcPr>
            <w:tcW w:w="494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107</w:t>
            </w:r>
          </w:p>
        </w:tc>
      </w:tr>
    </w:tbl>
    <w:p>
      <w:pPr>
        <w:sectPr>
          <w:pgSz w:w="11900" w:h="16838" w:orient="portrait"/>
          <w:cols w:equalWidth="0" w:num="1">
            <w:col w:w="11240"/>
          </w:cols>
          <w:pgMar w:left="320" w:top="363" w:right="339"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Motors Company</w:t>
      </w:r>
    </w:p>
    <w:p>
      <w:pPr>
        <w:jc w:val="center"/>
        <w:spacing w:after="0" w:line="210" w:lineRule="auto"/>
        <w:rPr>
          <w:sz w:val="20"/>
          <w:szCs w:val="20"/>
          <w:color w:val="auto"/>
        </w:rPr>
      </w:pPr>
      <w:r>
        <w:rPr>
          <w:rFonts w:ascii="Times New Roman" w:cs="Times New Roman" w:eastAsia="Times New Roman" w:hAnsi="Times New Roman"/>
          <w:sz w:val="20"/>
          <w:szCs w:val="20"/>
          <w:b w:val="1"/>
          <w:bCs w:val="1"/>
          <w:color w:val="auto"/>
        </w:rPr>
        <w:t>2020 Long-Term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RSU Award Document for [Insert Date] Grant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and Confidential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[Insert Name]</w:t>
      </w:r>
    </w:p>
    <w:p>
      <w:pPr>
        <w:spacing w:after="0" w:line="18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auto"/>
        </w:rPr>
        <w:t>This letter (“</w:t>
      </w:r>
      <w:r>
        <w:rPr>
          <w:rFonts w:ascii="Times New Roman" w:cs="Times New Roman" w:eastAsia="Times New Roman" w:hAnsi="Times New Roman"/>
          <w:sz w:val="20"/>
          <w:szCs w:val="20"/>
          <w:b w:val="1"/>
          <w:bCs w:val="1"/>
          <w:color w:val="auto"/>
        </w:rPr>
        <w:t>Award Document</w:t>
      </w:r>
      <w:r>
        <w:rPr>
          <w:rFonts w:ascii="Times New Roman" w:cs="Times New Roman" w:eastAsia="Times New Roman" w:hAnsi="Times New Roman"/>
          <w:sz w:val="20"/>
          <w:szCs w:val="20"/>
          <w:color w:val="auto"/>
        </w:rPr>
        <w:t>”) describes the details under which you are being granted an Award of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under the General Motors Company 2020 Long-Term Incentive Plan (as amended from time to time,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w:t>
      </w:r>
    </w:p>
    <w:p>
      <w:pPr>
        <w:spacing w:after="0" w:line="53" w:lineRule="exact"/>
        <w:rPr>
          <w:sz w:val="20"/>
          <w:szCs w:val="20"/>
          <w:color w:val="auto"/>
        </w:rPr>
      </w:pPr>
    </w:p>
    <w:p>
      <w:pPr>
        <w:ind w:right="720"/>
        <w:spacing w:after="0" w:line="239" w:lineRule="auto"/>
        <w:rPr>
          <w:sz w:val="20"/>
          <w:szCs w:val="20"/>
          <w:color w:val="auto"/>
        </w:rPr>
      </w:pPr>
      <w:r>
        <w:rPr>
          <w:rFonts w:ascii="Times New Roman" w:cs="Times New Roman" w:eastAsia="Times New Roman" w:hAnsi="Times New Roman"/>
          <w:sz w:val="20"/>
          <w:szCs w:val="20"/>
          <w:color w:val="auto"/>
        </w:rPr>
        <w:t>A copy of the Plan can be found on the Shareworks by Morgan Stanley site. Capitalized terms used in this Award Document have the meanings given in the Plan unless noted otherwise.</w:t>
      </w:r>
    </w:p>
    <w:p>
      <w:pPr>
        <w:spacing w:after="0" w:line="39"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of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6944995" cy="4735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944995" cy="473519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Issuer</w:t>
            </w:r>
          </w:p>
        </w:tc>
        <w:tc>
          <w:tcPr>
            <w:tcW w:w="9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General Motors Company, a Delaware corporation</w:t>
            </w:r>
          </w:p>
        </w:tc>
      </w:tr>
      <w:tr>
        <w:trPr>
          <w:trHeight w:val="185"/>
        </w:trPr>
        <w:tc>
          <w:tcPr>
            <w:tcW w:w="1840" w:type="dxa"/>
            <w:vAlign w:val="bottom"/>
          </w:tcPr>
          <w:p>
            <w:pPr>
              <w:ind w:left="80"/>
              <w:spacing w:after="0" w:line="185" w:lineRule="exact"/>
              <w:rPr>
                <w:sz w:val="20"/>
                <w:szCs w:val="20"/>
                <w:color w:val="auto"/>
              </w:rPr>
            </w:pPr>
            <w:r>
              <w:rPr>
                <w:rFonts w:ascii="Times New Roman" w:cs="Times New Roman" w:eastAsia="Times New Roman" w:hAnsi="Times New Roman"/>
                <w:sz w:val="20"/>
                <w:szCs w:val="20"/>
                <w:b w:val="1"/>
                <w:bCs w:val="1"/>
                <w:color w:val="auto"/>
              </w:rPr>
              <w:t>Number of RSUs</w:t>
            </w:r>
          </w:p>
        </w:tc>
        <w:tc>
          <w:tcPr>
            <w:tcW w:w="9100" w:type="dxa"/>
            <w:vAlign w:val="bottom"/>
          </w:tcPr>
          <w:p>
            <w:pPr>
              <w:ind w:left="300"/>
              <w:spacing w:after="0" w:line="185" w:lineRule="exact"/>
              <w:rPr>
                <w:sz w:val="20"/>
                <w:szCs w:val="20"/>
                <w:color w:val="auto"/>
              </w:rPr>
            </w:pPr>
            <w:r>
              <w:rPr>
                <w:rFonts w:ascii="Times New Roman" w:cs="Times New Roman" w:eastAsia="Times New Roman" w:hAnsi="Times New Roman"/>
                <w:sz w:val="20"/>
                <w:szCs w:val="20"/>
                <w:color w:val="auto"/>
              </w:rPr>
              <w:t>[Insert Number] RSUs</w:t>
            </w:r>
          </w:p>
        </w:tc>
      </w:tr>
      <w:tr>
        <w:trPr>
          <w:trHeight w:val="255"/>
        </w:trPr>
        <w:tc>
          <w:tcPr>
            <w:tcW w:w="1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Granted to You</w:t>
            </w:r>
          </w:p>
        </w:tc>
        <w:tc>
          <w:tcPr>
            <w:tcW w:w="9100" w:type="dxa"/>
            <w:vAlign w:val="bottom"/>
            <w:tcBorders>
              <w:bottom w:val="single" w:sz="8" w:color="auto"/>
            </w:tcBorders>
          </w:tcPr>
          <w:p>
            <w:pPr>
              <w:spacing w:after="0"/>
              <w:rPr>
                <w:sz w:val="22"/>
                <w:szCs w:val="22"/>
                <w:color w:val="auto"/>
              </w:rPr>
            </w:pPr>
          </w:p>
        </w:tc>
      </w:tr>
      <w:tr>
        <w:trPr>
          <w:trHeight w:val="255"/>
        </w:trPr>
        <w:tc>
          <w:tcPr>
            <w:tcW w:w="18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91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[Insert Date]</w:t>
            </w:r>
          </w:p>
        </w:tc>
      </w:tr>
    </w:tbl>
    <w:p>
      <w:pPr>
        <w:ind w:left="80" w:right="920"/>
        <w:spacing w:after="0" w:line="238" w:lineRule="auto"/>
        <w:rPr>
          <w:sz w:val="20"/>
          <w:szCs w:val="20"/>
          <w:color w:val="auto"/>
        </w:rPr>
      </w:pPr>
      <w:r>
        <w:rPr>
          <w:rFonts w:ascii="Times New Roman" w:cs="Times New Roman" w:eastAsia="Times New Roman" w:hAnsi="Times New Roman"/>
          <w:sz w:val="20"/>
          <w:szCs w:val="20"/>
          <w:b w:val="1"/>
          <w:bCs w:val="1"/>
          <w:color w:val="auto"/>
        </w:rPr>
        <w:t xml:space="preserve">Settlement Conditions </w:t>
      </w:r>
      <w:r>
        <w:rPr>
          <w:rFonts w:ascii="Times New Roman" w:cs="Times New Roman" w:eastAsia="Times New Roman" w:hAnsi="Times New Roman"/>
          <w:sz w:val="20"/>
          <w:szCs w:val="20"/>
          <w:color w:val="auto"/>
        </w:rPr>
        <w:t>Except as provided below, the RSUs will vest and settle [Insert Vesting Schedule] (“</w:t>
      </w:r>
      <w:r>
        <w:rPr>
          <w:rFonts w:ascii="Times New Roman" w:cs="Times New Roman" w:eastAsia="Times New Roman" w:hAnsi="Times New Roman"/>
          <w:sz w:val="20"/>
          <w:szCs w:val="20"/>
          <w:b w:val="1"/>
          <w:bCs w:val="1"/>
          <w:color w:val="auto"/>
        </w:rPr>
        <w:t>Settlement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and Settlement Date(s)</w:t>
      </w:r>
    </w:p>
    <w:p>
      <w:pPr>
        <w:spacing w:after="0" w:line="227" w:lineRule="exact"/>
        <w:rPr>
          <w:sz w:val="20"/>
          <w:szCs w:val="20"/>
          <w:color w:val="auto"/>
        </w:rPr>
      </w:pPr>
    </w:p>
    <w:p>
      <w:pPr>
        <w:ind w:left="2140" w:right="440"/>
        <w:spacing w:after="0" w:line="226" w:lineRule="auto"/>
        <w:rPr>
          <w:sz w:val="20"/>
          <w:szCs w:val="20"/>
          <w:color w:val="auto"/>
        </w:rPr>
      </w:pPr>
      <w:r>
        <w:rPr>
          <w:rFonts w:ascii="Times New Roman" w:cs="Times New Roman" w:eastAsia="Times New Roman" w:hAnsi="Times New Roman"/>
          <w:sz w:val="19"/>
          <w:szCs w:val="19"/>
          <w:color w:val="auto"/>
        </w:rPr>
        <w:t>If the Settlement Date falls on a non-trading day of the New York Stock Exchange, then the preceding trading day’s closing price will be used to determine the Fair Market Value of the Shares to be settled (subject to</w:t>
      </w:r>
    </w:p>
    <w:p>
      <w:pPr>
        <w:ind w:left="2140"/>
        <w:spacing w:after="0"/>
        <w:rPr>
          <w:sz w:val="20"/>
          <w:szCs w:val="20"/>
          <w:color w:val="auto"/>
        </w:rPr>
      </w:pPr>
      <w:r>
        <w:rPr>
          <w:rFonts w:ascii="Times New Roman" w:cs="Times New Roman" w:eastAsia="Times New Roman" w:hAnsi="Times New Roman"/>
          <w:sz w:val="20"/>
          <w:szCs w:val="20"/>
          <w:color w:val="auto"/>
        </w:rPr>
        <w:t>applicable withholding).</w:t>
      </w:r>
    </w:p>
    <w:p>
      <w:pPr>
        <w:spacing w:after="0" w:line="191" w:lineRule="exact"/>
        <w:rPr>
          <w:sz w:val="20"/>
          <w:szCs w:val="20"/>
          <w:color w:val="auto"/>
        </w:rPr>
      </w:pPr>
    </w:p>
    <w:p>
      <w:pPr>
        <w:ind w:left="2140" w:right="380"/>
        <w:spacing w:after="0" w:line="232" w:lineRule="auto"/>
        <w:rPr>
          <w:sz w:val="20"/>
          <w:szCs w:val="20"/>
          <w:color w:val="auto"/>
        </w:rPr>
      </w:pPr>
      <w:r>
        <w:rPr>
          <w:rFonts w:ascii="Times New Roman" w:cs="Times New Roman" w:eastAsia="Times New Roman" w:hAnsi="Times New Roman"/>
          <w:sz w:val="20"/>
          <w:szCs w:val="20"/>
          <w:color w:val="auto"/>
        </w:rPr>
        <w:t>If you experience a Full Career Status Termination of Service prior to [Insert Date], your Award shall continue to vest in accordance with the existing vesting schedule.</w:t>
      </w:r>
    </w:p>
    <w:p>
      <w:pPr>
        <w:spacing w:after="0" w:line="8" w:lineRule="exact"/>
        <w:rPr>
          <w:sz w:val="20"/>
          <w:szCs w:val="20"/>
          <w:color w:val="auto"/>
        </w:rPr>
      </w:pPr>
    </w:p>
    <w:p>
      <w:pPr>
        <w:ind w:left="2140" w:right="520" w:hanging="2054"/>
        <w:spacing w:after="0" w:line="243" w:lineRule="auto"/>
        <w:tabs>
          <w:tab w:leader="none" w:pos="2120" w:val="left"/>
        </w:tabs>
        <w:rPr>
          <w:sz w:val="20"/>
          <w:szCs w:val="20"/>
          <w:color w:val="auto"/>
        </w:rPr>
      </w:pPr>
      <w:r>
        <w:rPr>
          <w:rFonts w:ascii="Times New Roman" w:cs="Times New Roman" w:eastAsia="Times New Roman" w:hAnsi="Times New Roman"/>
          <w:sz w:val="20"/>
          <w:szCs w:val="20"/>
          <w:b w:val="1"/>
          <w:bCs w:val="1"/>
          <w:color w:val="auto"/>
        </w:rPr>
        <w:t>Form of Settlement</w:t>
      </w:r>
      <w:r>
        <w:rPr>
          <w:sz w:val="20"/>
          <w:szCs w:val="20"/>
          <w:color w:val="auto"/>
        </w:rPr>
        <w:tab/>
      </w:r>
      <w:r>
        <w:rPr>
          <w:rFonts w:ascii="Times New Roman" w:cs="Times New Roman" w:eastAsia="Times New Roman" w:hAnsi="Times New Roman"/>
          <w:sz w:val="20"/>
          <w:szCs w:val="20"/>
          <w:color w:val="auto"/>
        </w:rPr>
        <w:t>Your Award will be settled in shares of common stock of the Company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Each RSU will be settled for one Share.</w:t>
      </w:r>
    </w:p>
    <w:p>
      <w:pPr>
        <w:spacing w:after="0" w:line="143" w:lineRule="exact"/>
        <w:rPr>
          <w:sz w:val="20"/>
          <w:szCs w:val="20"/>
          <w:color w:val="auto"/>
        </w:rPr>
      </w:pPr>
    </w:p>
    <w:p>
      <w:pPr>
        <w:ind w:left="2140" w:right="500"/>
        <w:spacing w:after="0" w:line="233" w:lineRule="auto"/>
        <w:rPr>
          <w:sz w:val="20"/>
          <w:szCs w:val="20"/>
          <w:color w:val="auto"/>
        </w:rPr>
      </w:pPr>
      <w:r>
        <w:rPr>
          <w:rFonts w:ascii="Times New Roman" w:cs="Times New Roman" w:eastAsia="Times New Roman" w:hAnsi="Times New Roman"/>
          <w:sz w:val="19"/>
          <w:szCs w:val="19"/>
          <w:color w:val="auto"/>
        </w:rPr>
        <w:t>Vested RSUs shall convey the right to receive dividend equivalents on the Shares underlying the RSU Award with respect to any dividends declared during the period from Grant Date to Settlement Date. Accumulated</w:t>
      </w:r>
    </w:p>
    <w:p>
      <w:pPr>
        <w:spacing w:after="0" w:line="1" w:lineRule="exact"/>
        <w:rPr>
          <w:sz w:val="20"/>
          <w:szCs w:val="20"/>
          <w:color w:val="auto"/>
        </w:rPr>
      </w:pPr>
    </w:p>
    <w:p>
      <w:pPr>
        <w:ind w:left="2140" w:right="640"/>
        <w:spacing w:after="0" w:line="214" w:lineRule="auto"/>
        <w:rPr>
          <w:sz w:val="20"/>
          <w:szCs w:val="20"/>
          <w:color w:val="auto"/>
        </w:rPr>
      </w:pPr>
      <w:r>
        <w:rPr>
          <w:rFonts w:ascii="Times New Roman" w:cs="Times New Roman" w:eastAsia="Times New Roman" w:hAnsi="Times New Roman"/>
          <w:sz w:val="19"/>
          <w:szCs w:val="19"/>
          <w:color w:val="auto"/>
        </w:rPr>
        <w:t>dividend equivalents shall vest and be paid in cash on the Settlement Date, subject to the satisfaction of the vesting and other conditions of the underlying RSU Award. No dividend equivalents shall be provided with</w:t>
      </w:r>
    </w:p>
    <w:p>
      <w:pPr>
        <w:ind w:left="2140"/>
        <w:spacing w:after="0"/>
        <w:rPr>
          <w:sz w:val="20"/>
          <w:szCs w:val="20"/>
          <w:color w:val="auto"/>
        </w:rPr>
      </w:pPr>
      <w:r>
        <w:rPr>
          <w:rFonts w:ascii="Times New Roman" w:cs="Times New Roman" w:eastAsia="Times New Roman" w:hAnsi="Times New Roman"/>
          <w:sz w:val="20"/>
          <w:szCs w:val="20"/>
          <w:color w:val="auto"/>
        </w:rPr>
        <w:t>respect to any Shares subject to RSUs that do not vest or settle pursuant to their terms.</w:t>
      </w:r>
    </w:p>
    <w:p>
      <w:pPr>
        <w:spacing w:after="0" w:line="165" w:lineRule="exact"/>
        <w:rPr>
          <w:sz w:val="20"/>
          <w:szCs w:val="20"/>
          <w:color w:val="auto"/>
        </w:rPr>
      </w:pPr>
    </w:p>
    <w:p>
      <w:pPr>
        <w:ind w:left="2140" w:right="500"/>
        <w:spacing w:after="0" w:line="226" w:lineRule="auto"/>
        <w:rPr>
          <w:sz w:val="20"/>
          <w:szCs w:val="20"/>
          <w:color w:val="auto"/>
        </w:rPr>
      </w:pPr>
      <w:r>
        <w:rPr>
          <w:rFonts w:ascii="Times New Roman" w:cs="Times New Roman" w:eastAsia="Times New Roman" w:hAnsi="Times New Roman"/>
          <w:sz w:val="19"/>
          <w:szCs w:val="19"/>
          <w:color w:val="auto"/>
        </w:rPr>
        <w:t xml:space="preserve">Notwithstanding the forgoing and the terms of the Plan, the Company reserves the right to further modify the form of settlement of your Award. For example, </w:t>
      </w:r>
      <w:r>
        <w:rPr>
          <w:rFonts w:ascii="Times New Roman" w:cs="Times New Roman" w:eastAsia="Times New Roman" w:hAnsi="Times New Roman"/>
          <w:sz w:val="19"/>
          <w:szCs w:val="19"/>
          <w:b w:val="1"/>
          <w:bCs w:val="1"/>
          <w:color w:val="auto"/>
        </w:rPr>
        <w:t>if your work location at the time of any Settlement Date</w:t>
      </w:r>
    </w:p>
    <w:p>
      <w:pPr>
        <w:ind w:left="2140"/>
        <w:spacing w:after="0" w:line="210" w:lineRule="auto"/>
        <w:rPr>
          <w:sz w:val="20"/>
          <w:szCs w:val="20"/>
          <w:color w:val="auto"/>
        </w:rPr>
      </w:pPr>
      <w:r>
        <w:rPr>
          <w:rFonts w:ascii="Times New Roman" w:cs="Times New Roman" w:eastAsia="Times New Roman" w:hAnsi="Times New Roman"/>
          <w:sz w:val="20"/>
          <w:szCs w:val="20"/>
          <w:b w:val="1"/>
          <w:bCs w:val="1"/>
          <w:color w:val="auto"/>
        </w:rPr>
        <w:t>noted above is in India</w:t>
      </w:r>
      <w:r>
        <w:rPr>
          <w:rFonts w:ascii="Times New Roman" w:cs="Times New Roman" w:eastAsia="Times New Roman" w:hAnsi="Times New Roman"/>
          <w:sz w:val="20"/>
          <w:szCs w:val="20"/>
          <w:color w:val="auto"/>
        </w:rPr>
        <w:t>, your RSUs will only be settled by a cash payment to you equal to the Fair Market</w:t>
      </w:r>
    </w:p>
    <w:p>
      <w:pPr>
        <w:spacing w:after="0" w:line="1" w:lineRule="exact"/>
        <w:rPr>
          <w:sz w:val="20"/>
          <w:szCs w:val="20"/>
          <w:color w:val="auto"/>
        </w:rPr>
      </w:pPr>
    </w:p>
    <w:p>
      <w:pPr>
        <w:ind w:left="2140" w:right="380"/>
        <w:spacing w:after="0" w:line="214" w:lineRule="auto"/>
        <w:rPr>
          <w:sz w:val="20"/>
          <w:szCs w:val="20"/>
          <w:color w:val="auto"/>
        </w:rPr>
      </w:pPr>
      <w:r>
        <w:rPr>
          <w:rFonts w:ascii="Times New Roman" w:cs="Times New Roman" w:eastAsia="Times New Roman" w:hAnsi="Times New Roman"/>
          <w:sz w:val="19"/>
          <w:szCs w:val="19"/>
          <w:color w:val="auto"/>
        </w:rPr>
        <w:t>Value of the Shares that would otherwise be settled (subject to applicable withholding). Your RSUs will not be settled by the issue of any Shares unless your work location changes to a jurisdiction that permits settlement in</w:t>
      </w:r>
    </w:p>
    <w:p>
      <w:pPr>
        <w:ind w:left="2140"/>
        <w:spacing w:after="0"/>
        <w:rPr>
          <w:sz w:val="20"/>
          <w:szCs w:val="20"/>
          <w:color w:val="auto"/>
        </w:rPr>
      </w:pPr>
      <w:r>
        <w:rPr>
          <w:rFonts w:ascii="Times New Roman" w:cs="Times New Roman" w:eastAsia="Times New Roman" w:hAnsi="Times New Roman"/>
          <w:sz w:val="20"/>
          <w:szCs w:val="20"/>
          <w:color w:val="auto"/>
        </w:rPr>
        <w:t>Shares.</w:t>
      </w:r>
    </w:p>
    <w:p>
      <w:pPr>
        <w:spacing w:after="0" w:line="165" w:lineRule="exact"/>
        <w:rPr>
          <w:sz w:val="20"/>
          <w:szCs w:val="20"/>
          <w:color w:val="auto"/>
        </w:rPr>
      </w:pPr>
    </w:p>
    <w:p>
      <w:pPr>
        <w:ind w:left="2140" w:right="520"/>
        <w:spacing w:after="0" w:line="226" w:lineRule="auto"/>
        <w:rPr>
          <w:sz w:val="20"/>
          <w:szCs w:val="20"/>
          <w:color w:val="auto"/>
        </w:rPr>
      </w:pPr>
      <w:r>
        <w:rPr>
          <w:rFonts w:ascii="Times New Roman" w:cs="Times New Roman" w:eastAsia="Times New Roman" w:hAnsi="Times New Roman"/>
          <w:sz w:val="19"/>
          <w:szCs w:val="19"/>
          <w:color w:val="auto"/>
        </w:rPr>
        <w:t>As required by law, the Company will withhold any applicable federal, state, local or foreign tax. You are responsible for any taxes due upon vesting and/or settlement. Note: If you are a local national of Israel, your</w:t>
      </w:r>
    </w:p>
    <w:p>
      <w:pPr>
        <w:ind w:left="2140"/>
        <w:spacing w:after="0" w:line="221" w:lineRule="auto"/>
        <w:rPr>
          <w:sz w:val="20"/>
          <w:szCs w:val="20"/>
          <w:color w:val="auto"/>
        </w:rPr>
      </w:pPr>
      <w:r>
        <w:rPr>
          <w:rFonts w:ascii="Times New Roman" w:cs="Times New Roman" w:eastAsia="Times New Roman" w:hAnsi="Times New Roman"/>
          <w:sz w:val="19"/>
          <w:szCs w:val="19"/>
          <w:color w:val="auto"/>
        </w:rPr>
        <w:t>RSUs are being granted as a Section 102 Trustee Award (Capital Gains Track) under the Israeli Tax Ordinance</w:t>
      </w:r>
    </w:p>
    <w:p>
      <w:pPr>
        <w:spacing w:after="0" w:line="1" w:lineRule="exact"/>
        <w:rPr>
          <w:sz w:val="20"/>
          <w:szCs w:val="20"/>
          <w:color w:val="auto"/>
        </w:rPr>
      </w:pPr>
    </w:p>
    <w:p>
      <w:pPr>
        <w:ind w:left="2140" w:right="480"/>
        <w:spacing w:after="0" w:line="221" w:lineRule="auto"/>
        <w:rPr>
          <w:sz w:val="20"/>
          <w:szCs w:val="20"/>
          <w:color w:val="auto"/>
        </w:rPr>
      </w:pPr>
      <w:r>
        <w:rPr>
          <w:rFonts w:ascii="Times New Roman" w:cs="Times New Roman" w:eastAsia="Times New Roman" w:hAnsi="Times New Roman"/>
          <w:sz w:val="20"/>
          <w:szCs w:val="20"/>
          <w:color w:val="auto"/>
        </w:rPr>
        <w:t>pursuant to the Sub-Plan for Participants subject to Israeli Taxation under the General Motors Company 2020 Long-Term Incentive Plan (“Israeli Sub-Plan”).</w:t>
      </w:r>
    </w:p>
    <w:p>
      <w:pPr>
        <w:sectPr>
          <w:pgSz w:w="11900" w:h="16838" w:orient="portrait"/>
          <w:cols w:equalWidth="0" w:num="1">
            <w:col w:w="11240"/>
          </w:cols>
          <w:pgMar w:left="320" w:top="104" w:right="339"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06"/>
        </w:trPr>
        <w:tc>
          <w:tcPr>
            <w:tcW w:w="2080" w:type="dxa"/>
            <w:vAlign w:val="bottom"/>
            <w:tcBorders>
              <w:top w:val="single" w:sz="8" w:color="auto"/>
              <w:left w:val="single" w:sz="8" w:color="auto"/>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20"/>
                <w:szCs w:val="20"/>
                <w:b w:val="1"/>
                <w:bCs w:val="1"/>
                <w:color w:val="auto"/>
              </w:rPr>
              <w:t>Conditions Precedent</w:t>
            </w:r>
          </w:p>
        </w:tc>
        <w:tc>
          <w:tcPr>
            <w:tcW w:w="8880" w:type="dxa"/>
            <w:vAlign w:val="bottom"/>
            <w:tcBorders>
              <w:top w:val="single" w:sz="8" w:color="auto"/>
              <w:right w:val="single" w:sz="8" w:color="auto"/>
            </w:tcBorders>
          </w:tcPr>
          <w:p>
            <w:pPr>
              <w:ind w:left="60"/>
              <w:spacing w:after="0" w:line="206" w:lineRule="exact"/>
              <w:rPr>
                <w:sz w:val="20"/>
                <w:szCs w:val="20"/>
                <w:color w:val="auto"/>
              </w:rPr>
            </w:pPr>
            <w:r>
              <w:rPr>
                <w:rFonts w:ascii="Times New Roman" w:cs="Times New Roman" w:eastAsia="Times New Roman" w:hAnsi="Times New Roman"/>
                <w:sz w:val="20"/>
                <w:szCs w:val="20"/>
                <w:color w:val="auto"/>
                <w:w w:val="99"/>
              </w:rPr>
              <w:t>Pursuant and subject to Section 11 of the Plan, as a condition precedent to the vesting and/or settlement of any</w:t>
            </w:r>
          </w:p>
        </w:tc>
        <w:tc>
          <w:tcPr>
            <w:tcW w:w="0" w:type="dxa"/>
            <w:vAlign w:val="bottom"/>
          </w:tcPr>
          <w:p>
            <w:pPr>
              <w:spacing w:after="0"/>
              <w:rPr>
                <w:sz w:val="1"/>
                <w:szCs w:val="1"/>
                <w:color w:val="auto"/>
              </w:rPr>
            </w:pPr>
          </w:p>
        </w:tc>
      </w:tr>
      <w:tr>
        <w:trPr>
          <w:trHeight w:val="258"/>
        </w:trPr>
        <w:tc>
          <w:tcPr>
            <w:tcW w:w="2080" w:type="dxa"/>
            <w:vAlign w:val="bottom"/>
            <w:tcBorders>
              <w:left w:val="single" w:sz="8" w:color="auto"/>
              <w:right w:val="single" w:sz="8" w:color="auto"/>
            </w:tcBorders>
          </w:tcPr>
          <w:p>
            <w:pPr>
              <w:spacing w:after="0"/>
              <w:rPr>
                <w:sz w:val="22"/>
                <w:szCs w:val="22"/>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portion of your Award, you shall:</w:t>
            </w:r>
          </w:p>
        </w:tc>
        <w:tc>
          <w:tcPr>
            <w:tcW w:w="0" w:type="dxa"/>
            <w:vAlign w:val="bottom"/>
          </w:tcPr>
          <w:p>
            <w:pPr>
              <w:spacing w:after="0"/>
              <w:rPr>
                <w:sz w:val="1"/>
                <w:szCs w:val="1"/>
                <w:color w:val="auto"/>
              </w:rPr>
            </w:pPr>
          </w:p>
        </w:tc>
      </w:tr>
      <w:tr>
        <w:trPr>
          <w:trHeight w:val="357"/>
        </w:trPr>
        <w:tc>
          <w:tcPr>
            <w:tcW w:w="20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   Refrain from engaging in any activity which will cause damage to the Company or is in any manner</w:t>
            </w: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spacing w:after="0"/>
              <w:rPr>
                <w:sz w:val="16"/>
                <w:szCs w:val="16"/>
                <w:color w:val="auto"/>
              </w:rPr>
            </w:pPr>
          </w:p>
        </w:tc>
        <w:tc>
          <w:tcPr>
            <w:tcW w:w="8880" w:type="dxa"/>
            <w:vAlign w:val="bottom"/>
            <w:tcBorders>
              <w:right w:val="single" w:sz="8" w:color="auto"/>
            </w:tcBorders>
          </w:tcPr>
          <w:p>
            <w:pPr>
              <w:ind w:left="700"/>
              <w:spacing w:after="0" w:line="192" w:lineRule="exact"/>
              <w:rPr>
                <w:sz w:val="20"/>
                <w:szCs w:val="20"/>
                <w:color w:val="auto"/>
              </w:rPr>
            </w:pPr>
            <w:r>
              <w:rPr>
                <w:rFonts w:ascii="Times New Roman" w:cs="Times New Roman" w:eastAsia="Times New Roman" w:hAnsi="Times New Roman"/>
                <w:sz w:val="20"/>
                <w:szCs w:val="20"/>
                <w:color w:val="auto"/>
              </w:rPr>
              <w:t>inimical or in any way contrary to the best interests of the Company, as determined pursuant to the</w:t>
            </w:r>
          </w:p>
        </w:tc>
        <w:tc>
          <w:tcPr>
            <w:tcW w:w="0" w:type="dxa"/>
            <w:vAlign w:val="bottom"/>
          </w:tcPr>
          <w:p>
            <w:pPr>
              <w:spacing w:after="0"/>
              <w:rPr>
                <w:sz w:val="1"/>
                <w:szCs w:val="1"/>
                <w:color w:val="auto"/>
              </w:rPr>
            </w:pPr>
          </w:p>
        </w:tc>
      </w:tr>
      <w:tr>
        <w:trPr>
          <w:trHeight w:val="202"/>
        </w:trPr>
        <w:tc>
          <w:tcPr>
            <w:tcW w:w="20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700"/>
              <w:spacing w:after="0" w:line="202" w:lineRule="exact"/>
              <w:rPr>
                <w:sz w:val="20"/>
                <w:szCs w:val="20"/>
                <w:color w:val="auto"/>
              </w:rPr>
            </w:pPr>
            <w:r>
              <w:rPr>
                <w:rFonts w:ascii="Times New Roman" w:cs="Times New Roman" w:eastAsia="Times New Roman" w:hAnsi="Times New Roman"/>
                <w:sz w:val="20"/>
                <w:szCs w:val="20"/>
                <w:color w:val="auto"/>
              </w:rPr>
              <w:t>Plan;</w:t>
            </w:r>
          </w:p>
        </w:tc>
        <w:tc>
          <w:tcPr>
            <w:tcW w:w="0" w:type="dxa"/>
            <w:vAlign w:val="bottom"/>
          </w:tcPr>
          <w:p>
            <w:pPr>
              <w:spacing w:after="0"/>
              <w:rPr>
                <w:sz w:val="1"/>
                <w:szCs w:val="1"/>
                <w:color w:val="auto"/>
              </w:rPr>
            </w:pPr>
          </w:p>
        </w:tc>
      </w:tr>
      <w:tr>
        <w:trPr>
          <w:trHeight w:val="198"/>
        </w:trPr>
        <w:tc>
          <w:tcPr>
            <w:tcW w:w="20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380"/>
              <w:spacing w:after="0" w:line="198" w:lineRule="exact"/>
              <w:rPr>
                <w:sz w:val="20"/>
                <w:szCs w:val="20"/>
                <w:color w:val="auto"/>
              </w:rPr>
            </w:pPr>
            <w:r>
              <w:rPr>
                <w:rFonts w:ascii="Times New Roman" w:cs="Times New Roman" w:eastAsia="Times New Roman" w:hAnsi="Times New Roman"/>
                <w:sz w:val="20"/>
                <w:szCs w:val="20"/>
                <w:color w:val="auto"/>
              </w:rPr>
              <w:t>•   Not for a period of 12 months following any voluntary termination of employment or service, directly</w:t>
            </w: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spacing w:after="0"/>
              <w:rPr>
                <w:sz w:val="16"/>
                <w:szCs w:val="16"/>
                <w:color w:val="auto"/>
              </w:rPr>
            </w:pPr>
          </w:p>
        </w:tc>
        <w:tc>
          <w:tcPr>
            <w:tcW w:w="8880" w:type="dxa"/>
            <w:vAlign w:val="bottom"/>
            <w:tcBorders>
              <w:right w:val="single" w:sz="8" w:color="auto"/>
            </w:tcBorders>
          </w:tcPr>
          <w:p>
            <w:pPr>
              <w:ind w:left="700"/>
              <w:spacing w:after="0" w:line="192" w:lineRule="exact"/>
              <w:rPr>
                <w:sz w:val="20"/>
                <w:szCs w:val="20"/>
                <w:color w:val="auto"/>
              </w:rPr>
            </w:pPr>
            <w:r>
              <w:rPr>
                <w:rFonts w:ascii="Times New Roman" w:cs="Times New Roman" w:eastAsia="Times New Roman" w:hAnsi="Times New Roman"/>
                <w:sz w:val="20"/>
                <w:szCs w:val="20"/>
                <w:color w:val="auto"/>
              </w:rPr>
              <w:t>or indirectly, knowingly induce any employee of the Company or any Subsidiary to leave their</w:t>
            </w:r>
          </w:p>
        </w:tc>
        <w:tc>
          <w:tcPr>
            <w:tcW w:w="0" w:type="dxa"/>
            <w:vAlign w:val="bottom"/>
          </w:tcPr>
          <w:p>
            <w:pPr>
              <w:spacing w:after="0"/>
              <w:rPr>
                <w:sz w:val="1"/>
                <w:szCs w:val="1"/>
                <w:color w:val="auto"/>
              </w:rPr>
            </w:pPr>
          </w:p>
        </w:tc>
      </w:tr>
      <w:tr>
        <w:trPr>
          <w:trHeight w:val="202"/>
        </w:trPr>
        <w:tc>
          <w:tcPr>
            <w:tcW w:w="20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700"/>
              <w:spacing w:after="0" w:line="202" w:lineRule="exact"/>
              <w:rPr>
                <w:sz w:val="20"/>
                <w:szCs w:val="20"/>
                <w:color w:val="auto"/>
              </w:rPr>
            </w:pPr>
            <w:r>
              <w:rPr>
                <w:rFonts w:ascii="Times New Roman" w:cs="Times New Roman" w:eastAsia="Times New Roman" w:hAnsi="Times New Roman"/>
                <w:sz w:val="20"/>
                <w:szCs w:val="20"/>
                <w:color w:val="auto"/>
              </w:rPr>
              <w:t>employment for participation, directly or indirectly, with any existing or future employer or business</w:t>
            </w:r>
          </w:p>
        </w:tc>
        <w:tc>
          <w:tcPr>
            <w:tcW w:w="0" w:type="dxa"/>
            <w:vAlign w:val="bottom"/>
          </w:tcPr>
          <w:p>
            <w:pPr>
              <w:spacing w:after="0"/>
              <w:rPr>
                <w:sz w:val="1"/>
                <w:szCs w:val="1"/>
                <w:color w:val="auto"/>
              </w:rPr>
            </w:pPr>
          </w:p>
        </w:tc>
      </w:tr>
      <w:tr>
        <w:trPr>
          <w:trHeight w:val="198"/>
        </w:trPr>
        <w:tc>
          <w:tcPr>
            <w:tcW w:w="20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700"/>
              <w:spacing w:after="0" w:line="198" w:lineRule="exact"/>
              <w:rPr>
                <w:sz w:val="20"/>
                <w:szCs w:val="20"/>
                <w:color w:val="auto"/>
              </w:rPr>
            </w:pPr>
            <w:r>
              <w:rPr>
                <w:rFonts w:ascii="Times New Roman" w:cs="Times New Roman" w:eastAsia="Times New Roman" w:hAnsi="Times New Roman"/>
                <w:sz w:val="20"/>
                <w:szCs w:val="20"/>
                <w:color w:val="auto"/>
              </w:rPr>
              <w:t>venture associated with you; and</w:t>
            </w: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spacing w:after="0"/>
              <w:rPr>
                <w:sz w:val="16"/>
                <w:szCs w:val="16"/>
                <w:color w:val="auto"/>
              </w:rPr>
            </w:pPr>
          </w:p>
        </w:tc>
        <w:tc>
          <w:tcPr>
            <w:tcW w:w="8880" w:type="dxa"/>
            <w:vAlign w:val="bottom"/>
            <w:tcBorders>
              <w:right w:val="single" w:sz="8" w:color="auto"/>
            </w:tcBorders>
          </w:tcPr>
          <w:p>
            <w:pPr>
              <w:ind w:left="380"/>
              <w:spacing w:after="0" w:line="192" w:lineRule="exact"/>
              <w:rPr>
                <w:sz w:val="20"/>
                <w:szCs w:val="20"/>
                <w:color w:val="auto"/>
              </w:rPr>
            </w:pPr>
            <w:r>
              <w:rPr>
                <w:rFonts w:ascii="Times New Roman" w:cs="Times New Roman" w:eastAsia="Times New Roman" w:hAnsi="Times New Roman"/>
                <w:sz w:val="20"/>
                <w:szCs w:val="20"/>
                <w:color w:val="auto"/>
              </w:rPr>
              <w:t>•   Furnish to the Company such information with respect to the satisfaction of the foregoing conditions</w:t>
            </w:r>
          </w:p>
        </w:tc>
        <w:tc>
          <w:tcPr>
            <w:tcW w:w="0" w:type="dxa"/>
            <w:vAlign w:val="bottom"/>
          </w:tcPr>
          <w:p>
            <w:pPr>
              <w:spacing w:after="0"/>
              <w:rPr>
                <w:sz w:val="1"/>
                <w:szCs w:val="1"/>
                <w:color w:val="auto"/>
              </w:rPr>
            </w:pPr>
          </w:p>
        </w:tc>
      </w:tr>
      <w:tr>
        <w:trPr>
          <w:trHeight w:val="258"/>
        </w:trPr>
        <w:tc>
          <w:tcPr>
            <w:tcW w:w="2080" w:type="dxa"/>
            <w:vAlign w:val="bottom"/>
            <w:tcBorders>
              <w:left w:val="single" w:sz="8" w:color="auto"/>
              <w:right w:val="single" w:sz="8" w:color="auto"/>
            </w:tcBorders>
          </w:tcPr>
          <w:p>
            <w:pPr>
              <w:spacing w:after="0"/>
              <w:rPr>
                <w:sz w:val="22"/>
                <w:szCs w:val="22"/>
                <w:color w:val="auto"/>
              </w:rPr>
            </w:pPr>
          </w:p>
        </w:tc>
        <w:tc>
          <w:tcPr>
            <w:tcW w:w="88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precedent as the Committee may reasonably request.</w:t>
            </w:r>
          </w:p>
        </w:tc>
        <w:tc>
          <w:tcPr>
            <w:tcW w:w="0" w:type="dxa"/>
            <w:vAlign w:val="bottom"/>
          </w:tcPr>
          <w:p>
            <w:pPr>
              <w:spacing w:after="0"/>
              <w:rPr>
                <w:sz w:val="1"/>
                <w:szCs w:val="1"/>
                <w:color w:val="auto"/>
              </w:rPr>
            </w:pPr>
          </w:p>
        </w:tc>
      </w:tr>
      <w:tr>
        <w:trPr>
          <w:trHeight w:val="334"/>
        </w:trPr>
        <w:tc>
          <w:tcPr>
            <w:tcW w:w="20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addition, the Committee may require you to enter into such agreements as the Committee considers</w:t>
            </w:r>
          </w:p>
        </w:tc>
        <w:tc>
          <w:tcPr>
            <w:tcW w:w="0" w:type="dxa"/>
            <w:vAlign w:val="bottom"/>
          </w:tcPr>
          <w:p>
            <w:pPr>
              <w:spacing w:after="0"/>
              <w:rPr>
                <w:sz w:val="1"/>
                <w:szCs w:val="1"/>
                <w:color w:val="auto"/>
              </w:rPr>
            </w:pPr>
          </w:p>
        </w:tc>
      </w:tr>
      <w:tr>
        <w:trPr>
          <w:trHeight w:val="258"/>
        </w:trPr>
        <w:tc>
          <w:tcPr>
            <w:tcW w:w="2080" w:type="dxa"/>
            <w:vAlign w:val="bottom"/>
            <w:tcBorders>
              <w:left w:val="single" w:sz="8" w:color="auto"/>
              <w:right w:val="single" w:sz="8" w:color="auto"/>
            </w:tcBorders>
          </w:tcPr>
          <w:p>
            <w:pPr>
              <w:spacing w:after="0"/>
              <w:rPr>
                <w:sz w:val="22"/>
                <w:szCs w:val="22"/>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appropriate.</w:t>
            </w:r>
          </w:p>
        </w:tc>
        <w:tc>
          <w:tcPr>
            <w:tcW w:w="0" w:type="dxa"/>
            <w:vAlign w:val="bottom"/>
          </w:tcPr>
          <w:p>
            <w:pPr>
              <w:spacing w:after="0"/>
              <w:rPr>
                <w:sz w:val="1"/>
                <w:szCs w:val="1"/>
                <w:color w:val="auto"/>
              </w:rPr>
            </w:pPr>
          </w:p>
        </w:tc>
      </w:tr>
      <w:tr>
        <w:trPr>
          <w:trHeight w:val="383"/>
        </w:trPr>
        <w:tc>
          <w:tcPr>
            <w:tcW w:w="20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Your failure to satisfy any of the foregoing conditions precedent will result in the immediate cancellation of</w:t>
            </w: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spacing w:after="0"/>
              <w:rPr>
                <w:sz w:val="16"/>
                <w:szCs w:val="16"/>
                <w:color w:val="auto"/>
              </w:rPr>
            </w:pPr>
          </w:p>
        </w:tc>
        <w:tc>
          <w:tcPr>
            <w:tcW w:w="888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20"/>
                <w:szCs w:val="20"/>
                <w:color w:val="auto"/>
              </w:rPr>
              <w:t>the unvested portion of your Award and any vested portion of your Award that has not yet been settled, and</w:t>
            </w:r>
          </w:p>
        </w:tc>
        <w:tc>
          <w:tcPr>
            <w:tcW w:w="0" w:type="dxa"/>
            <w:vAlign w:val="bottom"/>
          </w:tcPr>
          <w:p>
            <w:pPr>
              <w:spacing w:after="0"/>
              <w:rPr>
                <w:sz w:val="1"/>
                <w:szCs w:val="1"/>
                <w:color w:val="auto"/>
              </w:rPr>
            </w:pPr>
          </w:p>
        </w:tc>
      </w:tr>
      <w:tr>
        <w:trPr>
          <w:trHeight w:val="251"/>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8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you will not be entitled to receive any consideration with respect to such cancellation.</w:t>
            </w: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ind w:left="80"/>
              <w:spacing w:after="0" w:line="182" w:lineRule="exact"/>
              <w:rPr>
                <w:sz w:val="20"/>
                <w:szCs w:val="20"/>
                <w:color w:val="auto"/>
              </w:rPr>
            </w:pPr>
            <w:r>
              <w:rPr>
                <w:rFonts w:ascii="Times New Roman" w:cs="Times New Roman" w:eastAsia="Times New Roman" w:hAnsi="Times New Roman"/>
                <w:sz w:val="20"/>
                <w:szCs w:val="20"/>
                <w:b w:val="1"/>
                <w:bCs w:val="1"/>
                <w:color w:val="auto"/>
              </w:rPr>
              <w:t>Other Terms and</w:t>
            </w:r>
          </w:p>
        </w:tc>
        <w:tc>
          <w:tcPr>
            <w:tcW w:w="888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20"/>
                <w:szCs w:val="20"/>
                <w:color w:val="auto"/>
              </w:rPr>
              <w:t>Refer to the Plan for additional terms and conditions applicable to your Award, including but not limited to,</w:t>
            </w:r>
          </w:p>
        </w:tc>
        <w:tc>
          <w:tcPr>
            <w:tcW w:w="0" w:type="dxa"/>
            <w:vAlign w:val="bottom"/>
          </w:tcPr>
          <w:p>
            <w:pPr>
              <w:spacing w:after="0"/>
              <w:rPr>
                <w:sz w:val="1"/>
                <w:szCs w:val="1"/>
                <w:color w:val="auto"/>
              </w:rPr>
            </w:pPr>
          </w:p>
        </w:tc>
      </w:tr>
      <w:tr>
        <w:trPr>
          <w:trHeight w:val="202"/>
        </w:trPr>
        <w:tc>
          <w:tcPr>
            <w:tcW w:w="2080" w:type="dxa"/>
            <w:vAlign w:val="bottom"/>
            <w:tcBorders>
              <w:left w:val="single" w:sz="8" w:color="auto"/>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20"/>
                <w:szCs w:val="20"/>
                <w:b w:val="1"/>
                <w:bCs w:val="1"/>
                <w:color w:val="auto"/>
              </w:rPr>
              <w:t>Conditions of the</w:t>
            </w:r>
          </w:p>
        </w:tc>
        <w:tc>
          <w:tcPr>
            <w:tcW w:w="888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20"/>
                <w:szCs w:val="20"/>
                <w:color w:val="auto"/>
              </w:rPr>
              <w:t>those relating to:</w:t>
            </w:r>
          </w:p>
        </w:tc>
        <w:tc>
          <w:tcPr>
            <w:tcW w:w="0" w:type="dxa"/>
            <w:vAlign w:val="bottom"/>
          </w:tcPr>
          <w:p>
            <w:pPr>
              <w:spacing w:after="0"/>
              <w:rPr>
                <w:sz w:val="1"/>
                <w:szCs w:val="1"/>
                <w:color w:val="auto"/>
              </w:rPr>
            </w:pPr>
          </w:p>
        </w:tc>
      </w:tr>
      <w:tr>
        <w:trPr>
          <w:trHeight w:val="262"/>
        </w:trPr>
        <w:tc>
          <w:tcPr>
            <w:tcW w:w="2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Award</w:t>
            </w:r>
          </w:p>
        </w:tc>
        <w:tc>
          <w:tcPr>
            <w:tcW w:w="88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20"/>
                <w:szCs w:val="20"/>
                <w:color w:val="auto"/>
              </w:rPr>
              <w:t>•   Effect of your Termination of Service on your Award upon Death and Disability;</w:t>
            </w:r>
          </w:p>
        </w:tc>
        <w:tc>
          <w:tcPr>
            <w:tcW w:w="0" w:type="dxa"/>
            <w:vAlign w:val="bottom"/>
          </w:tcPr>
          <w:p>
            <w:pPr>
              <w:spacing w:after="0"/>
              <w:rPr>
                <w:sz w:val="1"/>
                <w:szCs w:val="1"/>
                <w:color w:val="auto"/>
              </w:rPr>
            </w:pPr>
          </w:p>
        </w:tc>
      </w:tr>
      <w:tr>
        <w:trPr>
          <w:trHeight w:val="182"/>
        </w:trPr>
        <w:tc>
          <w:tcPr>
            <w:tcW w:w="2080" w:type="dxa"/>
            <w:vAlign w:val="bottom"/>
            <w:tcBorders>
              <w:left w:val="single" w:sz="8" w:color="auto"/>
              <w:right w:val="single" w:sz="8" w:color="auto"/>
            </w:tcBorders>
          </w:tcPr>
          <w:p>
            <w:pPr>
              <w:spacing w:after="0"/>
              <w:rPr>
                <w:sz w:val="15"/>
                <w:szCs w:val="15"/>
                <w:color w:val="auto"/>
              </w:rPr>
            </w:pPr>
          </w:p>
        </w:tc>
        <w:tc>
          <w:tcPr>
            <w:tcW w:w="88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spacing w:after="0"/>
              <w:rPr>
                <w:sz w:val="16"/>
                <w:szCs w:val="16"/>
                <w:color w:val="auto"/>
              </w:rPr>
            </w:pPr>
          </w:p>
        </w:tc>
        <w:tc>
          <w:tcPr>
            <w:tcW w:w="8880" w:type="dxa"/>
            <w:vAlign w:val="bottom"/>
            <w:tcBorders>
              <w:right w:val="single" w:sz="8" w:color="auto"/>
            </w:tcBorders>
          </w:tcPr>
          <w:p>
            <w:pPr>
              <w:ind w:left="380"/>
              <w:spacing w:after="0" w:line="192" w:lineRule="exact"/>
              <w:rPr>
                <w:sz w:val="20"/>
                <w:szCs w:val="20"/>
                <w:color w:val="auto"/>
              </w:rPr>
            </w:pPr>
            <w:r>
              <w:rPr>
                <w:rFonts w:ascii="Times New Roman" w:cs="Times New Roman" w:eastAsia="Times New Roman" w:hAnsi="Times New Roman"/>
                <w:sz w:val="20"/>
                <w:szCs w:val="20"/>
                <w:color w:val="auto"/>
              </w:rPr>
              <w:t>•   Your Award being subject to any clawback or recoupment policies of the Company as may be in</w:t>
            </w:r>
          </w:p>
        </w:tc>
        <w:tc>
          <w:tcPr>
            <w:tcW w:w="0" w:type="dxa"/>
            <w:vAlign w:val="bottom"/>
          </w:tcPr>
          <w:p>
            <w:pPr>
              <w:spacing w:after="0"/>
              <w:rPr>
                <w:sz w:val="1"/>
                <w:szCs w:val="1"/>
                <w:color w:val="auto"/>
              </w:rPr>
            </w:pPr>
          </w:p>
        </w:tc>
      </w:tr>
      <w:tr>
        <w:trPr>
          <w:trHeight w:val="202"/>
        </w:trPr>
        <w:tc>
          <w:tcPr>
            <w:tcW w:w="20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700"/>
              <w:spacing w:after="0" w:line="202" w:lineRule="exact"/>
              <w:rPr>
                <w:sz w:val="20"/>
                <w:szCs w:val="20"/>
                <w:color w:val="auto"/>
              </w:rPr>
            </w:pPr>
            <w:r>
              <w:rPr>
                <w:rFonts w:ascii="Times New Roman" w:cs="Times New Roman" w:eastAsia="Times New Roman" w:hAnsi="Times New Roman"/>
                <w:sz w:val="20"/>
                <w:szCs w:val="20"/>
                <w:color w:val="auto"/>
              </w:rPr>
              <w:t>effect from time to time;</w:t>
            </w:r>
          </w:p>
        </w:tc>
        <w:tc>
          <w:tcPr>
            <w:tcW w:w="0" w:type="dxa"/>
            <w:vAlign w:val="bottom"/>
          </w:tcPr>
          <w:p>
            <w:pPr>
              <w:spacing w:after="0"/>
              <w:rPr>
                <w:sz w:val="1"/>
                <w:szCs w:val="1"/>
                <w:color w:val="auto"/>
              </w:rPr>
            </w:pPr>
          </w:p>
        </w:tc>
      </w:tr>
      <w:tr>
        <w:trPr>
          <w:trHeight w:val="198"/>
        </w:trPr>
        <w:tc>
          <w:tcPr>
            <w:tcW w:w="20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380"/>
              <w:spacing w:after="0" w:line="198" w:lineRule="exact"/>
              <w:rPr>
                <w:sz w:val="20"/>
                <w:szCs w:val="20"/>
                <w:color w:val="auto"/>
              </w:rPr>
            </w:pPr>
            <w:r>
              <w:rPr>
                <w:rFonts w:ascii="Times New Roman" w:cs="Times New Roman" w:eastAsia="Times New Roman" w:hAnsi="Times New Roman"/>
                <w:sz w:val="20"/>
                <w:szCs w:val="20"/>
                <w:color w:val="auto"/>
              </w:rPr>
              <w:t>•   The impact of a Change in Control or other specified corporate event on your Award; and</w:t>
            </w:r>
          </w:p>
        </w:tc>
        <w:tc>
          <w:tcPr>
            <w:tcW w:w="0" w:type="dxa"/>
            <w:vAlign w:val="bottom"/>
          </w:tcPr>
          <w:p>
            <w:pPr>
              <w:spacing w:after="0"/>
              <w:rPr>
                <w:sz w:val="1"/>
                <w:szCs w:val="1"/>
                <w:color w:val="auto"/>
              </w:rPr>
            </w:pPr>
          </w:p>
        </w:tc>
      </w:tr>
      <w:tr>
        <w:trPr>
          <w:trHeight w:val="255"/>
        </w:trPr>
        <w:tc>
          <w:tcPr>
            <w:tcW w:w="2080" w:type="dxa"/>
            <w:vAlign w:val="bottom"/>
            <w:tcBorders>
              <w:left w:val="single" w:sz="8" w:color="auto"/>
              <w:bottom w:val="single" w:sz="8" w:color="auto"/>
              <w:right w:val="single" w:sz="8" w:color="auto"/>
            </w:tcBorders>
          </w:tcPr>
          <w:p>
            <w:pPr>
              <w:spacing w:after="0"/>
              <w:rPr>
                <w:sz w:val="22"/>
                <w:szCs w:val="22"/>
                <w:color w:val="auto"/>
              </w:rPr>
            </w:pPr>
          </w:p>
        </w:tc>
        <w:tc>
          <w:tcPr>
            <w:tcW w:w="88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   Jurisdiction and governing law.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Acknowledgements</w:t>
      </w:r>
    </w:p>
    <w:p>
      <w:pPr>
        <w:spacing w:after="0" w:line="217"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0"/>
          <w:szCs w:val="20"/>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that:</w:t>
      </w:r>
    </w:p>
    <w:p>
      <w:pPr>
        <w:spacing w:after="0" w:line="191" w:lineRule="exact"/>
        <w:rPr>
          <w:sz w:val="20"/>
          <w:szCs w:val="20"/>
          <w:color w:val="auto"/>
        </w:rPr>
      </w:pPr>
    </w:p>
    <w:p>
      <w:pPr>
        <w:ind w:left="340" w:right="180" w:hanging="333"/>
        <w:spacing w:after="0" w:line="225" w:lineRule="auto"/>
        <w:tabs>
          <w:tab w:leader="none" w:pos="3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86" w:lineRule="exact"/>
        <w:rPr>
          <w:rFonts w:ascii="Times New Roman" w:cs="Times New Roman" w:eastAsia="Times New Roman" w:hAnsi="Times New Roman"/>
          <w:sz w:val="20"/>
          <w:szCs w:val="20"/>
          <w:color w:val="auto"/>
        </w:rPr>
      </w:pPr>
    </w:p>
    <w:p>
      <w:pPr>
        <w:ind w:left="340" w:right="100" w:hanging="333"/>
        <w:spacing w:after="0" w:line="216" w:lineRule="auto"/>
        <w:tabs>
          <w:tab w:leader="none" w:pos="32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have any claim or right to be granted any Award under the Plan, and there is no obligation for uniformity of treatment of employees, consultants, advisors, Participants or holders or Beneficiaries of Awards under the Plan. The terms and conditions of Awards may vary and need not be the same with respect to each recipient. Any Award granted under the Plan shall be a single, discretionary, and voluntary grant and does not constitute a promise, a contractual right or other right to receive future grants. The Committee maintains the right to make available future grants under the Plan.</w:t>
      </w:r>
    </w:p>
    <w:p>
      <w:pPr>
        <w:spacing w:after="0" w:line="187" w:lineRule="exact"/>
        <w:rPr>
          <w:rFonts w:ascii="Times New Roman" w:cs="Times New Roman" w:eastAsia="Times New Roman" w:hAnsi="Times New Roman"/>
          <w:sz w:val="20"/>
          <w:szCs w:val="20"/>
          <w:color w:val="auto"/>
        </w:rPr>
      </w:pPr>
    </w:p>
    <w:p>
      <w:pPr>
        <w:ind w:left="340" w:right="120" w:hanging="333"/>
        <w:spacing w:after="0" w:line="209" w:lineRule="auto"/>
        <w:tabs>
          <w:tab w:leader="none" w:pos="3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 w:lineRule="exact"/>
        <w:rPr>
          <w:rFonts w:ascii="Times New Roman" w:cs="Times New Roman" w:eastAsia="Times New Roman" w:hAnsi="Times New Roman"/>
          <w:sz w:val="20"/>
          <w:szCs w:val="20"/>
          <w:color w:val="auto"/>
        </w:rPr>
      </w:pPr>
    </w:p>
    <w:p>
      <w:pPr>
        <w:ind w:left="340" w:hanging="333"/>
        <w:spacing w:after="0" w:line="227" w:lineRule="auto"/>
        <w:tabs>
          <w:tab w:leader="none" w:pos="32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w:t>
      </w:r>
    </w:p>
    <w:p>
      <w:pPr>
        <w:sectPr>
          <w:pgSz w:w="11900" w:h="16838" w:orient="portrait"/>
          <w:cols w:equalWidth="0" w:num="1">
            <w:col w:w="11240"/>
          </w:cols>
          <w:pgMar w:left="320" w:top="952" w:right="339" w:bottom="1440" w:gutter="0" w:footer="0" w:header="0"/>
        </w:sectPr>
      </w:pPr>
    </w:p>
    <w:bookmarkStart w:id="112" w:name="page113"/>
    <w:bookmarkEnd w:id="112"/>
    <w:p>
      <w:pPr>
        <w:ind w:left="340"/>
        <w:spacing w:after="0"/>
        <w:rPr>
          <w:sz w:val="20"/>
          <w:szCs w:val="20"/>
          <w:color w:val="auto"/>
        </w:rPr>
      </w:pPr>
      <w:r>
        <w:rPr>
          <w:rFonts w:ascii="Times New Roman" w:cs="Times New Roman" w:eastAsia="Times New Roman" w:hAnsi="Times New Roman"/>
          <w:sz w:val="20"/>
          <w:szCs w:val="20"/>
          <w:color w:val="auto"/>
        </w:rPr>
        <w:t>of the Subsidiaries.</w:t>
      </w:r>
    </w:p>
    <w:p>
      <w:pPr>
        <w:ind w:left="340" w:right="40" w:hanging="333"/>
        <w:spacing w:after="0" w:line="217" w:lineRule="auto"/>
        <w:tabs>
          <w:tab w:leader="none" w:pos="33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subject to U.S. taxation and if any portion of this Award becomes non-forfeitable (e.g., due to your attaining Full Career Status) prior to settlement of the Award, it will be subject to the U.S. Federal Insurance Contributions Act (“FICA”) tax at the time such portion becomes non-forfeitable.</w:t>
      </w:r>
    </w:p>
    <w:p>
      <w:pPr>
        <w:spacing w:after="0" w:line="187" w:lineRule="exact"/>
        <w:rPr>
          <w:rFonts w:ascii="Times New Roman" w:cs="Times New Roman" w:eastAsia="Times New Roman" w:hAnsi="Times New Roman"/>
          <w:sz w:val="20"/>
          <w:szCs w:val="20"/>
          <w:color w:val="auto"/>
        </w:rPr>
      </w:pPr>
    </w:p>
    <w:p>
      <w:pPr>
        <w:ind w:left="340" w:right="80" w:hanging="333"/>
        <w:spacing w:after="0" w:line="225" w:lineRule="auto"/>
        <w:tabs>
          <w:tab w:leader="none" w:pos="33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local national of Israel, you have carefully read the Israeli Sub-Plan and the trust agreement between General Motors and its trustee, which are provided on the Shareworks by Morgan Stanley site, and agree that in order to qualify for a Section 102 Trustee Award you will not release the RSUs from the trust prior to the lapse of the restricted period as outlined under the Israeli Sub-Plan.</w:t>
      </w:r>
    </w:p>
    <w:p>
      <w:pPr>
        <w:spacing w:after="0" w:line="186" w:lineRule="exact"/>
        <w:rPr>
          <w:rFonts w:ascii="Times New Roman" w:cs="Times New Roman" w:eastAsia="Times New Roman" w:hAnsi="Times New Roman"/>
          <w:sz w:val="20"/>
          <w:szCs w:val="20"/>
          <w:color w:val="auto"/>
        </w:rPr>
      </w:pPr>
    </w:p>
    <w:p>
      <w:pPr>
        <w:ind w:left="340" w:right="20" w:hanging="333"/>
        <w:spacing w:after="0" w:line="212" w:lineRule="auto"/>
        <w:tabs>
          <w:tab w:leader="none" w:pos="3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local national of the People’s Republic of China (“PRC”), you are subject to exchange control restrictions and regulations in the PRC including the requirements imposed by the State Administration of Foreign Exchange (“SAFE”). As provided on the Shareworks by Morgan Stanley site, you have carefully read the SAFE terms and conditions that apply to your Award and agree to comply with these requirements.</w:t>
      </w:r>
    </w:p>
    <w:p>
      <w:pPr>
        <w:spacing w:after="0" w:line="2" w:lineRule="exact"/>
        <w:rPr>
          <w:rFonts w:ascii="Times New Roman" w:cs="Times New Roman" w:eastAsia="Times New Roman" w:hAnsi="Times New Roman"/>
          <w:sz w:val="20"/>
          <w:szCs w:val="20"/>
          <w:color w:val="auto"/>
        </w:rPr>
      </w:pPr>
    </w:p>
    <w:p>
      <w:pPr>
        <w:jc w:val="both"/>
        <w:ind w:left="340" w:right="320" w:hanging="333"/>
        <w:spacing w:after="0" w:line="205" w:lineRule="auto"/>
        <w:tabs>
          <w:tab w:leader="none" w:pos="3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 w:lineRule="exact"/>
        <w:rPr>
          <w:rFonts w:ascii="Times New Roman" w:cs="Times New Roman" w:eastAsia="Times New Roman" w:hAnsi="Times New Roman"/>
          <w:sz w:val="20"/>
          <w:szCs w:val="20"/>
          <w:color w:val="auto"/>
        </w:rPr>
      </w:pPr>
    </w:p>
    <w:p>
      <w:pPr>
        <w:ind w:left="340" w:right="160" w:hanging="333"/>
        <w:spacing w:after="0" w:line="203" w:lineRule="auto"/>
        <w:tabs>
          <w:tab w:leader="none" w:pos="33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and the Shares may increase or decrease in value.</w:t>
      </w:r>
    </w:p>
    <w:p>
      <w:pPr>
        <w:ind w:left="340" w:hanging="333"/>
        <w:spacing w:after="0" w:line="217" w:lineRule="auto"/>
        <w:tabs>
          <w:tab w:leader="none" w:pos="33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have no claim or entitlement to compensation or damages arising from the forfeiture of the RSUs, the termination of the Plan, or the diminution in value of the RSUs or Shares, including, without limitation, as a result of the termination of your employment or services by the Company or any Subsidiary for any reason whatsoever and whether or not in breach of contract. You irrevocably release the Company, its Subsidiaries, Affiliates, the Plan Administrator and their respective affiliates from any such claim that may arise.</w:t>
      </w:r>
    </w:p>
    <w:p>
      <w:pPr>
        <w:spacing w:after="0" w:line="2" w:lineRule="exact"/>
        <w:rPr>
          <w:rFonts w:ascii="Times New Roman" w:cs="Times New Roman" w:eastAsia="Times New Roman" w:hAnsi="Times New Roman"/>
          <w:sz w:val="19"/>
          <w:szCs w:val="19"/>
          <w:color w:val="auto"/>
        </w:rPr>
      </w:pPr>
    </w:p>
    <w:p>
      <w:pPr>
        <w:ind w:left="340" w:right="60" w:hanging="333"/>
        <w:spacing w:after="0" w:line="221" w:lineRule="auto"/>
        <w:tabs>
          <w:tab w:leader="none" w:pos="3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adopted a stock ownership requirement policy, and if your position is covered, you shall be subject to and comply with this policy as may be in effect from time to time.</w:t>
      </w:r>
    </w:p>
    <w:p>
      <w:pPr>
        <w:spacing w:after="0" w:line="185" w:lineRule="exact"/>
        <w:rPr>
          <w:rFonts w:ascii="Times New Roman" w:cs="Times New Roman" w:eastAsia="Times New Roman" w:hAnsi="Times New Roman"/>
          <w:sz w:val="20"/>
          <w:szCs w:val="20"/>
          <w:color w:val="auto"/>
        </w:rPr>
      </w:pPr>
    </w:p>
    <w:p>
      <w:pPr>
        <w:ind w:left="340" w:right="200" w:hanging="333"/>
        <w:spacing w:after="0" w:line="212" w:lineRule="auto"/>
        <w:tabs>
          <w:tab w:leader="none" w:pos="33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2" w:lineRule="exact"/>
        <w:rPr>
          <w:rFonts w:ascii="Times New Roman" w:cs="Times New Roman" w:eastAsia="Times New Roman" w:hAnsi="Times New Roman"/>
          <w:sz w:val="20"/>
          <w:szCs w:val="20"/>
          <w:color w:val="auto"/>
        </w:rPr>
      </w:pPr>
    </w:p>
    <w:p>
      <w:pPr>
        <w:ind w:left="340" w:right="60" w:hanging="333"/>
        <w:spacing w:after="0" w:line="211" w:lineRule="auto"/>
        <w:tabs>
          <w:tab w:leader="none" w:pos="3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laws; provided, however, notwithstanding any other provision of the Award Document, the RSUs shall not be settled if the settlement thereof would result in a violation of any such law.</w:t>
      </w:r>
    </w:p>
    <w:p>
      <w:pPr>
        <w:spacing w:after="0" w:line="175" w:lineRule="exact"/>
        <w:rPr>
          <w:rFonts w:ascii="Times New Roman" w:cs="Times New Roman" w:eastAsia="Times New Roman" w:hAnsi="Times New Roman"/>
          <w:sz w:val="20"/>
          <w:szCs w:val="20"/>
          <w:color w:val="auto"/>
        </w:rPr>
      </w:pPr>
    </w:p>
    <w:p>
      <w:pPr>
        <w:ind w:left="340" w:right="680" w:hanging="333"/>
        <w:spacing w:after="0" w:line="239" w:lineRule="auto"/>
        <w:tabs>
          <w:tab w:leader="none" w:pos="3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86" w:lineRule="exact"/>
        <w:rPr>
          <w:rFonts w:ascii="Times New Roman" w:cs="Times New Roman" w:eastAsia="Times New Roman" w:hAnsi="Times New Roman"/>
          <w:sz w:val="20"/>
          <w:szCs w:val="20"/>
          <w:color w:val="auto"/>
        </w:rPr>
      </w:pPr>
    </w:p>
    <w:p>
      <w:pPr>
        <w:ind w:left="340" w:right="480" w:hanging="333"/>
        <w:spacing w:after="0" w:line="221" w:lineRule="auto"/>
        <w:tabs>
          <w:tab w:leader="none" w:pos="3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this Award Document and the Plan, including the Israeli Sub-Plan and trustee agreement if you are a local national of Israel and the SAFE requirements if you are a local national of the PRC, carefully and understand their terms. By indicating your acceptance of these terms, you are expressly accepting the terms and conditions of the Award, and the Company may rely on your acceptance.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Acceptance of Award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accept this Award, you will need to follow the link at the bottom of this page. Your electronic acceptance confirms the following:</w:t>
      </w:r>
    </w:p>
    <w:p>
      <w:pPr>
        <w:spacing w:after="0" w:line="213"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0"/>
          <w:szCs w:val="20"/>
          <w:color w:val="auto"/>
        </w:rPr>
        <w:t>I confirm that I have been given a copy of this Award Document and access to the Plan, and that having read these documents I irrevocably agree to:</w:t>
      </w:r>
    </w:p>
    <w:p>
      <w:pPr>
        <w:sectPr>
          <w:pgSz w:w="11900" w:h="16838" w:orient="portrait"/>
          <w:cols w:equalWidth="0" w:num="1">
            <w:col w:w="11220"/>
          </w:cols>
          <w:pgMar w:left="320" w:top="903" w:right="359" w:bottom="1440" w:gutter="0" w:footer="0" w:header="0"/>
        </w:sectPr>
      </w:pPr>
    </w:p>
    <w:bookmarkStart w:id="113" w:name="page114"/>
    <w:bookmarkEnd w:id="113"/>
    <w:p>
      <w:pPr>
        <w:ind w:left="340" w:right="400" w:hanging="333"/>
        <w:spacing w:after="0" w:line="221" w:lineRule="auto"/>
        <w:tabs>
          <w:tab w:leader="none" w:pos="3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the RSUs (and any Shares) that are issued by the Company to me in accordance with the terms of the Plan and this Award Document; and</w:t>
      </w:r>
    </w:p>
    <w:p>
      <w:pPr>
        <w:spacing w:after="0" w:line="1"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bound by and abide by the terms of this Award Document and the Plan.</w:t>
      </w:r>
    </w:p>
    <w:p>
      <w:pPr>
        <w:spacing w:after="0" w:line="39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If you do not accept this Award by [Insert Grant Acceptance Date], this Award will lapse and be incapable of acceptance (unless otherwise agreed to by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have any questions concerning this Award or the Plan, please contact [Insert Contact Information].</w:t>
      </w:r>
    </w:p>
    <w:p>
      <w:pPr>
        <w:sectPr>
          <w:pgSz w:w="11900" w:h="16838" w:orient="portrait"/>
          <w:cols w:equalWidth="0" w:num="1">
            <w:col w:w="10920"/>
          </w:cols>
          <w:pgMar w:left="320" w:top="909" w:right="6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Calibri" w:cs="Calibri" w:eastAsia="Calibri" w:hAnsi="Calibri"/>
          <w:sz w:val="21"/>
          <w:szCs w:val="21"/>
          <w:b w:val="1"/>
          <w:bCs w:val="1"/>
          <w:color w:val="auto"/>
        </w:rPr>
        <w:t>GENERAL MOTORS COMPANY INSIDER TRADING POLICY</w:t>
      </w:r>
    </w:p>
    <w:p>
      <w:pPr>
        <w:spacing w:after="0" w:line="195"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b w:val="1"/>
          <w:bCs w:val="1"/>
          <w:color w:val="auto"/>
        </w:rPr>
        <w:t>Amended and Restated: March 9, 2023</w:t>
      </w:r>
    </w:p>
    <w:p>
      <w:pPr>
        <w:spacing w:after="0" w:line="179" w:lineRule="exact"/>
        <w:rPr>
          <w:sz w:val="20"/>
          <w:szCs w:val="20"/>
          <w:color w:val="auto"/>
        </w:rPr>
      </w:pPr>
    </w:p>
    <w:p>
      <w:pPr>
        <w:ind w:left="520" w:hanging="486"/>
        <w:spacing w:after="0"/>
        <w:tabs>
          <w:tab w:leader="none" w:pos="520" w:val="left"/>
        </w:tabs>
        <w:numPr>
          <w:ilvl w:val="0"/>
          <w:numId w:val="49"/>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PURPOSE AND SCOPE</w:t>
      </w:r>
    </w:p>
    <w:p>
      <w:pPr>
        <w:spacing w:after="0" w:line="223" w:lineRule="exact"/>
        <w:rPr>
          <w:sz w:val="20"/>
          <w:szCs w:val="20"/>
          <w:color w:val="auto"/>
        </w:rPr>
      </w:pPr>
    </w:p>
    <w:p>
      <w:pPr>
        <w:jc w:val="both"/>
        <w:ind w:left="40" w:right="100"/>
        <w:spacing w:after="0" w:line="197" w:lineRule="auto"/>
        <w:rPr>
          <w:sz w:val="20"/>
          <w:szCs w:val="20"/>
          <w:color w:val="auto"/>
        </w:rPr>
      </w:pPr>
      <w:r>
        <w:rPr>
          <w:rFonts w:ascii="Calibri" w:cs="Calibri" w:eastAsia="Calibri" w:hAnsi="Calibri"/>
          <w:sz w:val="20"/>
          <w:szCs w:val="20"/>
          <w:color w:val="auto"/>
        </w:rPr>
        <w:t>This Insider Trading Policy (this “</w:t>
      </w:r>
      <w:r>
        <w:rPr>
          <w:rFonts w:ascii="Calibri" w:cs="Calibri" w:eastAsia="Calibri" w:hAnsi="Calibri"/>
          <w:sz w:val="20"/>
          <w:szCs w:val="20"/>
          <w:b w:val="1"/>
          <w:bCs w:val="1"/>
          <w:color w:val="auto"/>
        </w:rPr>
        <w:t>Policy</w:t>
      </w:r>
      <w:r>
        <w:rPr>
          <w:rFonts w:ascii="Calibri" w:cs="Calibri" w:eastAsia="Calibri" w:hAnsi="Calibri"/>
          <w:sz w:val="20"/>
          <w:szCs w:val="20"/>
          <w:color w:val="auto"/>
        </w:rPr>
        <w:t>”) provides guidelines with respect to transactons in the securites of General Motors Company (including its direct and indirect subsidiaries, “</w:t>
      </w:r>
      <w:r>
        <w:rPr>
          <w:rFonts w:ascii="Calibri" w:cs="Calibri" w:eastAsia="Calibri" w:hAnsi="Calibri"/>
          <w:sz w:val="20"/>
          <w:szCs w:val="20"/>
          <w:b w:val="1"/>
          <w:bCs w:val="1"/>
          <w:color w:val="auto"/>
        </w:rPr>
        <w:t>GM</w:t>
      </w:r>
      <w:r>
        <w:rPr>
          <w:rFonts w:ascii="Calibri" w:cs="Calibri" w:eastAsia="Calibri" w:hAnsi="Calibri"/>
          <w:sz w:val="20"/>
          <w:szCs w:val="20"/>
          <w:color w:val="auto"/>
        </w:rPr>
        <w:t>” or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 . GM has adopted this Policy to promote compliance by Insiders (as defned below) with applicable laws that prohibit certain persons who are aware of Material Nonpublic Informaton (as defned below) about a company from: (i) trading in securites of that company; or (ii) providing Material Nonpublic Informaton to other persons who may trade on the basis of that informaton. This Policy applies to (i) directors, ofcers, and employees of GM, (ii) such persons’ Family Members (as defned below), and (iii) GM contractors and consultants who may have access to Material Nonpublic Informaton concerning GM and/or third partes conductng business with GM (collectvely, “</w:t>
      </w:r>
      <w:r>
        <w:rPr>
          <w:rFonts w:ascii="Calibri" w:cs="Calibri" w:eastAsia="Calibri" w:hAnsi="Calibri"/>
          <w:sz w:val="20"/>
          <w:szCs w:val="20"/>
          <w:b w:val="1"/>
          <w:bCs w:val="1"/>
          <w:color w:val="auto"/>
        </w:rPr>
        <w:t>Insiders</w:t>
      </w:r>
      <w:r>
        <w:rPr>
          <w:rFonts w:ascii="Calibri" w:cs="Calibri" w:eastAsia="Calibri" w:hAnsi="Calibri"/>
          <w:sz w:val="20"/>
          <w:szCs w:val="20"/>
          <w:color w:val="auto"/>
        </w:rPr>
        <w:t>”). In additon, to promote compliance with insider trading laws, it is GM’s policy not to engage in transactons of GM securites in violaton of insider trading laws.</w:t>
      </w:r>
    </w:p>
    <w:p>
      <w:pPr>
        <w:spacing w:after="0" w:line="194" w:lineRule="exact"/>
        <w:rPr>
          <w:sz w:val="20"/>
          <w:szCs w:val="20"/>
          <w:color w:val="auto"/>
        </w:rPr>
      </w:pPr>
    </w:p>
    <w:p>
      <w:pPr>
        <w:ind w:left="520" w:hanging="486"/>
        <w:spacing w:after="0"/>
        <w:tabs>
          <w:tab w:leader="none" w:pos="520" w:val="left"/>
        </w:tabs>
        <w:numPr>
          <w:ilvl w:val="0"/>
          <w:numId w:val="50"/>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CERTAIN DEFINED TERMS</w:t>
      </w:r>
    </w:p>
    <w:p>
      <w:pPr>
        <w:spacing w:after="0" w:line="209" w:lineRule="exact"/>
        <w:rPr>
          <w:sz w:val="20"/>
          <w:szCs w:val="20"/>
          <w:color w:val="auto"/>
        </w:rPr>
      </w:pPr>
    </w:p>
    <w:p>
      <w:pPr>
        <w:jc w:val="both"/>
        <w:ind w:left="520" w:right="100" w:hanging="322"/>
        <w:spacing w:after="0" w:line="202" w:lineRule="auto"/>
        <w:rPr>
          <w:sz w:val="20"/>
          <w:szCs w:val="20"/>
          <w:color w:val="auto"/>
        </w:rPr>
      </w:pPr>
      <w:r>
        <w:rPr>
          <w:rFonts w:ascii="Calibri" w:cs="Calibri" w:eastAsia="Calibri" w:hAnsi="Calibri"/>
          <w:sz w:val="20"/>
          <w:szCs w:val="20"/>
          <w:b w:val="1"/>
          <w:bCs w:val="1"/>
          <w:color w:val="auto"/>
        </w:rPr>
        <w:t xml:space="preserve">2.1 Family Members: </w:t>
      </w:r>
      <w:r>
        <w:rPr>
          <w:rFonts w:ascii="Calibri" w:cs="Calibri" w:eastAsia="Calibri" w:hAnsi="Calibri"/>
          <w:sz w:val="20"/>
          <w:szCs w:val="20"/>
          <w:color w:val="auto"/>
        </w:rPr>
        <w:t>Family members of a person, including a spouse, who reside with such person, anyone else who lives in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person’s household, and any family members who do not live in such person’s household but whose transactons in GM Securites (as defned below) are directed by such person or are subject to such person’s infuence or control (</w:t>
      </w:r>
      <w:r>
        <w:rPr>
          <w:rFonts w:ascii="Calibri" w:cs="Calibri" w:eastAsia="Calibri" w:hAnsi="Calibri"/>
          <w:sz w:val="20"/>
          <w:szCs w:val="20"/>
          <w:i w:val="1"/>
          <w:iCs w:val="1"/>
          <w:color w:val="auto"/>
        </w:rPr>
        <w:t>e.g.</w:t>
      </w:r>
      <w:r>
        <w:rPr>
          <w:rFonts w:ascii="Calibri" w:cs="Calibri" w:eastAsia="Calibri" w:hAnsi="Calibri"/>
          <w:sz w:val="20"/>
          <w:szCs w:val="20"/>
          <w:color w:val="auto"/>
        </w:rPr>
        <w:t>, parents or children who consult with such person before they trade in GM Securites).</w:t>
      </w:r>
    </w:p>
    <w:p>
      <w:pPr>
        <w:spacing w:after="0" w:line="213" w:lineRule="exact"/>
        <w:rPr>
          <w:sz w:val="20"/>
          <w:szCs w:val="20"/>
          <w:color w:val="auto"/>
        </w:rPr>
      </w:pPr>
    </w:p>
    <w:p>
      <w:pPr>
        <w:jc w:val="both"/>
        <w:ind w:left="520" w:right="120" w:hanging="322"/>
        <w:spacing w:after="0" w:line="213" w:lineRule="auto"/>
        <w:rPr>
          <w:sz w:val="20"/>
          <w:szCs w:val="20"/>
          <w:color w:val="auto"/>
        </w:rPr>
      </w:pPr>
      <w:r>
        <w:rPr>
          <w:rFonts w:ascii="Calibri" w:cs="Calibri" w:eastAsia="Calibri" w:hAnsi="Calibri"/>
          <w:sz w:val="20"/>
          <w:szCs w:val="20"/>
          <w:b w:val="1"/>
          <w:bCs w:val="1"/>
          <w:color w:val="auto"/>
        </w:rPr>
        <w:t xml:space="preserve">2.2 Restricted Insiders: </w:t>
      </w:r>
      <w:r>
        <w:rPr>
          <w:rFonts w:ascii="Calibri" w:cs="Calibri" w:eastAsia="Calibri" w:hAnsi="Calibri"/>
          <w:sz w:val="20"/>
          <w:szCs w:val="20"/>
          <w:color w:val="auto"/>
        </w:rPr>
        <w:t>Members of the Board of Directors, Senior Executves, and certain other employees who may be notfed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from tme to tme by the Corporate Secretary that they are Restricted Insiders.</w:t>
      </w:r>
    </w:p>
    <w:p>
      <w:pPr>
        <w:spacing w:after="0" w:line="212" w:lineRule="exact"/>
        <w:rPr>
          <w:sz w:val="20"/>
          <w:szCs w:val="20"/>
          <w:color w:val="auto"/>
        </w:rPr>
      </w:pPr>
    </w:p>
    <w:p>
      <w:pPr>
        <w:jc w:val="both"/>
        <w:ind w:left="520" w:right="120" w:hanging="321"/>
        <w:spacing w:after="0" w:line="199" w:lineRule="auto"/>
        <w:rPr>
          <w:sz w:val="20"/>
          <w:szCs w:val="20"/>
          <w:color w:val="auto"/>
        </w:rPr>
      </w:pPr>
      <w:r>
        <w:rPr>
          <w:rFonts w:ascii="Calibri" w:cs="Calibri" w:eastAsia="Calibri" w:hAnsi="Calibri"/>
          <w:sz w:val="20"/>
          <w:szCs w:val="20"/>
          <w:b w:val="1"/>
          <w:bCs w:val="1"/>
          <w:color w:val="auto"/>
        </w:rPr>
        <w:t>2.3 Material Nonpublic Informaton</w:t>
      </w:r>
      <w:r>
        <w:rPr>
          <w:rFonts w:ascii="Calibri" w:cs="Calibri" w:eastAsia="Calibri" w:hAnsi="Calibri"/>
          <w:sz w:val="20"/>
          <w:szCs w:val="20"/>
          <w:color w:val="auto"/>
        </w:rPr>
        <w:t>: Any informaton that a reasonable investor would consider important in making a decision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purchase, hold, or sell securites that has not been disclosed generally to the investng public in a manner that complies with applicable securites laws (</w:t>
      </w:r>
      <w:r>
        <w:rPr>
          <w:rFonts w:ascii="Calibri" w:cs="Calibri" w:eastAsia="Calibri" w:hAnsi="Calibri"/>
          <w:sz w:val="20"/>
          <w:szCs w:val="20"/>
          <w:i w:val="1"/>
          <w:iCs w:val="1"/>
          <w:color w:val="auto"/>
        </w:rPr>
        <w:t>e.g.</w:t>
      </w:r>
      <w:r>
        <w:rPr>
          <w:rFonts w:ascii="Calibri" w:cs="Calibri" w:eastAsia="Calibri" w:hAnsi="Calibri"/>
          <w:sz w:val="20"/>
          <w:szCs w:val="20"/>
          <w:color w:val="auto"/>
        </w:rPr>
        <w:t>, by a press release or in a report fled with the U.S. Securites and Exchange Commission (the “</w:t>
      </w:r>
      <w:r>
        <w:rPr>
          <w:rFonts w:ascii="Calibri" w:cs="Calibri" w:eastAsia="Calibri" w:hAnsi="Calibri"/>
          <w:sz w:val="20"/>
          <w:szCs w:val="20"/>
          <w:b w:val="1"/>
          <w:bCs w:val="1"/>
          <w:color w:val="auto"/>
        </w:rPr>
        <w:t>SEC</w:t>
      </w:r>
      <w:r>
        <w:rPr>
          <w:rFonts w:ascii="Calibri" w:cs="Calibri" w:eastAsia="Calibri" w:hAnsi="Calibri"/>
          <w:sz w:val="20"/>
          <w:szCs w:val="20"/>
          <w:color w:val="auto"/>
        </w:rPr>
        <w:t xml:space="preserve"> ”)). Although it is not possible to list all types of material informaton, the following are examples of the types of informaton that are partcularly sensitve and should be treated as material:</w:t>
      </w:r>
    </w:p>
    <w:p>
      <w:pPr>
        <w:spacing w:after="0" w:line="235" w:lineRule="exact"/>
        <w:rPr>
          <w:sz w:val="20"/>
          <w:szCs w:val="20"/>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earnings and related fnancial performance informaton;</w:t>
      </w:r>
    </w:p>
    <w:p>
      <w:pPr>
        <w:spacing w:after="0" w:line="16" w:lineRule="exact"/>
        <w:rPr>
          <w:rFonts w:ascii="Times New Roman" w:cs="Times New Roman" w:eastAsia="Times New Roman" w:hAnsi="Times New Roman"/>
          <w:sz w:val="21"/>
          <w:szCs w:val="21"/>
          <w:color w:val="auto"/>
        </w:rPr>
      </w:pPr>
    </w:p>
    <w:p>
      <w:pPr>
        <w:ind w:left="1160" w:hanging="480"/>
        <w:spacing w:after="0" w:line="217" w:lineRule="auto"/>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performance against or changes to externally communicated fnancial, sales, or other performance targets;</w:t>
      </w:r>
    </w:p>
    <w:p>
      <w:pPr>
        <w:spacing w:after="0" w:line="16" w:lineRule="exact"/>
        <w:rPr>
          <w:rFonts w:ascii="Times New Roman" w:cs="Times New Roman" w:eastAsia="Times New Roman" w:hAnsi="Times New Roman"/>
          <w:sz w:val="21"/>
          <w:szCs w:val="21"/>
          <w:color w:val="auto"/>
        </w:rPr>
      </w:pPr>
    </w:p>
    <w:p>
      <w:pPr>
        <w:ind w:left="1160" w:hanging="480"/>
        <w:spacing w:after="0" w:line="217" w:lineRule="auto"/>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performance against or changes to fnancial, sales, and other signifcant internal business forecasts;</w:t>
      </w:r>
    </w:p>
    <w:p>
      <w:pPr>
        <w:spacing w:after="0" w:line="16" w:lineRule="exact"/>
        <w:rPr>
          <w:rFonts w:ascii="Times New Roman" w:cs="Times New Roman" w:eastAsia="Times New Roman" w:hAnsi="Times New Roman"/>
          <w:sz w:val="21"/>
          <w:szCs w:val="21"/>
          <w:color w:val="auto"/>
        </w:rPr>
      </w:pPr>
    </w:p>
    <w:p>
      <w:pPr>
        <w:ind w:left="1160" w:hanging="480"/>
        <w:spacing w:after="0" w:line="217" w:lineRule="auto"/>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changes in the cadence or amount of dividends;</w:t>
      </w:r>
    </w:p>
    <w:p>
      <w:pPr>
        <w:spacing w:after="0" w:line="16" w:lineRule="exact"/>
        <w:rPr>
          <w:rFonts w:ascii="Times New Roman" w:cs="Times New Roman" w:eastAsia="Times New Roman" w:hAnsi="Times New Roman"/>
          <w:sz w:val="21"/>
          <w:szCs w:val="21"/>
          <w:color w:val="auto"/>
        </w:rPr>
      </w:pPr>
    </w:p>
    <w:p>
      <w:pPr>
        <w:ind w:left="1160" w:right="280" w:hanging="480"/>
        <w:spacing w:after="0" w:line="201" w:lineRule="auto"/>
        <w:tabs>
          <w:tab w:leader="none" w:pos="1155"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signifcant changes in sales volumes, market share, producton scheduling, product pricing, mix of sales, strategic plans, or liquidity;</w:t>
      </w:r>
    </w:p>
    <w:p>
      <w:pPr>
        <w:ind w:left="1160" w:hanging="480"/>
        <w:spacing w:after="0" w:line="232" w:lineRule="auto"/>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changes in debt ratngs or analyst upgrades or downgrades of the issuer or one of its securites;</w:t>
      </w:r>
    </w:p>
    <w:p>
      <w:pPr>
        <w:spacing w:after="0" w:line="16" w:lineRule="exact"/>
        <w:rPr>
          <w:rFonts w:ascii="Times New Roman" w:cs="Times New Roman" w:eastAsia="Times New Roman" w:hAnsi="Times New Roman"/>
          <w:sz w:val="21"/>
          <w:szCs w:val="21"/>
          <w:color w:val="auto"/>
        </w:rPr>
      </w:pPr>
    </w:p>
    <w:p>
      <w:pPr>
        <w:ind w:left="1160" w:hanging="480"/>
        <w:spacing w:after="0" w:line="204" w:lineRule="auto"/>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major strategic transactons, including joint ventures, mergers, acquisitons, or dispositons;</w:t>
      </w:r>
    </w:p>
    <w:p>
      <w:pPr>
        <w:spacing w:after="0" w:line="99"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material labor negotatons or disputes, including possible strikes;</w:t>
      </w:r>
    </w:p>
    <w:p>
      <w:pPr>
        <w:spacing w:after="0" w:line="18"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signifcant legal proceedings or governmental investgatons;</w:t>
      </w:r>
    </w:p>
    <w:p>
      <w:pPr>
        <w:spacing w:after="0" w:line="32"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loss of a signifcant supplier or entry into a signifcant joint venture;</w:t>
      </w:r>
    </w:p>
    <w:p>
      <w:pPr>
        <w:spacing w:after="0" w:line="18"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signifcant changes in accountng treatment, write-ofs or efectve tax rate;</w:t>
      </w:r>
    </w:p>
    <w:p>
      <w:pPr>
        <w:spacing w:after="0" w:line="32"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vehicle safety maters or potental or planned vehicle recall or feld actons;</w:t>
      </w:r>
    </w:p>
    <w:p>
      <w:pPr>
        <w:spacing w:after="0" w:line="18"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a major cybersecurity breach;</w:t>
      </w:r>
    </w:p>
    <w:p>
      <w:pPr>
        <w:spacing w:after="0" w:line="32" w:lineRule="exact"/>
        <w:rPr>
          <w:rFonts w:ascii="Times New Roman" w:cs="Times New Roman" w:eastAsia="Times New Roman" w:hAnsi="Times New Roman"/>
          <w:sz w:val="21"/>
          <w:szCs w:val="21"/>
          <w:color w:val="auto"/>
        </w:rPr>
      </w:pPr>
    </w:p>
    <w:p>
      <w:pPr>
        <w:ind w:left="1160" w:hanging="480"/>
        <w:spacing w:after="0"/>
        <w:tabs>
          <w:tab w:leader="none" w:pos="1160" w:val="left"/>
        </w:tabs>
        <w:numPr>
          <w:ilvl w:val="0"/>
          <w:numId w:val="51"/>
        </w:numPr>
        <w:rPr>
          <w:rFonts w:ascii="Times New Roman" w:cs="Times New Roman" w:eastAsia="Times New Roman" w:hAnsi="Times New Roman"/>
          <w:sz w:val="21"/>
          <w:szCs w:val="21"/>
          <w:color w:val="auto"/>
        </w:rPr>
      </w:pPr>
      <w:r>
        <w:rPr>
          <w:rFonts w:ascii="Calibri" w:cs="Calibri" w:eastAsia="Calibri" w:hAnsi="Calibri"/>
          <w:sz w:val="20"/>
          <w:szCs w:val="20"/>
          <w:color w:val="auto"/>
        </w:rPr>
        <w:t>changes in top management or directors; and</w:t>
      </w:r>
    </w:p>
    <w:p>
      <w:pPr>
        <w:spacing w:after="0" w:line="347" w:lineRule="exact"/>
        <w:rPr>
          <w:sz w:val="20"/>
          <w:szCs w:val="20"/>
          <w:color w:val="auto"/>
        </w:rPr>
      </w:pPr>
    </w:p>
    <w:p>
      <w:pP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160"/>
          </w:cols>
          <w:pgMar w:left="400" w:top="104" w:right="339" w:bottom="1440" w:gutter="0" w:footer="0" w:header="0"/>
        </w:sectPr>
      </w:pPr>
    </w:p>
    <w:bookmarkStart w:id="115" w:name="page116"/>
    <w:bookmarkEnd w:id="115"/>
    <w:p>
      <w:pPr>
        <w:ind w:left="1160" w:hanging="480"/>
        <w:spacing w:after="0"/>
        <w:tabs>
          <w:tab w:leader="none" w:pos="1160" w:val="left"/>
        </w:tabs>
        <w:numPr>
          <w:ilvl w:val="0"/>
          <w:numId w:val="52"/>
        </w:numPr>
        <w:rPr>
          <w:rFonts w:ascii="Times New Roman" w:cs="Times New Roman" w:eastAsia="Times New Roman" w:hAnsi="Times New Roman"/>
          <w:sz w:val="21"/>
          <w:szCs w:val="21"/>
          <w:color w:val="auto"/>
        </w:rPr>
      </w:pPr>
      <w:r>
        <w:rPr>
          <w:rFonts w:ascii="Calibri" w:cs="Calibri" w:eastAsia="Calibri" w:hAnsi="Calibri"/>
          <w:sz w:val="20"/>
          <w:szCs w:val="20"/>
          <w:color w:val="auto"/>
        </w:rPr>
        <w:t>stock splits and repurchases.</w:t>
      </w:r>
    </w:p>
    <w:p>
      <w:pPr>
        <w:spacing w:after="0" w:line="210" w:lineRule="exact"/>
        <w:rPr>
          <w:sz w:val="20"/>
          <w:szCs w:val="20"/>
          <w:color w:val="auto"/>
        </w:rPr>
      </w:pPr>
    </w:p>
    <w:p>
      <w:pPr>
        <w:ind w:left="680"/>
        <w:spacing w:after="0" w:line="213" w:lineRule="auto"/>
        <w:rPr>
          <w:sz w:val="20"/>
          <w:szCs w:val="20"/>
          <w:color w:val="auto"/>
        </w:rPr>
      </w:pPr>
      <w:r>
        <w:rPr>
          <w:rFonts w:ascii="Calibri" w:cs="Calibri" w:eastAsia="Calibri" w:hAnsi="Calibri"/>
          <w:sz w:val="20"/>
          <w:szCs w:val="20"/>
          <w:color w:val="auto"/>
        </w:rPr>
        <w:t>If an Insider has a queston as to whether partcular informaton is material or nonpublic, such Insider should not trade on or communicate the informaton to anyone without the prior writen approval of the Securites Practce Team.</w:t>
      </w:r>
    </w:p>
    <w:p>
      <w:pPr>
        <w:spacing w:after="0" w:line="181" w:lineRule="exact"/>
        <w:rPr>
          <w:sz w:val="20"/>
          <w:szCs w:val="20"/>
          <w:color w:val="auto"/>
        </w:rPr>
      </w:pPr>
    </w:p>
    <w:p>
      <w:pPr>
        <w:ind w:left="520" w:hanging="486"/>
        <w:spacing w:after="0"/>
        <w:tabs>
          <w:tab w:leader="none" w:pos="520" w:val="left"/>
        </w:tabs>
        <w:numPr>
          <w:ilvl w:val="0"/>
          <w:numId w:val="53"/>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THE POLICY</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3.1 Restrictons Applicable to all Insiders</w:t>
      </w:r>
    </w:p>
    <w:p>
      <w:pPr>
        <w:spacing w:after="0" w:line="199" w:lineRule="exact"/>
        <w:rPr>
          <w:sz w:val="20"/>
          <w:szCs w:val="20"/>
          <w:color w:val="auto"/>
        </w:rPr>
      </w:pPr>
    </w:p>
    <w:p>
      <w:pPr>
        <w:ind w:left="680" w:hanging="324"/>
        <w:spacing w:after="0"/>
        <w:tabs>
          <w:tab w:leader="none" w:pos="680"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General Prohibiton on Insider Trading</w:t>
      </w:r>
      <w:r>
        <w:rPr>
          <w:rFonts w:ascii="Calibri" w:cs="Calibri" w:eastAsia="Calibri" w:hAnsi="Calibri"/>
          <w:sz w:val="20"/>
          <w:szCs w:val="20"/>
          <w:color w:val="auto"/>
        </w:rPr>
        <w:t>.</w:t>
      </w:r>
    </w:p>
    <w:p>
      <w:pPr>
        <w:spacing w:after="0" w:line="263" w:lineRule="exact"/>
        <w:rPr>
          <w:rFonts w:ascii="Calibri" w:cs="Calibri" w:eastAsia="Calibri" w:hAnsi="Calibri"/>
          <w:sz w:val="20"/>
          <w:szCs w:val="20"/>
          <w:color w:val="auto"/>
        </w:rPr>
      </w:pPr>
    </w:p>
    <w:p>
      <w:pPr>
        <w:jc w:val="both"/>
        <w:ind w:left="1160" w:hanging="481"/>
        <w:spacing w:after="0" w:line="199" w:lineRule="auto"/>
        <w:tabs>
          <w:tab w:leader="none" w:pos="1153"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Except as otherwise specifed below, no Insider shall, directly or indirectly, engage in any transactons (including gifs) involving any securites issued by or related to GM (collectvely, “</w:t>
      </w:r>
      <w:r>
        <w:rPr>
          <w:rFonts w:ascii="Calibri" w:cs="Calibri" w:eastAsia="Calibri" w:hAnsi="Calibri"/>
          <w:sz w:val="20"/>
          <w:szCs w:val="20"/>
          <w:b w:val="1"/>
          <w:bCs w:val="1"/>
          <w:color w:val="auto"/>
        </w:rPr>
        <w:t>GM Securites</w:t>
      </w:r>
      <w:r>
        <w:rPr>
          <w:rFonts w:ascii="Calibri" w:cs="Calibri" w:eastAsia="Calibri" w:hAnsi="Calibri"/>
          <w:sz w:val="20"/>
          <w:szCs w:val="20"/>
          <w:color w:val="auto"/>
        </w:rPr>
        <w:t>”) during any period commencing on the date that the Insider frst possesses Material Nonpublic Informaton concerning GM and ending at the earlier of (a) the beginning of the second market trading day afer the public disclosure of that informaton or (b) such tme as that nonpublic informaton is no longer material. For the avoidance of doubt, “GM Securites” includes securites issued by any direct or indirect subsidiaries of GM, including, for example, GM Financial Company Inc. and GM Cruise Holdings LLC.</w:t>
      </w:r>
    </w:p>
    <w:p>
      <w:pPr>
        <w:spacing w:after="0" w:line="209" w:lineRule="exact"/>
        <w:rPr>
          <w:rFonts w:ascii="Calibri" w:cs="Calibri" w:eastAsia="Calibri" w:hAnsi="Calibri"/>
          <w:sz w:val="20"/>
          <w:szCs w:val="20"/>
          <w:color w:val="auto"/>
        </w:rPr>
      </w:pPr>
    </w:p>
    <w:p>
      <w:pPr>
        <w:jc w:val="both"/>
        <w:ind w:left="1160" w:right="20" w:hanging="481"/>
        <w:spacing w:after="0" w:line="208" w:lineRule="auto"/>
        <w:tabs>
          <w:tab w:leader="none" w:pos="1159"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No Insider shall, directly or indirectly, engage in any transactons in another company’s securites while in possession of Material Nonpublic Informaton concerning that company when that informaton was obtained in the course of employment with, or the performance of services on behalf of, GM.</w:t>
      </w:r>
    </w:p>
    <w:p>
      <w:pPr>
        <w:spacing w:after="0" w:line="198" w:lineRule="exact"/>
        <w:rPr>
          <w:rFonts w:ascii="Calibri" w:cs="Calibri" w:eastAsia="Calibri" w:hAnsi="Calibri"/>
          <w:sz w:val="20"/>
          <w:szCs w:val="20"/>
          <w:color w:val="auto"/>
        </w:rPr>
      </w:pPr>
    </w:p>
    <w:p>
      <w:pPr>
        <w:jc w:val="both"/>
        <w:ind w:left="680" w:hanging="324"/>
        <w:spacing w:after="0" w:line="198" w:lineRule="auto"/>
        <w:tabs>
          <w:tab w:leader="none" w:pos="675"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on Tipping Informaton to Others</w:t>
      </w:r>
      <w:r>
        <w:rPr>
          <w:rFonts w:ascii="Calibri" w:cs="Calibri" w:eastAsia="Calibri" w:hAnsi="Calibri"/>
          <w:sz w:val="20"/>
          <w:szCs w:val="20"/>
          <w:color w:val="auto"/>
        </w:rPr>
        <w:t>. Insiders may not disclose any Material Nonpublic Informaton concerning GM or make any recommendatons or express opinions on the basis of Material Nonpublic Informaton as to trading in GM Securites (or any other company or its securites to the extent such informaton is acquired in the course of employment with, or the performance of services on behalf of, GM) to any other persons or enttes (including, but not limited to, family members, friends, social acquaintances, investors, fnancial analysts and consultng frms), unless such disclosure is made in accordance with GM’s policies regarding the protecton or authorized external disclosure of informaton. This prohibiton applies whether or not the Insider receives any beneft from the use of that informaton by the other person or entty.</w:t>
      </w:r>
    </w:p>
    <w:p>
      <w:pPr>
        <w:spacing w:after="0" w:line="229" w:lineRule="exact"/>
        <w:rPr>
          <w:rFonts w:ascii="Calibri" w:cs="Calibri" w:eastAsia="Calibri" w:hAnsi="Calibri"/>
          <w:sz w:val="20"/>
          <w:szCs w:val="20"/>
          <w:color w:val="auto"/>
        </w:rPr>
      </w:pPr>
    </w:p>
    <w:p>
      <w:pPr>
        <w:jc w:val="both"/>
        <w:ind w:left="680" w:hanging="323"/>
        <w:spacing w:after="0" w:line="204" w:lineRule="auto"/>
        <w:tabs>
          <w:tab w:leader="none" w:pos="682"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Penaltes for Violatons of Insider Trading Laws</w:t>
      </w:r>
      <w:r>
        <w:rPr>
          <w:rFonts w:ascii="Calibri" w:cs="Calibri" w:eastAsia="Calibri" w:hAnsi="Calibri"/>
          <w:sz w:val="20"/>
          <w:szCs w:val="20"/>
          <w:color w:val="auto"/>
        </w:rPr>
        <w:t>. Individuals who trade on Material Nonpublic Informaton (or tp informaton to others who trade) can be liable for civil and criminal penaltes, in additon to legal and disciplinary acton from GM, including dismissal for cause.</w:t>
      </w:r>
    </w:p>
    <w:p>
      <w:pPr>
        <w:spacing w:after="0" w:line="264" w:lineRule="exact"/>
        <w:rPr>
          <w:rFonts w:ascii="Calibri" w:cs="Calibri" w:eastAsia="Calibri" w:hAnsi="Calibri"/>
          <w:sz w:val="20"/>
          <w:szCs w:val="20"/>
          <w:color w:val="auto"/>
        </w:rPr>
      </w:pPr>
    </w:p>
    <w:p>
      <w:pPr>
        <w:jc w:val="both"/>
        <w:ind w:left="680" w:hanging="323"/>
        <w:spacing w:after="0" w:line="202" w:lineRule="auto"/>
        <w:tabs>
          <w:tab w:leader="none" w:pos="675" w:val="left"/>
        </w:tabs>
        <w:numPr>
          <w:ilvl w:val="0"/>
          <w:numId w:val="54"/>
        </w:numPr>
        <w:rPr>
          <w:rFonts w:ascii="Calibri" w:cs="Calibri" w:eastAsia="Calibri" w:hAnsi="Calibri"/>
          <w:sz w:val="20"/>
          <w:szCs w:val="20"/>
          <w:color w:val="auto"/>
        </w:rPr>
      </w:pPr>
      <w:r>
        <w:rPr>
          <w:rFonts w:ascii="Calibri" w:cs="Calibri" w:eastAsia="Calibri" w:hAnsi="Calibri"/>
          <w:sz w:val="20"/>
          <w:szCs w:val="20"/>
          <w:u w:val="single" w:color="auto"/>
          <w:color w:val="auto"/>
        </w:rPr>
        <w:t>Other Prohibited Transactons</w:t>
      </w:r>
      <w:r>
        <w:rPr>
          <w:rFonts w:ascii="Calibri" w:cs="Calibri" w:eastAsia="Calibri" w:hAnsi="Calibri"/>
          <w:sz w:val="20"/>
          <w:szCs w:val="20"/>
          <w:color w:val="auto"/>
        </w:rPr>
        <w:t>. GM considers it inappropriate for Insiders to engage in speculatve transactons in GM Securites or in certain other transactons in GM Securites that may lead to inadvertent violatons of insider trading laws or that create a confict of interest for the Insider. Therefore, Insiders may not engage in any of the following transactons with respect to GM Securites:</w:t>
      </w:r>
    </w:p>
    <w:p>
      <w:pPr>
        <w:spacing w:after="0" w:line="243" w:lineRule="exact"/>
        <w:rPr>
          <w:rFonts w:ascii="Calibri" w:cs="Calibri" w:eastAsia="Calibri" w:hAnsi="Calibri"/>
          <w:sz w:val="20"/>
          <w:szCs w:val="20"/>
          <w:color w:val="auto"/>
        </w:rPr>
      </w:pPr>
    </w:p>
    <w:p>
      <w:pPr>
        <w:ind w:left="1160" w:hanging="480"/>
        <w:spacing w:after="0"/>
        <w:tabs>
          <w:tab w:leader="none" w:pos="1160" w:val="left"/>
        </w:tabs>
        <w:numPr>
          <w:ilvl w:val="1"/>
          <w:numId w:val="54"/>
        </w:numPr>
        <w:rPr>
          <w:rFonts w:ascii="Calibri" w:cs="Calibri" w:eastAsia="Calibri" w:hAnsi="Calibri"/>
          <w:sz w:val="21"/>
          <w:szCs w:val="21"/>
          <w:color w:val="auto"/>
        </w:rPr>
      </w:pPr>
      <w:r>
        <w:rPr>
          <w:rFonts w:ascii="Calibri" w:cs="Calibri" w:eastAsia="Calibri" w:hAnsi="Calibri"/>
          <w:sz w:val="20"/>
          <w:szCs w:val="20"/>
          <w:color w:val="auto"/>
        </w:rPr>
        <w:t>short sales;</w:t>
      </w:r>
    </w:p>
    <w:p>
      <w:pPr>
        <w:spacing w:after="0" w:line="34" w:lineRule="exact"/>
        <w:rPr>
          <w:rFonts w:ascii="Calibri" w:cs="Calibri" w:eastAsia="Calibri" w:hAnsi="Calibri"/>
          <w:sz w:val="21"/>
          <w:szCs w:val="21"/>
          <w:color w:val="auto"/>
        </w:rPr>
      </w:pPr>
    </w:p>
    <w:p>
      <w:pPr>
        <w:ind w:left="1160" w:right="140" w:hanging="481"/>
        <w:spacing w:after="0" w:line="221" w:lineRule="auto"/>
        <w:tabs>
          <w:tab w:leader="none" w:pos="1147" w:val="left"/>
        </w:tabs>
        <w:numPr>
          <w:ilvl w:val="1"/>
          <w:numId w:val="54"/>
        </w:numPr>
        <w:rPr>
          <w:rFonts w:ascii="Calibri" w:cs="Calibri" w:eastAsia="Calibri" w:hAnsi="Calibri"/>
          <w:sz w:val="21"/>
          <w:szCs w:val="21"/>
          <w:color w:val="auto"/>
        </w:rPr>
      </w:pPr>
      <w:r>
        <w:rPr>
          <w:rFonts w:ascii="Calibri" w:cs="Calibri" w:eastAsia="Calibri" w:hAnsi="Calibri"/>
          <w:sz w:val="20"/>
          <w:szCs w:val="20"/>
          <w:color w:val="auto"/>
        </w:rPr>
        <w:t>buying or selling GM optons (other than optons granted pursuant to GM’s long-term incentve plans), including puts or calls;</w:t>
      </w:r>
    </w:p>
    <w:p>
      <w:pPr>
        <w:spacing w:after="0" w:line="13" w:lineRule="exact"/>
        <w:rPr>
          <w:rFonts w:ascii="Calibri" w:cs="Calibri" w:eastAsia="Calibri" w:hAnsi="Calibri"/>
          <w:sz w:val="21"/>
          <w:szCs w:val="21"/>
          <w:color w:val="auto"/>
        </w:rPr>
      </w:pPr>
    </w:p>
    <w:p>
      <w:pPr>
        <w:ind w:left="1160" w:hanging="480"/>
        <w:spacing w:after="0"/>
        <w:tabs>
          <w:tab w:leader="none" w:pos="1160" w:val="left"/>
        </w:tabs>
        <w:numPr>
          <w:ilvl w:val="1"/>
          <w:numId w:val="54"/>
        </w:numPr>
        <w:rPr>
          <w:rFonts w:ascii="Calibri" w:cs="Calibri" w:eastAsia="Calibri" w:hAnsi="Calibri"/>
          <w:sz w:val="21"/>
          <w:szCs w:val="21"/>
          <w:color w:val="auto"/>
        </w:rPr>
      </w:pPr>
      <w:r>
        <w:rPr>
          <w:rFonts w:ascii="Calibri" w:cs="Calibri" w:eastAsia="Calibri" w:hAnsi="Calibri"/>
          <w:sz w:val="20"/>
          <w:szCs w:val="20"/>
          <w:color w:val="auto"/>
        </w:rPr>
        <w:t>holding GM Securites in margin accounts and/or pledging GM Securites as collateral;</w:t>
      </w:r>
    </w:p>
    <w:p>
      <w:pPr>
        <w:spacing w:after="0" w:line="25" w:lineRule="exact"/>
        <w:rPr>
          <w:rFonts w:ascii="Calibri" w:cs="Calibri" w:eastAsia="Calibri" w:hAnsi="Calibri"/>
          <w:sz w:val="21"/>
          <w:szCs w:val="21"/>
          <w:color w:val="auto"/>
        </w:rPr>
      </w:pPr>
    </w:p>
    <w:p>
      <w:pPr>
        <w:ind w:left="1160" w:hanging="480"/>
        <w:spacing w:after="0"/>
        <w:tabs>
          <w:tab w:leader="none" w:pos="1160" w:val="left"/>
        </w:tabs>
        <w:numPr>
          <w:ilvl w:val="1"/>
          <w:numId w:val="54"/>
        </w:numPr>
        <w:rPr>
          <w:rFonts w:ascii="Calibri" w:cs="Calibri" w:eastAsia="Calibri" w:hAnsi="Calibri"/>
          <w:sz w:val="21"/>
          <w:szCs w:val="21"/>
          <w:color w:val="auto"/>
        </w:rPr>
      </w:pPr>
      <w:r>
        <w:rPr>
          <w:rFonts w:ascii="Calibri" w:cs="Calibri" w:eastAsia="Calibri" w:hAnsi="Calibri"/>
          <w:sz w:val="20"/>
          <w:szCs w:val="20"/>
          <w:color w:val="auto"/>
        </w:rPr>
        <w:t>hedging transactons (including with respect to any SEC Rule10b5-1 Trading Plan); and</w:t>
      </w:r>
    </w:p>
    <w:p>
      <w:pPr>
        <w:spacing w:after="0" w:line="21" w:lineRule="exact"/>
        <w:rPr>
          <w:rFonts w:ascii="Calibri" w:cs="Calibri" w:eastAsia="Calibri" w:hAnsi="Calibri"/>
          <w:sz w:val="21"/>
          <w:szCs w:val="21"/>
          <w:color w:val="auto"/>
        </w:rPr>
      </w:pPr>
    </w:p>
    <w:p>
      <w:pPr>
        <w:ind w:left="1160" w:right="20" w:hanging="480"/>
        <w:spacing w:after="0" w:line="202" w:lineRule="auto"/>
        <w:tabs>
          <w:tab w:leader="none" w:pos="1159" w:val="left"/>
        </w:tabs>
        <w:numPr>
          <w:ilvl w:val="1"/>
          <w:numId w:val="54"/>
        </w:numPr>
        <w:rPr>
          <w:rFonts w:ascii="Calibri" w:cs="Calibri" w:eastAsia="Calibri" w:hAnsi="Calibri"/>
          <w:sz w:val="21"/>
          <w:szCs w:val="21"/>
          <w:color w:val="auto"/>
        </w:rPr>
      </w:pPr>
      <w:r>
        <w:rPr>
          <w:rFonts w:ascii="Calibri" w:cs="Calibri" w:eastAsia="Calibri" w:hAnsi="Calibri"/>
          <w:sz w:val="20"/>
          <w:szCs w:val="20"/>
          <w:color w:val="auto"/>
        </w:rPr>
        <w:t>placing standing orders with a broker to buy or sell GM Securites that have a duraton in excess of three business days (other than when such orders are made pursuant to a SEC Rule 10b5-1 Trading Plan).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060"/>
          </w:cols>
          <w:pgMar w:left="400" w:top="1322" w:right="439" w:bottom="1440" w:gutter="0" w:footer="0" w:header="0"/>
        </w:sectPr>
      </w:pPr>
    </w:p>
    <w:bookmarkStart w:id="116" w:name="page117"/>
    <w:bookmarkEnd w:id="116"/>
    <w:p>
      <w:pPr>
        <w:ind w:left="680" w:right="20"/>
        <w:spacing w:after="0" w:line="227" w:lineRule="auto"/>
        <w:rPr>
          <w:sz w:val="20"/>
          <w:szCs w:val="20"/>
          <w:color w:val="auto"/>
        </w:rPr>
      </w:pPr>
      <w:r>
        <w:rPr>
          <w:rFonts w:ascii="Calibri" w:cs="Calibri" w:eastAsia="Calibri" w:hAnsi="Calibri"/>
          <w:sz w:val="20"/>
          <w:szCs w:val="20"/>
          <w:color w:val="auto"/>
        </w:rPr>
        <w:t>In additon, from tme to tme, GM may determine that other types of transactons by Insiders in GM Securites shall be prohibited or shall be permited only with the prior writen consent of Securites Practce Team.</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3.2 Additonal Restrictons Applicable to Certain Insiders</w:t>
      </w:r>
    </w:p>
    <w:p>
      <w:pPr>
        <w:spacing w:after="0" w:line="199" w:lineRule="exact"/>
        <w:rPr>
          <w:sz w:val="20"/>
          <w:szCs w:val="20"/>
          <w:color w:val="auto"/>
        </w:rPr>
      </w:pPr>
    </w:p>
    <w:p>
      <w:pPr>
        <w:ind w:left="680" w:hanging="324"/>
        <w:spacing w:after="0"/>
        <w:tabs>
          <w:tab w:leader="none" w:pos="680" w:val="left"/>
        </w:tabs>
        <w:numPr>
          <w:ilvl w:val="0"/>
          <w:numId w:val="55"/>
        </w:numPr>
        <w:rPr>
          <w:rFonts w:ascii="Calibri" w:cs="Calibri" w:eastAsia="Calibri" w:hAnsi="Calibri"/>
          <w:sz w:val="20"/>
          <w:szCs w:val="20"/>
          <w:color w:val="auto"/>
        </w:rPr>
      </w:pPr>
      <w:r>
        <w:rPr>
          <w:rFonts w:ascii="Calibri" w:cs="Calibri" w:eastAsia="Calibri" w:hAnsi="Calibri"/>
          <w:sz w:val="20"/>
          <w:szCs w:val="20"/>
          <w:u w:val="single" w:color="auto"/>
          <w:color w:val="auto"/>
        </w:rPr>
        <w:t>Trading Windows</w:t>
      </w:r>
    </w:p>
    <w:p>
      <w:pPr>
        <w:spacing w:after="0" w:line="276" w:lineRule="exact"/>
        <w:rPr>
          <w:rFonts w:ascii="Calibri" w:cs="Calibri" w:eastAsia="Calibri" w:hAnsi="Calibri"/>
          <w:sz w:val="20"/>
          <w:szCs w:val="20"/>
          <w:color w:val="auto"/>
        </w:rPr>
      </w:pPr>
    </w:p>
    <w:p>
      <w:pPr>
        <w:jc w:val="both"/>
        <w:ind w:left="1000" w:hanging="321"/>
        <w:spacing w:after="0" w:line="198" w:lineRule="auto"/>
        <w:tabs>
          <w:tab w:leader="none" w:pos="992" w:val="left"/>
        </w:tabs>
        <w:numPr>
          <w:ilvl w:val="1"/>
          <w:numId w:val="55"/>
        </w:numPr>
        <w:rPr>
          <w:rFonts w:ascii="Calibri" w:cs="Calibri" w:eastAsia="Calibri" w:hAnsi="Calibri"/>
          <w:sz w:val="21"/>
          <w:szCs w:val="21"/>
          <w:color w:val="auto"/>
        </w:rPr>
      </w:pPr>
      <w:r>
        <w:rPr>
          <w:rFonts w:ascii="Calibri" w:cs="Calibri" w:eastAsia="Calibri" w:hAnsi="Calibri"/>
          <w:sz w:val="20"/>
          <w:szCs w:val="20"/>
          <w:color w:val="auto"/>
        </w:rPr>
        <w:t xml:space="preserve">Restricted Insiders may </w:t>
      </w:r>
      <w:r>
        <w:rPr>
          <w:rFonts w:ascii="Calibri" w:cs="Calibri" w:eastAsia="Calibri" w:hAnsi="Calibri"/>
          <w:sz w:val="20"/>
          <w:szCs w:val="20"/>
          <w:b w:val="1"/>
          <w:bCs w:val="1"/>
          <w:i w:val="1"/>
          <w:iCs w:val="1"/>
          <w:color w:val="auto"/>
        </w:rPr>
        <w:t>only</w:t>
      </w:r>
      <w:r>
        <w:rPr>
          <w:rFonts w:ascii="Calibri" w:cs="Calibri" w:eastAsia="Calibri" w:hAnsi="Calibri"/>
          <w:sz w:val="20"/>
          <w:szCs w:val="20"/>
          <w:color w:val="auto"/>
        </w:rPr>
        <w:t xml:space="preserve"> engage in transactons in GM Securites (including gifs) during an open trading window (a “</w:t>
      </w:r>
      <w:r>
        <w:rPr>
          <w:rFonts w:ascii="Calibri" w:cs="Calibri" w:eastAsia="Calibri" w:hAnsi="Calibri"/>
          <w:sz w:val="20"/>
          <w:szCs w:val="20"/>
          <w:b w:val="1"/>
          <w:bCs w:val="1"/>
          <w:color w:val="auto"/>
        </w:rPr>
        <w:t>Trading Window</w:t>
      </w:r>
      <w:r>
        <w:rPr>
          <w:rFonts w:ascii="Calibri" w:cs="Calibri" w:eastAsia="Calibri" w:hAnsi="Calibri"/>
          <w:sz w:val="20"/>
          <w:szCs w:val="20"/>
          <w:color w:val="auto"/>
        </w:rPr>
        <w:t xml:space="preserve">”) or pursuant to a SEC Rule 10b5-1 Trading Plan. The Corporate Secretary will determine the commencement date and length of each Trading Window. However, Trading Windows will generally commence at the beginning of the second market trading day following the public release of quarterly or annual fnancial results and end at 12:00 p.m. Eastern Time on the last trading day of the second month of each quarter. </w:t>
      </w:r>
      <w:r>
        <w:rPr>
          <w:rFonts w:ascii="Calibri" w:cs="Calibri" w:eastAsia="Calibri" w:hAnsi="Calibri"/>
          <w:sz w:val="20"/>
          <w:szCs w:val="20"/>
          <w:b w:val="1"/>
          <w:bCs w:val="1"/>
          <w:color w:val="auto"/>
        </w:rPr>
        <w:t>Trading in GM Securites during a</w:t>
      </w:r>
    </w:p>
    <w:p>
      <w:pPr>
        <w:spacing w:after="0" w:line="1" w:lineRule="exact"/>
        <w:rPr>
          <w:rFonts w:ascii="Calibri" w:cs="Calibri" w:eastAsia="Calibri" w:hAnsi="Calibri"/>
          <w:sz w:val="21"/>
          <w:szCs w:val="21"/>
          <w:color w:val="auto"/>
        </w:rPr>
      </w:pPr>
    </w:p>
    <w:p>
      <w:pPr>
        <w:jc w:val="both"/>
        <w:ind w:left="1000"/>
        <w:spacing w:after="0" w:line="196" w:lineRule="auto"/>
        <w:rPr>
          <w:rFonts w:ascii="Calibri" w:cs="Calibri" w:eastAsia="Calibri" w:hAnsi="Calibri"/>
          <w:sz w:val="21"/>
          <w:szCs w:val="21"/>
          <w:color w:val="auto"/>
        </w:rPr>
      </w:pPr>
      <w:r>
        <w:rPr>
          <w:rFonts w:ascii="Calibri" w:cs="Calibri" w:eastAsia="Calibri" w:hAnsi="Calibri"/>
          <w:sz w:val="20"/>
          <w:szCs w:val="20"/>
          <w:b w:val="1"/>
          <w:bCs w:val="1"/>
          <w:color w:val="auto"/>
        </w:rPr>
        <w:t>Trading Window should not be considered a "safe harbor," and all Insiders and other persons should use good judgment at all tmes to make sure that their trades are not efected while they are in possession of Material Nonpublic Informaton concerning GM.</w:t>
      </w:r>
    </w:p>
    <w:p>
      <w:pPr>
        <w:spacing w:after="0" w:line="250" w:lineRule="exact"/>
        <w:rPr>
          <w:rFonts w:ascii="Calibri" w:cs="Calibri" w:eastAsia="Calibri" w:hAnsi="Calibri"/>
          <w:sz w:val="21"/>
          <w:szCs w:val="21"/>
          <w:color w:val="auto"/>
        </w:rPr>
      </w:pPr>
    </w:p>
    <w:p>
      <w:pPr>
        <w:ind w:left="1000" w:hanging="321"/>
        <w:spacing w:after="0" w:line="221" w:lineRule="auto"/>
        <w:tabs>
          <w:tab w:leader="none" w:pos="987" w:val="left"/>
        </w:tabs>
        <w:numPr>
          <w:ilvl w:val="1"/>
          <w:numId w:val="55"/>
        </w:numPr>
        <w:rPr>
          <w:rFonts w:ascii="Calibri" w:cs="Calibri" w:eastAsia="Calibri" w:hAnsi="Calibri"/>
          <w:sz w:val="21"/>
          <w:szCs w:val="21"/>
          <w:color w:val="auto"/>
        </w:rPr>
      </w:pPr>
      <w:r>
        <w:rPr>
          <w:rFonts w:ascii="Calibri" w:cs="Calibri" w:eastAsia="Calibri" w:hAnsi="Calibri"/>
          <w:sz w:val="20"/>
          <w:szCs w:val="20"/>
          <w:color w:val="auto"/>
        </w:rPr>
        <w:t>From tme to tme, GM may also require that all or certain Insiders refrain from engaging in transactons in GM Securites for a specifed period of tme due to material informaton known to GM and not yet disclosed to the public.</w:t>
      </w:r>
    </w:p>
    <w:p>
      <w:pPr>
        <w:spacing w:after="0" w:line="224" w:lineRule="exact"/>
        <w:rPr>
          <w:rFonts w:ascii="Calibri" w:cs="Calibri" w:eastAsia="Calibri" w:hAnsi="Calibri"/>
          <w:sz w:val="21"/>
          <w:szCs w:val="21"/>
          <w:color w:val="auto"/>
        </w:rPr>
      </w:pPr>
    </w:p>
    <w:p>
      <w:pPr>
        <w:jc w:val="both"/>
        <w:ind w:left="680" w:hanging="324"/>
        <w:spacing w:after="0" w:line="199" w:lineRule="auto"/>
        <w:tabs>
          <w:tab w:leader="none" w:pos="675" w:val="left"/>
        </w:tabs>
        <w:numPr>
          <w:ilvl w:val="0"/>
          <w:numId w:val="55"/>
        </w:numPr>
        <w:rPr>
          <w:rFonts w:ascii="Calibri" w:cs="Calibri" w:eastAsia="Calibri" w:hAnsi="Calibri"/>
          <w:sz w:val="20"/>
          <w:szCs w:val="20"/>
          <w:color w:val="auto"/>
        </w:rPr>
      </w:pPr>
      <w:r>
        <w:rPr>
          <w:rFonts w:ascii="Calibri" w:cs="Calibri" w:eastAsia="Calibri" w:hAnsi="Calibri"/>
          <w:sz w:val="20"/>
          <w:szCs w:val="20"/>
          <w:u w:val="single" w:color="auto"/>
          <w:color w:val="auto"/>
        </w:rPr>
        <w:t>Mandatory Preclearance of Transactons by Restricted Insiders</w:t>
      </w:r>
      <w:r>
        <w:rPr>
          <w:rFonts w:ascii="Calibri" w:cs="Calibri" w:eastAsia="Calibri" w:hAnsi="Calibri"/>
          <w:sz w:val="20"/>
          <w:szCs w:val="20"/>
          <w:color w:val="auto"/>
        </w:rPr>
        <w:t>. Restricted Insiders must receive preclearance from the Securites Practce Team prior to executng any transactons in GM Securites. A request for preclearance to trade in GM Securites should be submited to the Securites Practce Team via email (</w:t>
      </w:r>
      <w:r>
        <w:rPr>
          <w:rFonts w:ascii="Calibri" w:cs="Calibri" w:eastAsia="Calibri" w:hAnsi="Calibri"/>
          <w:sz w:val="20"/>
          <w:szCs w:val="20"/>
          <w:i w:val="1"/>
          <w:iCs w:val="1"/>
          <w:color w:val="auto"/>
        </w:rPr>
        <w:t>preclearance@gm.com</w:t>
      </w:r>
      <w:r>
        <w:rPr>
          <w:rFonts w:ascii="Calibri" w:cs="Calibri" w:eastAsia="Calibri" w:hAnsi="Calibri"/>
          <w:sz w:val="20"/>
          <w:szCs w:val="20"/>
          <w:color w:val="auto"/>
        </w:rPr>
        <w:t>) at least one business day in advance of the proposed transacton. When a request for preclearance is made, the requestor should summarize the details of the proposed transacton and confrm in the request that he or she (i) has reviewed this Policy and (ii) is not aware of any Material Nonpublic Informaton concerning</w:t>
      </w:r>
    </w:p>
    <w:p>
      <w:pPr>
        <w:jc w:val="both"/>
        <w:ind w:left="680"/>
        <w:spacing w:after="0" w:line="200" w:lineRule="auto"/>
        <w:rPr>
          <w:rFonts w:ascii="Calibri" w:cs="Calibri" w:eastAsia="Calibri" w:hAnsi="Calibri"/>
          <w:sz w:val="20"/>
          <w:szCs w:val="20"/>
          <w:color w:val="auto"/>
        </w:rPr>
      </w:pPr>
      <w:r>
        <w:rPr>
          <w:rFonts w:ascii="Calibri" w:cs="Calibri" w:eastAsia="Calibri" w:hAnsi="Calibri"/>
          <w:sz w:val="20"/>
          <w:szCs w:val="20"/>
          <w:color w:val="auto"/>
        </w:rPr>
        <w:t>GM. If the Securites Practce Team grants preclearance, the requestor may make the trade at any tme within, but not afer, four market trading days of receipt of preclearance. If the requestor becomes aware of Material Nonpublic Informaton concerning GM before the trade is executed, the preclearance shall be void and the trade must not be completed. If a person seeks preclearance and permission to engage in the transacton is denied, then he or she should refrain from initatng any transacton in GM Securites and should not inform any other person of the denial.</w:t>
      </w:r>
    </w:p>
    <w:p>
      <w:pPr>
        <w:spacing w:after="0" w:line="203" w:lineRule="exact"/>
        <w:rPr>
          <w:rFonts w:ascii="Calibri" w:cs="Calibri" w:eastAsia="Calibri" w:hAnsi="Calibri"/>
          <w:sz w:val="20"/>
          <w:szCs w:val="20"/>
          <w:color w:val="auto"/>
        </w:rPr>
      </w:pPr>
    </w:p>
    <w:p>
      <w:pPr>
        <w:ind w:left="680" w:hanging="323"/>
        <w:spacing w:after="0"/>
        <w:tabs>
          <w:tab w:leader="none" w:pos="680" w:val="left"/>
        </w:tabs>
        <w:numPr>
          <w:ilvl w:val="0"/>
          <w:numId w:val="55"/>
        </w:numPr>
        <w:rPr>
          <w:rFonts w:ascii="Calibri" w:cs="Calibri" w:eastAsia="Calibri" w:hAnsi="Calibri"/>
          <w:sz w:val="20"/>
          <w:szCs w:val="20"/>
          <w:color w:val="auto"/>
        </w:rPr>
      </w:pPr>
      <w:r>
        <w:rPr>
          <w:rFonts w:ascii="Calibri" w:cs="Calibri" w:eastAsia="Calibri" w:hAnsi="Calibri"/>
          <w:sz w:val="20"/>
          <w:szCs w:val="20"/>
          <w:u w:val="single" w:color="auto"/>
          <w:color w:val="auto"/>
        </w:rPr>
        <w:t>Secton 16 Ofcers</w:t>
      </w:r>
    </w:p>
    <w:p>
      <w:pPr>
        <w:spacing w:after="0" w:line="276" w:lineRule="exact"/>
        <w:rPr>
          <w:rFonts w:ascii="Calibri" w:cs="Calibri" w:eastAsia="Calibri" w:hAnsi="Calibri"/>
          <w:sz w:val="20"/>
          <w:szCs w:val="20"/>
          <w:color w:val="auto"/>
        </w:rPr>
      </w:pPr>
    </w:p>
    <w:p>
      <w:pPr>
        <w:jc w:val="both"/>
        <w:ind w:left="1000" w:hanging="321"/>
        <w:spacing w:after="0" w:line="197" w:lineRule="auto"/>
        <w:tabs>
          <w:tab w:leader="none" w:pos="992" w:val="left"/>
        </w:tabs>
        <w:numPr>
          <w:ilvl w:val="1"/>
          <w:numId w:val="55"/>
        </w:numPr>
        <w:rPr>
          <w:rFonts w:ascii="Calibri" w:cs="Calibri" w:eastAsia="Calibri" w:hAnsi="Calibri"/>
          <w:sz w:val="21"/>
          <w:szCs w:val="21"/>
          <w:color w:val="auto"/>
        </w:rPr>
      </w:pPr>
      <w:r>
        <w:rPr>
          <w:rFonts w:ascii="Calibri" w:cs="Calibri" w:eastAsia="Calibri" w:hAnsi="Calibri"/>
          <w:sz w:val="20"/>
          <w:szCs w:val="20"/>
          <w:i w:val="1"/>
          <w:iCs w:val="1"/>
          <w:color w:val="auto"/>
        </w:rPr>
        <w:t>Sell Exclusively Pursuant to SEC Rule 10b5-1 Trading Plans</w:t>
      </w:r>
      <w:r>
        <w:rPr>
          <w:rFonts w:ascii="Calibri" w:cs="Calibri" w:eastAsia="Calibri" w:hAnsi="Calibri"/>
          <w:sz w:val="20"/>
          <w:szCs w:val="20"/>
          <w:color w:val="auto"/>
        </w:rPr>
        <w:t>. The persons designated by GM’s Board of Directors as “ofcers”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as defned by Rule 16a-1(f) promulgated under the Securites Exchange Act of 1934, as amended (the “</w:t>
      </w:r>
      <w:r>
        <w:rPr>
          <w:rFonts w:ascii="Calibri" w:cs="Calibri" w:eastAsia="Calibri" w:hAnsi="Calibri"/>
          <w:sz w:val="20"/>
          <w:szCs w:val="20"/>
          <w:b w:val="1"/>
          <w:bCs w:val="1"/>
          <w:color w:val="auto"/>
        </w:rPr>
        <w:t>Exchange Act</w:t>
      </w:r>
      <w:r>
        <w:rPr>
          <w:rFonts w:ascii="Calibri" w:cs="Calibri" w:eastAsia="Calibri" w:hAnsi="Calibri"/>
          <w:sz w:val="20"/>
          <w:szCs w:val="20"/>
          <w:color w:val="auto"/>
        </w:rPr>
        <w:t>”) (collectvely, “</w:t>
      </w:r>
      <w:r>
        <w:rPr>
          <w:rFonts w:ascii="Calibri" w:cs="Calibri" w:eastAsia="Calibri" w:hAnsi="Calibri"/>
          <w:sz w:val="20"/>
          <w:szCs w:val="20"/>
          <w:b w:val="1"/>
          <w:bCs w:val="1"/>
          <w:color w:val="auto"/>
        </w:rPr>
        <w:t>Secton 16 Ofcers</w:t>
      </w:r>
      <w:r>
        <w:rPr>
          <w:rFonts w:ascii="Calibri" w:cs="Calibri" w:eastAsia="Calibri" w:hAnsi="Calibri"/>
          <w:sz w:val="20"/>
          <w:szCs w:val="20"/>
          <w:color w:val="auto"/>
        </w:rPr>
        <w:t xml:space="preserve">”), are prohibited from selling GM Securites other than pursuant to a SEC Rule 10b5-1 Trading Plan. GM’s </w:t>
      </w:r>
      <w:r>
        <w:rPr>
          <w:rFonts w:ascii="Calibri" w:cs="Calibri" w:eastAsia="Calibri" w:hAnsi="Calibri"/>
          <w:sz w:val="20"/>
          <w:szCs w:val="20"/>
          <w:i w:val="1"/>
          <w:iCs w:val="1"/>
          <w:color w:val="auto"/>
        </w:rPr>
        <w:t>SEC Rule 10b5-1 Trading Plan Guidelines</w:t>
      </w:r>
      <w:r>
        <w:rPr>
          <w:rFonts w:ascii="Calibri" w:cs="Calibri" w:eastAsia="Calibri" w:hAnsi="Calibri"/>
          <w:sz w:val="20"/>
          <w:szCs w:val="20"/>
          <w:color w:val="auto"/>
        </w:rPr>
        <w:t xml:space="preserve"> are atached hereto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Secton 16 Ofcers may only enter into SEC Rule 10b5-1 Trading Plans during a Trading Window. Any Secton 16 Ofcer who wishes to enter into a SEC Rule 10b5-1 Trading Plan must contact the Securites Practce Team via email (</w:t>
      </w:r>
      <w:r>
        <w:rPr>
          <w:rFonts w:ascii="Calibri" w:cs="Calibri" w:eastAsia="Calibri" w:hAnsi="Calibri"/>
          <w:sz w:val="20"/>
          <w:szCs w:val="20"/>
          <w:i w:val="1"/>
          <w:iCs w:val="1"/>
          <w:color w:val="auto"/>
        </w:rPr>
        <w:t>preclearance@gm.com</w:t>
      </w:r>
      <w:r>
        <w:rPr>
          <w:rFonts w:ascii="Calibri" w:cs="Calibri" w:eastAsia="Calibri" w:hAnsi="Calibri"/>
          <w:sz w:val="20"/>
          <w:szCs w:val="20"/>
          <w:color w:val="auto"/>
        </w:rPr>
        <w:t>).</w:t>
      </w:r>
    </w:p>
    <w:p>
      <w:pPr>
        <w:spacing w:after="0" w:line="238" w:lineRule="exact"/>
        <w:rPr>
          <w:rFonts w:ascii="Calibri" w:cs="Calibri" w:eastAsia="Calibri" w:hAnsi="Calibri"/>
          <w:sz w:val="21"/>
          <w:szCs w:val="21"/>
          <w:color w:val="auto"/>
        </w:rPr>
      </w:pPr>
    </w:p>
    <w:p>
      <w:pPr>
        <w:jc w:val="both"/>
        <w:ind w:left="1000" w:right="20" w:hanging="321"/>
        <w:spacing w:after="0"/>
        <w:tabs>
          <w:tab w:leader="none" w:pos="987" w:val="left"/>
        </w:tabs>
        <w:numPr>
          <w:ilvl w:val="1"/>
          <w:numId w:val="55"/>
        </w:numPr>
        <w:rPr>
          <w:rFonts w:ascii="Calibri" w:cs="Calibri" w:eastAsia="Calibri" w:hAnsi="Calibri"/>
          <w:sz w:val="21"/>
          <w:szCs w:val="21"/>
          <w:color w:val="auto"/>
        </w:rPr>
      </w:pPr>
      <w:r>
        <w:rPr>
          <w:rFonts w:ascii="Calibri" w:cs="Calibri" w:eastAsia="Calibri" w:hAnsi="Calibri"/>
          <w:sz w:val="20"/>
          <w:szCs w:val="20"/>
          <w:i w:val="1"/>
          <w:iCs w:val="1"/>
          <w:color w:val="auto"/>
        </w:rPr>
        <w:t xml:space="preserve">Reportng Obligatons and Short-Swing Transactons. </w:t>
      </w:r>
      <w:r>
        <w:rPr>
          <w:rFonts w:ascii="Calibri" w:cs="Calibri" w:eastAsia="Calibri" w:hAnsi="Calibri"/>
          <w:sz w:val="20"/>
          <w:szCs w:val="20"/>
          <w:color w:val="auto"/>
        </w:rPr>
        <w:t>Members of the Board of Directors and Secton 16 Ofcers must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comply with the reportng obligatons and limitatons on short-swing transactons set forth in Secton 16 of the Exchange Act.</w:t>
      </w:r>
    </w:p>
    <w:p>
      <w:pPr>
        <w:spacing w:after="0" w:line="33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3.3 Certain Transactons Not Subject to Trading Restrictons</w:t>
      </w:r>
    </w:p>
    <w:p>
      <w:pPr>
        <w:spacing w:after="0" w:line="210" w:lineRule="exact"/>
        <w:rPr>
          <w:sz w:val="20"/>
          <w:szCs w:val="20"/>
          <w:color w:val="auto"/>
        </w:rPr>
      </w:pPr>
    </w:p>
    <w:p>
      <w:pPr>
        <w:jc w:val="both"/>
        <w:ind w:left="680" w:hanging="324"/>
        <w:spacing w:after="0" w:line="204" w:lineRule="auto"/>
        <w:tabs>
          <w:tab w:leader="none" w:pos="680" w:val="left"/>
        </w:tabs>
        <w:numPr>
          <w:ilvl w:val="0"/>
          <w:numId w:val="56"/>
        </w:numPr>
        <w:rPr>
          <w:rFonts w:ascii="Calibri" w:cs="Calibri" w:eastAsia="Calibri" w:hAnsi="Calibri"/>
          <w:sz w:val="20"/>
          <w:szCs w:val="20"/>
          <w:color w:val="auto"/>
        </w:rPr>
      </w:pPr>
      <w:r>
        <w:rPr>
          <w:rFonts w:ascii="Calibri" w:cs="Calibri" w:eastAsia="Calibri" w:hAnsi="Calibri"/>
          <w:sz w:val="20"/>
          <w:szCs w:val="20"/>
          <w:u w:val="single" w:color="auto"/>
          <w:color w:val="auto"/>
        </w:rPr>
        <w:t>Stock Opton Exercises</w:t>
      </w:r>
      <w:r>
        <w:rPr>
          <w:rFonts w:ascii="Calibri" w:cs="Calibri" w:eastAsia="Calibri" w:hAnsi="Calibri"/>
          <w:sz w:val="20"/>
          <w:szCs w:val="20"/>
          <w:color w:val="auto"/>
        </w:rPr>
        <w:t>. Subject to Secton 3.2(c), this Policy does not apply to the exercise of employee stock optons awarded under GM’s long-term incentve plans where no GM stock is sold in the market to fund the exercise price of an opton. However, this Policy does apply to (i)</w:t>
      </w:r>
    </w:p>
    <w:p>
      <w:pPr>
        <w:spacing w:after="0" w:line="321" w:lineRule="exact"/>
        <w:rPr>
          <w:sz w:val="20"/>
          <w:szCs w:val="20"/>
          <w:color w:val="auto"/>
        </w:rPr>
      </w:pPr>
    </w:p>
    <w:p>
      <w:pP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060"/>
          </w:cols>
          <w:pgMar w:left="400" w:top="1324" w:right="439" w:bottom="1440" w:gutter="0" w:footer="0" w:header="0"/>
        </w:sectPr>
      </w:pPr>
    </w:p>
    <w:bookmarkStart w:id="117" w:name="page118"/>
    <w:bookmarkEnd w:id="117"/>
    <w:p>
      <w:pPr>
        <w:jc w:val="both"/>
        <w:ind w:left="680" w:right="20"/>
        <w:spacing w:after="0" w:line="208" w:lineRule="auto"/>
        <w:rPr>
          <w:sz w:val="20"/>
          <w:szCs w:val="20"/>
          <w:color w:val="auto"/>
        </w:rPr>
      </w:pPr>
      <w:r>
        <w:rPr>
          <w:rFonts w:ascii="Calibri" w:cs="Calibri" w:eastAsia="Calibri" w:hAnsi="Calibri"/>
          <w:sz w:val="20"/>
          <w:szCs w:val="20"/>
          <w:color w:val="auto"/>
        </w:rPr>
        <w:t>any sale of shares subject to an employee stock opton as part of a cashless exercise of an opton (whether net proceeds are received in cash or shares) and (ii) any other sale or exchange of shares to generate the consideraton needed to fund the exercise price of an opton.</w:t>
      </w:r>
    </w:p>
    <w:p>
      <w:pPr>
        <w:spacing w:after="0" w:line="212" w:lineRule="exact"/>
        <w:rPr>
          <w:sz w:val="20"/>
          <w:szCs w:val="20"/>
          <w:color w:val="auto"/>
        </w:rPr>
      </w:pPr>
    </w:p>
    <w:p>
      <w:pPr>
        <w:jc w:val="both"/>
        <w:ind w:left="680" w:hanging="324"/>
        <w:spacing w:after="0" w:line="198" w:lineRule="auto"/>
        <w:tabs>
          <w:tab w:leader="none" w:pos="675" w:val="left"/>
        </w:tabs>
        <w:numPr>
          <w:ilvl w:val="0"/>
          <w:numId w:val="57"/>
        </w:numPr>
        <w:rPr>
          <w:rFonts w:ascii="Calibri" w:cs="Calibri" w:eastAsia="Calibri" w:hAnsi="Calibri"/>
          <w:sz w:val="20"/>
          <w:szCs w:val="20"/>
          <w:color w:val="auto"/>
        </w:rPr>
      </w:pPr>
      <w:r>
        <w:rPr>
          <w:rFonts w:ascii="Calibri" w:cs="Calibri" w:eastAsia="Calibri" w:hAnsi="Calibri"/>
          <w:sz w:val="20"/>
          <w:szCs w:val="20"/>
          <w:u w:val="single" w:color="auto"/>
          <w:color w:val="auto"/>
        </w:rPr>
        <w:t>Approved Pre-Planned Trading Programs</w:t>
      </w:r>
      <w:r>
        <w:rPr>
          <w:rFonts w:ascii="Calibri" w:cs="Calibri" w:eastAsia="Calibri" w:hAnsi="Calibri"/>
          <w:sz w:val="20"/>
          <w:szCs w:val="20"/>
          <w:color w:val="auto"/>
        </w:rPr>
        <w:t>. Insiders may sell (or purchase) GM Securites under certain pre-planned trading programs (</w:t>
      </w:r>
      <w:r>
        <w:rPr>
          <w:rFonts w:ascii="Calibri" w:cs="Calibri" w:eastAsia="Calibri" w:hAnsi="Calibri"/>
          <w:sz w:val="20"/>
          <w:szCs w:val="20"/>
          <w:i w:val="1"/>
          <w:iCs w:val="1"/>
          <w:color w:val="auto"/>
        </w:rPr>
        <w:t>i.e.</w:t>
      </w:r>
      <w:r>
        <w:rPr>
          <w:rFonts w:ascii="Calibri" w:cs="Calibri" w:eastAsia="Calibri" w:hAnsi="Calibri"/>
          <w:sz w:val="20"/>
          <w:szCs w:val="20"/>
          <w:color w:val="auto"/>
        </w:rPr>
        <w:t xml:space="preserve">, SEC Rule 10b5-1 Trading Plans) that (i) are entered into at a tme when not in possession of Material Nonpublic Informaton concerning GM, (ii) comply with SEC Rule 10b5-1, or any successor rule, (iii) meet the requirements of GM’s </w:t>
      </w:r>
      <w:r>
        <w:rPr>
          <w:rFonts w:ascii="Calibri" w:cs="Calibri" w:eastAsia="Calibri" w:hAnsi="Calibri"/>
          <w:sz w:val="20"/>
          <w:szCs w:val="20"/>
          <w:i w:val="1"/>
          <w:iCs w:val="1"/>
          <w:color w:val="auto"/>
        </w:rPr>
        <w:t>SEC</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 xml:space="preserve">Rule 10b5-1 Trading Plan Guidelines </w:t>
      </w:r>
      <w:r>
        <w:rPr>
          <w:rFonts w:ascii="Calibri" w:cs="Calibri" w:eastAsia="Calibri" w:hAnsi="Calibri"/>
          <w:sz w:val="20"/>
          <w:szCs w:val="20"/>
          <w:color w:val="auto"/>
        </w:rPr>
        <w:t>(atached hereto as</w:t>
      </w:r>
      <w:r>
        <w:rPr>
          <w:rFonts w:ascii="Calibri" w:cs="Calibri" w:eastAsia="Calibri" w:hAnsi="Calibri"/>
          <w:sz w:val="20"/>
          <w:szCs w:val="20"/>
          <w:i w:val="1"/>
          <w:iCs w:val="1"/>
          <w:color w:val="auto"/>
        </w:rPr>
        <w:t xml:space="preserve">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and (iv) have been approved in advance, in writng, by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Securites Practce Team. Restricted Insiders may only enter into SEC Rule 10b5- 1 Trading Plans during a Trading Window. Any person who wishes to enter into a SEC Rule 10b5- 1 Trading Plan must contact the Securites Practce Team via email (</w:t>
      </w:r>
      <w:r>
        <w:rPr>
          <w:rFonts w:ascii="Calibri" w:cs="Calibri" w:eastAsia="Calibri" w:hAnsi="Calibri"/>
          <w:sz w:val="20"/>
          <w:szCs w:val="20"/>
          <w:i w:val="1"/>
          <w:iCs w:val="1"/>
          <w:color w:val="auto"/>
        </w:rPr>
        <w:t>preclearance@gm.com</w:t>
      </w:r>
      <w:r>
        <w:rPr>
          <w:rFonts w:ascii="Calibri" w:cs="Calibri" w:eastAsia="Calibri" w:hAnsi="Calibri"/>
          <w:sz w:val="20"/>
          <w:szCs w:val="20"/>
          <w:color w:val="auto"/>
        </w:rPr>
        <w:t>).</w:t>
      </w:r>
    </w:p>
    <w:p>
      <w:pPr>
        <w:spacing w:after="0" w:line="224" w:lineRule="exact"/>
        <w:rPr>
          <w:sz w:val="20"/>
          <w:szCs w:val="20"/>
          <w:color w:val="auto"/>
        </w:rPr>
      </w:pPr>
    </w:p>
    <w:p>
      <w:pPr>
        <w:jc w:val="center"/>
        <w:ind w:right="-39"/>
        <w:spacing w:after="0"/>
        <w:rPr>
          <w:sz w:val="20"/>
          <w:szCs w:val="20"/>
          <w:color w:val="auto"/>
        </w:rPr>
      </w:pPr>
      <w:r>
        <w:rPr>
          <w:rFonts w:ascii="Calibri" w:cs="Calibri" w:eastAsia="Calibri" w:hAnsi="Calibri"/>
          <w:sz w:val="21"/>
          <w:szCs w:val="21"/>
          <w:b w:val="1"/>
          <w:bCs w:val="1"/>
          <w:color w:val="auto"/>
        </w:rPr>
        <w:t>3.4 Personal Responsibility for Compliance with this Policy</w:t>
      </w:r>
    </w:p>
    <w:p>
      <w:pPr>
        <w:spacing w:after="0" w:line="206" w:lineRule="exact"/>
        <w:rPr>
          <w:sz w:val="20"/>
          <w:szCs w:val="20"/>
          <w:color w:val="auto"/>
        </w:rPr>
      </w:pPr>
    </w:p>
    <w:p>
      <w:pPr>
        <w:jc w:val="both"/>
        <w:ind w:left="440"/>
        <w:spacing w:after="0" w:line="197" w:lineRule="auto"/>
        <w:rPr>
          <w:sz w:val="20"/>
          <w:szCs w:val="20"/>
          <w:color w:val="auto"/>
        </w:rPr>
      </w:pPr>
      <w:r>
        <w:rPr>
          <w:rFonts w:ascii="Calibri" w:cs="Calibri" w:eastAsia="Calibri" w:hAnsi="Calibri"/>
          <w:sz w:val="20"/>
          <w:szCs w:val="20"/>
          <w:color w:val="auto"/>
        </w:rPr>
        <w:t>Compliance with this Policy, including having the Securites Practce Team preclear a proposed transacton, is not an assurance that an insider trading violaton will not be found to have occurred. This Policy is only designed to reduce the risk that such violaton will be found to have occurred. Insiders should remember that the ultmate responsibility for adhering to this Policy and avoiding improper trading rests exclusively with each such Insider and that preclearance of trades and, if applicable, of SEC Rule 10b5-1 Trading Plans, by the Securites Practce Team does not reduce the obligatons imposed on such Insiders by applicable laws. Any acton on the part of GM or an atorney in the Securites Practce Team, or any other employee pursuant to this Policy (or otherwise) does not in any way consttute legal advice or insulate an Insider from liability under applicable securites laws. If an Insider violates this Policy, GM may take legal and/or disciplinary acton, including dismissal for cause, as applicable. Insiders must notfy the Corporate Secretary or a lawyer in the Securites Practce Team if they become aware of a breach of this Policy.</w:t>
      </w:r>
    </w:p>
    <w:p>
      <w:pPr>
        <w:spacing w:after="0" w:line="181" w:lineRule="exact"/>
        <w:rPr>
          <w:sz w:val="20"/>
          <w:szCs w:val="20"/>
          <w:color w:val="auto"/>
        </w:rPr>
      </w:pPr>
    </w:p>
    <w:p>
      <w:pPr>
        <w:ind w:left="520" w:hanging="486"/>
        <w:spacing w:after="0"/>
        <w:tabs>
          <w:tab w:leader="none" w:pos="520" w:val="left"/>
        </w:tabs>
        <w:numPr>
          <w:ilvl w:val="0"/>
          <w:numId w:val="58"/>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APPLICABILITY OF POLICY TO FORMER EMPLOYEES</w:t>
      </w:r>
    </w:p>
    <w:p>
      <w:pPr>
        <w:spacing w:after="0" w:line="249" w:lineRule="exact"/>
        <w:rPr>
          <w:sz w:val="20"/>
          <w:szCs w:val="20"/>
          <w:color w:val="auto"/>
        </w:rPr>
      </w:pPr>
    </w:p>
    <w:p>
      <w:pPr>
        <w:ind w:left="40"/>
        <w:spacing w:after="0" w:line="227" w:lineRule="auto"/>
        <w:rPr>
          <w:sz w:val="20"/>
          <w:szCs w:val="20"/>
          <w:color w:val="auto"/>
        </w:rPr>
      </w:pPr>
      <w:r>
        <w:rPr>
          <w:rFonts w:ascii="Calibri" w:cs="Calibri" w:eastAsia="Calibri" w:hAnsi="Calibri"/>
          <w:sz w:val="20"/>
          <w:szCs w:val="20"/>
          <w:color w:val="auto"/>
        </w:rPr>
        <w:t>This Policy will contnue to apply to Insiders for a period of tme afer their status with GM terminates. Subject to additonal terms, conditons, or restrictons that may be set forth in an agreement between the Insider and GM:</w:t>
      </w:r>
    </w:p>
    <w:p>
      <w:pPr>
        <w:spacing w:after="0" w:line="210" w:lineRule="exact"/>
        <w:rPr>
          <w:sz w:val="20"/>
          <w:szCs w:val="20"/>
          <w:color w:val="auto"/>
        </w:rPr>
      </w:pPr>
    </w:p>
    <w:p>
      <w:pPr>
        <w:jc w:val="both"/>
        <w:ind w:left="680" w:hanging="323"/>
        <w:spacing w:after="0" w:line="200" w:lineRule="auto"/>
        <w:tabs>
          <w:tab w:leader="none" w:pos="680" w:val="left"/>
        </w:tabs>
        <w:numPr>
          <w:ilvl w:val="1"/>
          <w:numId w:val="59"/>
        </w:numPr>
        <w:rPr>
          <w:rFonts w:ascii="Calibri" w:cs="Calibri" w:eastAsia="Calibri" w:hAnsi="Calibri"/>
          <w:sz w:val="20"/>
          <w:szCs w:val="20"/>
          <w:color w:val="auto"/>
        </w:rPr>
      </w:pPr>
      <w:r>
        <w:rPr>
          <w:rFonts w:ascii="Calibri" w:cs="Calibri" w:eastAsia="Calibri" w:hAnsi="Calibri"/>
          <w:sz w:val="20"/>
          <w:szCs w:val="20"/>
          <w:color w:val="auto"/>
        </w:rPr>
        <w:t>Upon terminaton of their status with GM, Restricted Insiders are no longer required to engage in transactons in GM Securites exclusively during a Trading Window, but all other aspects of this Policy (including mandatory preclearance of any transactons in GM Securites) shall apply untl the later of (i) the commencement of the Trading Window following the public release of earnings for the fscal quarter in which the Restricted Insider’s status with GM terminates or (ii) the beginning of the second market trading day afer the earlier of (a) the public disclosure of any Material Nonpublic Informaton known to the Insider or</w:t>
      </w:r>
    </w:p>
    <w:p>
      <w:pPr>
        <w:spacing w:after="0" w:line="1" w:lineRule="exact"/>
        <w:rPr>
          <w:rFonts w:ascii="Calibri" w:cs="Calibri" w:eastAsia="Calibri" w:hAnsi="Calibri"/>
          <w:sz w:val="20"/>
          <w:szCs w:val="20"/>
          <w:color w:val="auto"/>
        </w:rPr>
      </w:pPr>
    </w:p>
    <w:p>
      <w:pPr>
        <w:ind w:left="680"/>
        <w:spacing w:after="0" w:line="192" w:lineRule="auto"/>
        <w:rPr>
          <w:rFonts w:ascii="Calibri" w:cs="Calibri" w:eastAsia="Calibri" w:hAnsi="Calibri"/>
          <w:sz w:val="20"/>
          <w:szCs w:val="20"/>
          <w:color w:val="auto"/>
        </w:rPr>
      </w:pPr>
      <w:r>
        <w:rPr>
          <w:rFonts w:ascii="Calibri" w:cs="Calibri" w:eastAsia="Calibri" w:hAnsi="Calibri"/>
          <w:sz w:val="20"/>
          <w:szCs w:val="20"/>
          <w:color w:val="auto"/>
        </w:rPr>
        <w:t>(b) such tme as any Material Nonpublic Informaton known to the Insider is no longer material.</w:t>
      </w:r>
    </w:p>
    <w:p>
      <w:pPr>
        <w:spacing w:after="0" w:line="210" w:lineRule="exact"/>
        <w:rPr>
          <w:rFonts w:ascii="Calibri" w:cs="Calibri" w:eastAsia="Calibri" w:hAnsi="Calibri"/>
          <w:sz w:val="20"/>
          <w:szCs w:val="20"/>
          <w:color w:val="auto"/>
        </w:rPr>
      </w:pPr>
    </w:p>
    <w:p>
      <w:pPr>
        <w:jc w:val="both"/>
        <w:ind w:left="680" w:hanging="323"/>
        <w:spacing w:after="0" w:line="208" w:lineRule="auto"/>
        <w:tabs>
          <w:tab w:leader="none" w:pos="675" w:val="left"/>
        </w:tabs>
        <w:numPr>
          <w:ilvl w:val="1"/>
          <w:numId w:val="59"/>
        </w:numPr>
        <w:rPr>
          <w:rFonts w:ascii="Calibri" w:cs="Calibri" w:eastAsia="Calibri" w:hAnsi="Calibri"/>
          <w:sz w:val="20"/>
          <w:szCs w:val="20"/>
          <w:color w:val="auto"/>
        </w:rPr>
      </w:pPr>
      <w:r>
        <w:rPr>
          <w:rFonts w:ascii="Calibri" w:cs="Calibri" w:eastAsia="Calibri" w:hAnsi="Calibri"/>
          <w:sz w:val="20"/>
          <w:szCs w:val="20"/>
          <w:color w:val="auto"/>
        </w:rPr>
        <w:t xml:space="preserve">For all other former </w:t>
      </w:r>
      <w:r>
        <w:rPr>
          <w:rFonts w:ascii="Calibri" w:cs="Calibri" w:eastAsia="Calibri" w:hAnsi="Calibri"/>
          <w:sz w:val="20"/>
          <w:szCs w:val="20"/>
          <w:u w:val="single" w:color="auto"/>
          <w:color w:val="auto"/>
        </w:rPr>
        <w:t>Insiders</w:t>
      </w:r>
      <w:r>
        <w:rPr>
          <w:rFonts w:ascii="Calibri" w:cs="Calibri" w:eastAsia="Calibri" w:hAnsi="Calibri"/>
          <w:sz w:val="20"/>
          <w:szCs w:val="20"/>
          <w:color w:val="auto"/>
        </w:rPr>
        <w:t>, this Policy shall apply untl the beginning of the second market trading day afer the earlier of (i) the public disclosure of any Material Nonpublic Informaton known to the Insider or (ii) such tme that any Material Nonpublic Informaton known to the Insider is no longer material.</w:t>
      </w:r>
    </w:p>
    <w:p>
      <w:pPr>
        <w:spacing w:after="0" w:line="194" w:lineRule="exact"/>
        <w:rPr>
          <w:rFonts w:ascii="Calibri" w:cs="Calibri" w:eastAsia="Calibri" w:hAnsi="Calibri"/>
          <w:sz w:val="20"/>
          <w:szCs w:val="20"/>
          <w:color w:val="auto"/>
        </w:rPr>
      </w:pPr>
    </w:p>
    <w:p>
      <w:pPr>
        <w:ind w:left="520" w:hanging="486"/>
        <w:spacing w:after="0"/>
        <w:tabs>
          <w:tab w:leader="none" w:pos="520" w:val="left"/>
        </w:tabs>
        <w:numPr>
          <w:ilvl w:val="0"/>
          <w:numId w:val="60"/>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CONFIDENTIALITY GUIDELINES</w:t>
      </w:r>
    </w:p>
    <w:p>
      <w:pPr>
        <w:spacing w:after="0" w:line="196" w:lineRule="exact"/>
        <w:rPr>
          <w:sz w:val="20"/>
          <w:szCs w:val="20"/>
          <w:color w:val="auto"/>
        </w:rPr>
      </w:pPr>
    </w:p>
    <w:p>
      <w:pPr>
        <w:jc w:val="both"/>
        <w:ind w:left="40"/>
        <w:spacing w:after="0" w:line="202" w:lineRule="auto"/>
        <w:rPr>
          <w:sz w:val="20"/>
          <w:szCs w:val="20"/>
          <w:color w:val="auto"/>
        </w:rPr>
      </w:pPr>
      <w:r>
        <w:rPr>
          <w:rFonts w:ascii="Calibri" w:cs="Calibri" w:eastAsia="Calibri" w:hAnsi="Calibri"/>
          <w:sz w:val="20"/>
          <w:szCs w:val="20"/>
          <w:color w:val="auto"/>
        </w:rPr>
        <w:t xml:space="preserve">Securites laws, as well as this Policy and other GM policies, prohibit Insiders from disclosing Material Nonpublic Informaton concerning GM (or any other company to the extent such informaton is acquired in the course of employment with GM) to any other person (including other GM personnel), except when such disclosure is necessary to fulfll a business objectve of GM. However, such disclosures may be made </w:t>
      </w:r>
      <w:r>
        <w:rPr>
          <w:rFonts w:ascii="Calibri" w:cs="Calibri" w:eastAsia="Calibri" w:hAnsi="Calibri"/>
          <w:sz w:val="20"/>
          <w:szCs w:val="20"/>
          <w:u w:val="single" w:color="auto"/>
          <w:color w:val="auto"/>
        </w:rPr>
        <w:t>only</w:t>
      </w:r>
      <w:r>
        <w:rPr>
          <w:rFonts w:ascii="Calibri" w:cs="Calibri" w:eastAsia="Calibri" w:hAnsi="Calibri"/>
          <w:sz w:val="20"/>
          <w:szCs w:val="20"/>
          <w:color w:val="auto"/>
        </w:rPr>
        <w:t xml:space="preserve"> in accordance with GM’s disclosure policies outlined in “</w:t>
      </w:r>
      <w:r>
        <w:rPr>
          <w:rFonts w:ascii="Calibri" w:cs="Calibri" w:eastAsia="Calibri" w:hAnsi="Calibri"/>
          <w:sz w:val="20"/>
          <w:szCs w:val="20"/>
          <w:i w:val="1"/>
          <w:iCs w:val="1"/>
          <w:color w:val="auto"/>
        </w:rPr>
        <w:t>Winning with Integrity”</w:t>
      </w:r>
      <w:r>
        <w:rPr>
          <w:rFonts w:ascii="Calibri" w:cs="Calibri" w:eastAsia="Calibri" w:hAnsi="Calibri"/>
          <w:sz w:val="20"/>
          <w:szCs w:val="20"/>
          <w:color w:val="auto"/>
        </w:rPr>
        <w:t xml:space="preserve"> available on Socrates.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060"/>
          </w:cols>
          <w:pgMar w:left="400" w:top="1297" w:right="439" w:bottom="1440" w:gutter="0" w:footer="0" w:header="0"/>
        </w:sectPr>
      </w:pPr>
    </w:p>
    <w:bookmarkStart w:id="118" w:name="page119"/>
    <w:bookmarkEnd w:id="118"/>
    <w:p>
      <w:pPr>
        <w:ind w:left="520" w:hanging="486"/>
        <w:spacing w:after="0"/>
        <w:tabs>
          <w:tab w:leader="none" w:pos="520" w:val="left"/>
        </w:tabs>
        <w:numPr>
          <w:ilvl w:val="0"/>
          <w:numId w:val="61"/>
        </w:numPr>
        <w:rPr>
          <w:rFonts w:ascii="Calibri" w:cs="Calibri" w:eastAsia="Calibri" w:hAnsi="Calibri"/>
          <w:sz w:val="25"/>
          <w:szCs w:val="25"/>
          <w:b w:val="1"/>
          <w:bCs w:val="1"/>
          <w:color w:val="auto"/>
        </w:rPr>
      </w:pPr>
      <w:r>
        <w:rPr>
          <w:rFonts w:ascii="Calibri" w:cs="Calibri" w:eastAsia="Calibri" w:hAnsi="Calibri"/>
          <w:sz w:val="25"/>
          <w:szCs w:val="25"/>
          <w:b w:val="1"/>
          <w:bCs w:val="1"/>
          <w:color w:val="auto"/>
        </w:rPr>
        <w:t>POLICY INTERPRETATION AND AMENDMENTS</w:t>
      </w:r>
    </w:p>
    <w:p>
      <w:pPr>
        <w:spacing w:after="0" w:line="209" w:lineRule="exact"/>
        <w:rPr>
          <w:sz w:val="20"/>
          <w:szCs w:val="20"/>
          <w:color w:val="auto"/>
        </w:rPr>
      </w:pPr>
    </w:p>
    <w:p>
      <w:pPr>
        <w:jc w:val="both"/>
        <w:ind w:left="40"/>
        <w:spacing w:after="0" w:line="201" w:lineRule="auto"/>
        <w:rPr>
          <w:sz w:val="20"/>
          <w:szCs w:val="20"/>
          <w:color w:val="auto"/>
        </w:rPr>
      </w:pPr>
      <w:r>
        <w:rPr>
          <w:rFonts w:ascii="Calibri" w:cs="Calibri" w:eastAsia="Calibri" w:hAnsi="Calibri"/>
          <w:sz w:val="20"/>
          <w:szCs w:val="20"/>
          <w:color w:val="auto"/>
        </w:rPr>
        <w:t>The General Counsel and Corporate Secretary are responsible for interpretng and updatng this Policy as required. The General Counsel or Corporate Secretary may authorize deviatons in the procedures set forth in this Policy, provided that those deviatons are consistent with the general purpose of this Policy and applicable securites laws. Any such deviatons must be confrmed in writng. Any material amendment to the terms of this Policy must be approved by the General Counsel. This Policy replaces and supersedes GM’s previous Insider Trading Policy dated as of August 14, 2018.</w:t>
      </w:r>
    </w:p>
    <w:p>
      <w:pPr>
        <w:spacing w:after="0" w:line="324" w:lineRule="exact"/>
        <w:rPr>
          <w:sz w:val="20"/>
          <w:szCs w:val="20"/>
          <w:color w:val="auto"/>
        </w:rPr>
      </w:pPr>
    </w:p>
    <w:p>
      <w:pP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040"/>
          </w:cols>
          <w:pgMar w:left="400" w:top="1280" w:right="459" w:bottom="1440" w:gutter="0" w:footer="0" w:header="0"/>
        </w:sectPr>
      </w:pPr>
    </w:p>
    <w:bookmarkStart w:id="119" w:name="page120"/>
    <w:bookmarkEnd w:id="119"/>
    <w:p>
      <w:pPr>
        <w:ind w:left="10280"/>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393" w:lineRule="exact"/>
        <w:rPr>
          <w:sz w:val="20"/>
          <w:szCs w:val="20"/>
          <w:color w:val="auto"/>
        </w:rPr>
      </w:pPr>
    </w:p>
    <w:p>
      <w:pPr>
        <w:jc w:val="center"/>
        <w:ind w:right="-79"/>
        <w:spacing w:after="0"/>
        <w:rPr>
          <w:sz w:val="20"/>
          <w:szCs w:val="20"/>
          <w:color w:val="auto"/>
        </w:rPr>
      </w:pPr>
      <w:r>
        <w:rPr>
          <w:rFonts w:ascii="Calibri" w:cs="Calibri" w:eastAsia="Calibri" w:hAnsi="Calibri"/>
          <w:sz w:val="21"/>
          <w:szCs w:val="21"/>
          <w:b w:val="1"/>
          <w:bCs w:val="1"/>
          <w:color w:val="auto"/>
        </w:rPr>
        <w:t>SEC RULE 10B5-1 TRADING PLAN GUIDELINES</w:t>
      </w:r>
    </w:p>
    <w:p>
      <w:pPr>
        <w:spacing w:after="0" w:line="236" w:lineRule="exact"/>
        <w:rPr>
          <w:sz w:val="20"/>
          <w:szCs w:val="20"/>
          <w:color w:val="auto"/>
        </w:rPr>
      </w:pPr>
    </w:p>
    <w:p>
      <w:pPr>
        <w:ind w:left="80"/>
        <w:spacing w:after="0"/>
        <w:tabs>
          <w:tab w:leader="none" w:pos="380" w:val="left"/>
        </w:tabs>
        <w:rPr>
          <w:sz w:val="20"/>
          <w:szCs w:val="20"/>
          <w:color w:val="auto"/>
        </w:rPr>
      </w:pPr>
      <w:r>
        <w:rPr>
          <w:rFonts w:ascii="Calibri" w:cs="Calibri" w:eastAsia="Calibri" w:hAnsi="Calibri"/>
          <w:sz w:val="20"/>
          <w:szCs w:val="20"/>
          <w:b w:val="1"/>
          <w:bCs w:val="1"/>
          <w:color w:val="auto"/>
        </w:rPr>
        <w:t>1.</w:t>
      </w:r>
      <w:r>
        <w:rPr>
          <w:sz w:val="20"/>
          <w:szCs w:val="20"/>
          <w:color w:val="auto"/>
        </w:rPr>
        <w:tab/>
      </w:r>
      <w:r>
        <w:rPr>
          <w:rFonts w:ascii="Calibri" w:cs="Calibri" w:eastAsia="Calibri" w:hAnsi="Calibri"/>
          <w:sz w:val="19"/>
          <w:szCs w:val="19"/>
          <w:b w:val="1"/>
          <w:bCs w:val="1"/>
          <w:color w:val="auto"/>
        </w:rPr>
        <w:t>SUMMARY</w:t>
      </w:r>
    </w:p>
    <w:p>
      <w:pPr>
        <w:spacing w:after="0" w:line="210" w:lineRule="exact"/>
        <w:rPr>
          <w:sz w:val="20"/>
          <w:szCs w:val="20"/>
          <w:color w:val="auto"/>
        </w:rPr>
      </w:pPr>
    </w:p>
    <w:p>
      <w:pPr>
        <w:jc w:val="both"/>
        <w:ind w:left="80" w:right="40"/>
        <w:spacing w:after="0" w:line="204" w:lineRule="auto"/>
        <w:rPr>
          <w:sz w:val="20"/>
          <w:szCs w:val="20"/>
          <w:color w:val="auto"/>
        </w:rPr>
      </w:pPr>
      <w:r>
        <w:rPr>
          <w:rFonts w:ascii="Calibri" w:cs="Calibri" w:eastAsia="Calibri" w:hAnsi="Calibri"/>
          <w:sz w:val="20"/>
          <w:szCs w:val="20"/>
          <w:color w:val="auto"/>
        </w:rPr>
        <w:t>Under GM’s Insider Trading Policy, Secton 16 Ofcers are prohibited from transactng in GM Securites other than pursuant to an SEC Rule 10b5-1 trading plan (a “10b5-1 Trading Plan”) adopted in accordance with these guidelines. All other Insiders may, and are encouraged to, enter into 10b5-1 Trading Plans.</w:t>
      </w:r>
    </w:p>
    <w:p>
      <w:pPr>
        <w:spacing w:after="0" w:line="211" w:lineRule="exact"/>
        <w:rPr>
          <w:sz w:val="20"/>
          <w:szCs w:val="20"/>
          <w:color w:val="auto"/>
        </w:rPr>
      </w:pPr>
    </w:p>
    <w:p>
      <w:pPr>
        <w:jc w:val="both"/>
        <w:ind w:left="80" w:right="40"/>
        <w:spacing w:after="0" w:line="199" w:lineRule="auto"/>
        <w:rPr>
          <w:sz w:val="20"/>
          <w:szCs w:val="20"/>
          <w:color w:val="auto"/>
        </w:rPr>
      </w:pPr>
      <w:r>
        <w:rPr>
          <w:rFonts w:ascii="Calibri" w:cs="Calibri" w:eastAsia="Calibri" w:hAnsi="Calibri"/>
          <w:sz w:val="20"/>
          <w:szCs w:val="20"/>
          <w:color w:val="auto"/>
        </w:rPr>
        <w:t>Rule 10b5-1 provides a defense from insider trading liability. In order to be eligible to rely on this defense, a person must enter into a Rule 10b5-1 Trading Plan that meets the conditons specifed in Rule 10b5-1. Rule 10b5-1 presents an opportunity for Insiders to establish plans to sell or purchase GM Securites without the restrictons imposed by Trading Windows – even when in possession of Material Nonpublic Informaton concerning GM. Rule 10b5-1 only provides an “afrmatve defense” if there is an insider trading lawsuit. It does not prevent anyone from bringing a lawsuit, nor does it prevent the media from reportng on any transactons executed pursuant to a plan.</w:t>
      </w:r>
    </w:p>
    <w:p>
      <w:pPr>
        <w:spacing w:after="0" w:line="223" w:lineRule="exact"/>
        <w:rPr>
          <w:sz w:val="20"/>
          <w:szCs w:val="20"/>
          <w:color w:val="auto"/>
        </w:rPr>
      </w:pPr>
    </w:p>
    <w:p>
      <w:pPr>
        <w:jc w:val="both"/>
        <w:ind w:left="80" w:right="40"/>
        <w:spacing w:after="0" w:line="199" w:lineRule="auto"/>
        <w:rPr>
          <w:sz w:val="20"/>
          <w:szCs w:val="20"/>
          <w:color w:val="auto"/>
        </w:rPr>
      </w:pPr>
      <w:r>
        <w:rPr>
          <w:rFonts w:ascii="Calibri" w:cs="Calibri" w:eastAsia="Calibri" w:hAnsi="Calibri"/>
          <w:sz w:val="20"/>
          <w:szCs w:val="20"/>
          <w:color w:val="auto"/>
        </w:rPr>
        <w:t>You have the ultmate and exclusive responsibility for adhering to these guidelines and the requirements set forth herein. Any acton on the part of the Company, any member of the Securites Practce Team, or any other employee pursuant to these guidelines (or otherwise) does not in any way consttute legal advice or insulate you from liability under applicable securites laws. As such, if you violate these guidelines, the Company may take disciplinary acton, including dismissal for cause. You must notfy the Securites Practce Team if you become aware of a breach of these guidelines, either by you or by another person subject to these guidelines.</w:t>
      </w:r>
    </w:p>
    <w:p>
      <w:pPr>
        <w:spacing w:after="0" w:line="214" w:lineRule="exact"/>
        <w:rPr>
          <w:sz w:val="20"/>
          <w:szCs w:val="20"/>
          <w:color w:val="auto"/>
        </w:rPr>
      </w:pPr>
    </w:p>
    <w:p>
      <w:pPr>
        <w:ind w:left="400" w:hanging="327"/>
        <w:spacing w:after="0"/>
        <w:tabs>
          <w:tab w:leader="none" w:pos="400" w:val="left"/>
        </w:tabs>
        <w:numPr>
          <w:ilvl w:val="0"/>
          <w:numId w:val="6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TYPES OF TRADING PLANS</w:t>
      </w:r>
    </w:p>
    <w:p>
      <w:pPr>
        <w:spacing w:after="0" w:line="196" w:lineRule="exact"/>
        <w:rPr>
          <w:rFonts w:ascii="Calibri" w:cs="Calibri" w:eastAsia="Calibri" w:hAnsi="Calibri"/>
          <w:sz w:val="20"/>
          <w:szCs w:val="20"/>
          <w:b w:val="1"/>
          <w:bCs w:val="1"/>
          <w:color w:val="auto"/>
        </w:rPr>
      </w:pPr>
    </w:p>
    <w:p>
      <w:pPr>
        <w:ind w:left="720" w:hanging="322"/>
        <w:spacing w:after="0" w:line="202" w:lineRule="auto"/>
        <w:rPr>
          <w:rFonts w:ascii="Calibri" w:cs="Calibri" w:eastAsia="Calibri" w:hAnsi="Calibri"/>
          <w:sz w:val="20"/>
          <w:szCs w:val="20"/>
          <w:b w:val="1"/>
          <w:bCs w:val="1"/>
          <w:color w:val="auto"/>
        </w:rPr>
      </w:pPr>
      <w:r>
        <w:rPr>
          <w:rFonts w:ascii="Calibri" w:cs="Calibri" w:eastAsia="Calibri" w:hAnsi="Calibri"/>
          <w:sz w:val="20"/>
          <w:szCs w:val="20"/>
          <w:b w:val="1"/>
          <w:bCs w:val="1"/>
          <w:color w:val="auto"/>
        </w:rPr>
        <w:t>2.1 Plans with Solium (a/k/a Shareworks)</w:t>
      </w:r>
      <w:r>
        <w:rPr>
          <w:rFonts w:ascii="Calibri" w:cs="Calibri" w:eastAsia="Calibri" w:hAnsi="Calibri"/>
          <w:sz w:val="20"/>
          <w:szCs w:val="20"/>
          <w:color w:val="auto"/>
        </w:rPr>
        <w:t>. Insiders who partcipate in a GM stock incentve plan have accounts maintained by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Solium Capital (“Solium”). GM’s Securites Practce Team has prepared a form of 10b5-1 Trading Plan that Insiders can use to establish arrangements to sell GM Securites held in their Solium accounts. This form of 10b5-1 Trading Plan will be provided upon request to the Securites Practce team (preclearance@gm.com).</w:t>
      </w:r>
    </w:p>
    <w:p>
      <w:pPr>
        <w:spacing w:after="0" w:line="226" w:lineRule="exact"/>
        <w:rPr>
          <w:rFonts w:ascii="Calibri" w:cs="Calibri" w:eastAsia="Calibri" w:hAnsi="Calibri"/>
          <w:sz w:val="20"/>
          <w:szCs w:val="20"/>
          <w:b w:val="1"/>
          <w:bCs w:val="1"/>
          <w:color w:val="auto"/>
        </w:rPr>
      </w:pPr>
    </w:p>
    <w:p>
      <w:pPr>
        <w:ind w:left="720" w:hanging="322"/>
        <w:spacing w:after="0" w:line="199" w:lineRule="auto"/>
        <w:rPr>
          <w:rFonts w:ascii="Calibri" w:cs="Calibri" w:eastAsia="Calibri" w:hAnsi="Calibri"/>
          <w:sz w:val="20"/>
          <w:szCs w:val="20"/>
          <w:b w:val="1"/>
          <w:bCs w:val="1"/>
          <w:color w:val="auto"/>
        </w:rPr>
      </w:pPr>
      <w:r>
        <w:rPr>
          <w:rFonts w:ascii="Calibri" w:cs="Calibri" w:eastAsia="Calibri" w:hAnsi="Calibri"/>
          <w:sz w:val="20"/>
          <w:szCs w:val="20"/>
          <w:b w:val="1"/>
          <w:bCs w:val="1"/>
          <w:color w:val="auto"/>
        </w:rPr>
        <w:t>2.2 Plans with Other Brokers</w:t>
      </w:r>
      <w:r>
        <w:rPr>
          <w:rFonts w:ascii="Calibri" w:cs="Calibri" w:eastAsia="Calibri" w:hAnsi="Calibri"/>
          <w:sz w:val="20"/>
          <w:szCs w:val="20"/>
          <w:color w:val="auto"/>
        </w:rPr>
        <w:t>. Insiders may also have accounts with traditonal brokers (</w:t>
      </w:r>
      <w:r>
        <w:rPr>
          <w:rFonts w:ascii="Calibri" w:cs="Calibri" w:eastAsia="Calibri" w:hAnsi="Calibri"/>
          <w:sz w:val="20"/>
          <w:szCs w:val="20"/>
          <w:i w:val="1"/>
          <w:iCs w:val="1"/>
          <w:color w:val="auto"/>
        </w:rPr>
        <w:t>e.g.</w:t>
      </w:r>
      <w:r>
        <w:rPr>
          <w:rFonts w:ascii="Calibri" w:cs="Calibri" w:eastAsia="Calibri" w:hAnsi="Calibri"/>
          <w:sz w:val="20"/>
          <w:szCs w:val="20"/>
          <w:color w:val="auto"/>
        </w:rPr>
        <w:t>, Fidelity, etc.). Most traditonal brokers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ofer a form of 10b5-1 Trading Plan that Insiders can use to establish arrangements to purchase or sell GM Securites. Any such form of 10b5-1 Trading Plan must be reviewed and approved by the Securites Practce Team. The Securites Practce Team may require that your broker modify its form of 10b5-1 Trading Plan to address restrictons imposed by these guidelines. If you are interested in adoptng a 10b5-1 Trading Plan through your broker, please e-mail your broker and copy the Securites Practce Team (</w:t>
      </w:r>
      <w:r>
        <w:rPr>
          <w:rFonts w:ascii="Calibri" w:cs="Calibri" w:eastAsia="Calibri" w:hAnsi="Calibri"/>
          <w:sz w:val="20"/>
          <w:szCs w:val="20"/>
          <w:i w:val="1"/>
          <w:iCs w:val="1"/>
          <w:color w:val="auto"/>
        </w:rPr>
        <w:t>preclearance@gm.com</w:t>
      </w:r>
      <w:r>
        <w:rPr>
          <w:rFonts w:ascii="Calibri" w:cs="Calibri" w:eastAsia="Calibri" w:hAnsi="Calibri"/>
          <w:sz w:val="20"/>
          <w:szCs w:val="20"/>
          <w:color w:val="auto"/>
        </w:rPr>
        <w:t>).</w:t>
      </w:r>
    </w:p>
    <w:p>
      <w:pPr>
        <w:spacing w:after="0" w:line="199" w:lineRule="exact"/>
        <w:rPr>
          <w:rFonts w:ascii="Calibri" w:cs="Calibri" w:eastAsia="Calibri" w:hAnsi="Calibri"/>
          <w:sz w:val="20"/>
          <w:szCs w:val="20"/>
          <w:b w:val="1"/>
          <w:bCs w:val="1"/>
          <w:color w:val="auto"/>
        </w:rPr>
      </w:pPr>
    </w:p>
    <w:p>
      <w:pPr>
        <w:ind w:left="380" w:hanging="308"/>
        <w:spacing w:after="0"/>
        <w:tabs>
          <w:tab w:leader="none" w:pos="380" w:val="left"/>
        </w:tabs>
        <w:numPr>
          <w:ilvl w:val="0"/>
          <w:numId w:val="6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REQUIREMENTS FOR ESTABLISHING AND TRADING UNDER A 10B5-1 TRADING PLAN</w:t>
      </w:r>
    </w:p>
    <w:p>
      <w:pPr>
        <w:spacing w:after="0" w:line="199"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3.1 Minimum Plan Requirements</w:t>
      </w:r>
      <w:r>
        <w:rPr>
          <w:rFonts w:ascii="Calibri" w:cs="Calibri" w:eastAsia="Calibri" w:hAnsi="Calibri"/>
          <w:sz w:val="20"/>
          <w:szCs w:val="20"/>
          <w:color w:val="auto"/>
        </w:rPr>
        <w:t>. Your 10b5-1 Trading Plan must:</w:t>
      </w:r>
    </w:p>
    <w:p>
      <w:pPr>
        <w:spacing w:after="0" w:line="210" w:lineRule="exact"/>
        <w:rPr>
          <w:sz w:val="20"/>
          <w:szCs w:val="20"/>
          <w:color w:val="auto"/>
        </w:rPr>
      </w:pPr>
    </w:p>
    <w:p>
      <w:pPr>
        <w:ind w:left="720" w:right="300" w:hanging="324"/>
        <w:spacing w:after="0" w:line="207" w:lineRule="auto"/>
        <w:tabs>
          <w:tab w:leader="none" w:pos="720" w:val="left"/>
        </w:tabs>
        <w:numPr>
          <w:ilvl w:val="0"/>
          <w:numId w:val="63"/>
        </w:numPr>
        <w:rPr>
          <w:rFonts w:ascii="Calibri" w:cs="Calibri" w:eastAsia="Calibri" w:hAnsi="Calibri"/>
          <w:sz w:val="20"/>
          <w:szCs w:val="20"/>
          <w:color w:val="auto"/>
        </w:rPr>
      </w:pPr>
      <w:r>
        <w:rPr>
          <w:rFonts w:ascii="Calibri" w:cs="Calibri" w:eastAsia="Calibri" w:hAnsi="Calibri"/>
          <w:sz w:val="20"/>
          <w:szCs w:val="20"/>
          <w:b w:val="1"/>
          <w:bCs w:val="1"/>
          <w:color w:val="auto"/>
        </w:rPr>
        <w:t>Be entered into in good faith and during an open Trading Window at a tme when you do not possess Material Nonpublic Informaton concerning GM</w:t>
      </w:r>
      <w:r>
        <w:rPr>
          <w:rFonts w:ascii="Calibri" w:cs="Calibri" w:eastAsia="Calibri" w:hAnsi="Calibri"/>
          <w:sz w:val="20"/>
          <w:szCs w:val="20"/>
          <w:color w:val="auto"/>
        </w:rPr>
        <w:t>. Your 10b5-1 Trading Plan may not be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A-1</w:t>
      </w:r>
    </w:p>
    <w:p>
      <w:pPr>
        <w:sectPr>
          <w:pgSz w:w="11900" w:h="16838" w:orient="portrait"/>
          <w:cols w:equalWidth="0" w:num="1">
            <w:col w:w="11100"/>
          </w:cols>
          <w:pgMar w:left="360" w:top="763" w:right="439" w:bottom="1440" w:gutter="0" w:footer="0" w:header="0"/>
        </w:sectPr>
      </w:pPr>
    </w:p>
    <w:bookmarkStart w:id="120" w:name="page121"/>
    <w:bookmarkEnd w:id="120"/>
    <w:p>
      <w:pPr>
        <w:jc w:val="both"/>
        <w:ind w:left="720"/>
        <w:spacing w:after="0" w:line="208" w:lineRule="auto"/>
        <w:rPr>
          <w:sz w:val="20"/>
          <w:szCs w:val="20"/>
          <w:color w:val="auto"/>
        </w:rPr>
      </w:pPr>
      <w:r>
        <w:rPr>
          <w:rFonts w:ascii="Calibri" w:cs="Calibri" w:eastAsia="Calibri" w:hAnsi="Calibri"/>
          <w:sz w:val="20"/>
          <w:szCs w:val="20"/>
          <w:color w:val="auto"/>
        </w:rPr>
        <w:t>entered into as part of a plan or scheme to otherwise trade on the basis of Material Nonpublic Informaton concerning GM. To comply with these requirements, you must complete a preclearance interview with the Securites Practce Team prior to entering into your 10b5-1 Trading Plan.</w:t>
      </w:r>
    </w:p>
    <w:p>
      <w:pPr>
        <w:spacing w:after="0" w:line="212" w:lineRule="exact"/>
        <w:rPr>
          <w:sz w:val="20"/>
          <w:szCs w:val="20"/>
          <w:color w:val="auto"/>
        </w:rPr>
      </w:pPr>
    </w:p>
    <w:p>
      <w:pPr>
        <w:ind w:left="720" w:right="20" w:hanging="324"/>
        <w:spacing w:after="0" w:line="213" w:lineRule="auto"/>
        <w:tabs>
          <w:tab w:leader="none" w:pos="715"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Be in writng and preapproved by the Securites Practce Team</w:t>
      </w:r>
      <w:r>
        <w:rPr>
          <w:rFonts w:ascii="Calibri" w:cs="Calibri" w:eastAsia="Calibri" w:hAnsi="Calibri"/>
          <w:sz w:val="20"/>
          <w:szCs w:val="20"/>
          <w:color w:val="auto"/>
        </w:rPr>
        <w:t>. The Securites Practce Team must approve your writen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10b5-1 Trading Plan before you may enter into it.</w:t>
      </w:r>
    </w:p>
    <w:p>
      <w:pPr>
        <w:spacing w:after="0" w:line="211" w:lineRule="exact"/>
        <w:rPr>
          <w:rFonts w:ascii="Calibri" w:cs="Calibri" w:eastAsia="Calibri" w:hAnsi="Calibri"/>
          <w:sz w:val="20"/>
          <w:szCs w:val="20"/>
          <w:color w:val="auto"/>
        </w:rPr>
      </w:pPr>
    </w:p>
    <w:p>
      <w:pPr>
        <w:jc w:val="both"/>
        <w:ind w:left="720" w:hanging="324"/>
        <w:spacing w:after="0" w:line="202" w:lineRule="auto"/>
        <w:tabs>
          <w:tab w:leader="none" w:pos="721"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Include appropriate trading instructons</w:t>
      </w:r>
      <w:r>
        <w:rPr>
          <w:rFonts w:ascii="Calibri" w:cs="Calibri" w:eastAsia="Calibri" w:hAnsi="Calibri"/>
          <w:sz w:val="20"/>
          <w:szCs w:val="20"/>
          <w:color w:val="auto"/>
        </w:rPr>
        <w:t>. You may either specify the price, number of shares and date of trades ahead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tme or provide a formula or other instructons by which your broker can determine the price, amount and date of trades. Alternatvely, you may simply authorize your broker to make purchase and sale decisions on your behalf without any control or infuence by you.</w:t>
      </w:r>
    </w:p>
    <w:p>
      <w:pPr>
        <w:spacing w:after="0" w:line="212" w:lineRule="exact"/>
        <w:rPr>
          <w:rFonts w:ascii="Calibri" w:cs="Calibri" w:eastAsia="Calibri" w:hAnsi="Calibri"/>
          <w:sz w:val="20"/>
          <w:szCs w:val="20"/>
          <w:color w:val="auto"/>
        </w:rPr>
      </w:pPr>
    </w:p>
    <w:p>
      <w:pPr>
        <w:jc w:val="both"/>
        <w:ind w:left="720" w:hanging="323"/>
        <w:spacing w:after="0" w:line="208" w:lineRule="auto"/>
        <w:tabs>
          <w:tab w:leader="none" w:pos="714"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For Secton 16 Ofcers only, include closed trading windows for the fve trading days before and one trading day afer the release of quarterly earnings</w:t>
      </w:r>
      <w:r>
        <w:rPr>
          <w:rFonts w:ascii="Calibri" w:cs="Calibri" w:eastAsia="Calibri" w:hAnsi="Calibri"/>
          <w:sz w:val="20"/>
          <w:szCs w:val="20"/>
          <w:color w:val="auto"/>
        </w:rPr>
        <w:t>. Because transactons by Secton 16 Ofcers are reported publicly, this proscripton is intended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avoid the disclosure of trades in the immediate run up to and afermath of GM’s announcement of quarterly earnings.</w:t>
      </w:r>
    </w:p>
    <w:p>
      <w:pPr>
        <w:spacing w:after="0" w:line="211" w:lineRule="exact"/>
        <w:rPr>
          <w:rFonts w:ascii="Calibri" w:cs="Calibri" w:eastAsia="Calibri" w:hAnsi="Calibri"/>
          <w:sz w:val="20"/>
          <w:szCs w:val="20"/>
          <w:color w:val="auto"/>
        </w:rPr>
      </w:pPr>
    </w:p>
    <w:p>
      <w:pPr>
        <w:jc w:val="both"/>
        <w:ind w:left="720" w:hanging="323"/>
        <w:spacing w:after="0" w:line="202" w:lineRule="auto"/>
        <w:tabs>
          <w:tab w:leader="none" w:pos="723"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Prohibit you from exercising any infuence over the amount of securites to be traded, the price at which they are to be traded, or the date of the trade. </w:t>
      </w:r>
      <w:r>
        <w:rPr>
          <w:rFonts w:ascii="Calibri" w:cs="Calibri" w:eastAsia="Calibri" w:hAnsi="Calibri"/>
          <w:sz w:val="20"/>
          <w:szCs w:val="20"/>
          <w:color w:val="auto"/>
        </w:rPr>
        <w:t>You may delegate discretonary authority to your broker, but in no event may you consult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your broker regarding executng transactons, or otherwise disclose informaton to your broker concerning GM that might infuence the executon of transactons, under your 10b5-1 Trading Plan afer it commences.</w:t>
      </w:r>
    </w:p>
    <w:p>
      <w:pPr>
        <w:spacing w:after="0" w:line="212" w:lineRule="exact"/>
        <w:rPr>
          <w:rFonts w:ascii="Calibri" w:cs="Calibri" w:eastAsia="Calibri" w:hAnsi="Calibri"/>
          <w:sz w:val="20"/>
          <w:szCs w:val="20"/>
          <w:color w:val="auto"/>
        </w:rPr>
      </w:pPr>
    </w:p>
    <w:p>
      <w:pPr>
        <w:jc w:val="both"/>
        <w:ind w:left="720" w:hanging="324"/>
        <w:spacing w:after="0" w:line="197" w:lineRule="auto"/>
        <w:tabs>
          <w:tab w:leader="none" w:pos="698"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Include a minimum cooling of period. </w:t>
      </w:r>
      <w:r>
        <w:rPr>
          <w:rFonts w:ascii="Calibri" w:cs="Calibri" w:eastAsia="Calibri" w:hAnsi="Calibri"/>
          <w:sz w:val="20"/>
          <w:szCs w:val="20"/>
          <w:color w:val="auto"/>
        </w:rPr>
        <w:t>Specifcally, if you are a Secton 16 Ofcer or a Director, trading under your 10b5-1</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Trading Plan may not begin untl afer the expiraton of a cooling of period ending on the later of (1) 90 days afer your adopton of your 10b5-1 Trading Plan or (2) two business days following the disclosure of GM’s fnancial results on Form 10-Q or Form 10-K, as applicable, for the fscal quarter in which your 10b5-1 Trading Plan was adopted, up to a maximum of 120 days. For all other persons, the 10b5-1 Trading Plan may not begin untl afer the expiraton of a 30-day cooling-of period afer your adopton of your 10b5-1 Trading Plan. A cooling of period is required by SEC rules and designed to minimize the risk that a claim will be made that you were aware of Material Nonpublic Informaton concerning GM when you entered into the 10b5-1 Trading Plan and that the plan was not entered into in good faith.</w:t>
      </w:r>
    </w:p>
    <w:p>
      <w:pPr>
        <w:spacing w:after="0" w:line="224" w:lineRule="exact"/>
        <w:rPr>
          <w:rFonts w:ascii="Calibri" w:cs="Calibri" w:eastAsia="Calibri" w:hAnsi="Calibri"/>
          <w:sz w:val="20"/>
          <w:szCs w:val="20"/>
          <w:color w:val="auto"/>
        </w:rPr>
      </w:pPr>
    </w:p>
    <w:p>
      <w:pPr>
        <w:jc w:val="both"/>
        <w:ind w:left="720" w:right="20" w:hanging="324"/>
        <w:spacing w:after="0" w:line="202" w:lineRule="auto"/>
        <w:tabs>
          <w:tab w:leader="none" w:pos="718"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Include an expiraton date that is at least six months but not more than 18 months from the efectve date of your Trading Plan</w:t>
      </w:r>
      <w:r>
        <w:rPr>
          <w:rFonts w:ascii="Calibri" w:cs="Calibri" w:eastAsia="Calibri" w:hAnsi="Calibri"/>
          <w:sz w:val="20"/>
          <w:szCs w:val="20"/>
          <w:color w:val="auto"/>
        </w:rPr>
        <w:t>. We will not approve plans with terms less of than 6 months or in excess of 18 months. Shorter-term plans may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viewed as an atempt to make advantageous short-term trades, and longer-term plans are likely to have to be amended or terminated, which defeats the ultmate purpose of 10b5-1 Trading Plans.</w:t>
      </w:r>
    </w:p>
    <w:p>
      <w:pPr>
        <w:spacing w:after="0" w:line="188" w:lineRule="exact"/>
        <w:rPr>
          <w:rFonts w:ascii="Calibri" w:cs="Calibri" w:eastAsia="Calibri" w:hAnsi="Calibri"/>
          <w:sz w:val="20"/>
          <w:szCs w:val="20"/>
          <w:color w:val="auto"/>
        </w:rPr>
      </w:pPr>
    </w:p>
    <w:p>
      <w:pPr>
        <w:ind w:left="920" w:hanging="524"/>
        <w:spacing w:after="0"/>
        <w:tabs>
          <w:tab w:leader="none" w:pos="920" w:val="left"/>
        </w:tabs>
        <w:numPr>
          <w:ilvl w:val="0"/>
          <w:numId w:val="64"/>
        </w:numPr>
        <w:rPr>
          <w:rFonts w:ascii="Calibri" w:cs="Calibri" w:eastAsia="Calibri" w:hAnsi="Calibri"/>
          <w:sz w:val="20"/>
          <w:szCs w:val="20"/>
          <w:color w:val="auto"/>
        </w:rPr>
      </w:pPr>
      <w:r>
        <w:rPr>
          <w:rFonts w:ascii="Calibri" w:cs="Calibri" w:eastAsia="Calibri" w:hAnsi="Calibri"/>
          <w:sz w:val="20"/>
          <w:szCs w:val="20"/>
          <w:b w:val="1"/>
          <w:bCs w:val="1"/>
          <w:color w:val="auto"/>
        </w:rPr>
        <w:t>Include representatons at entry</w:t>
      </w:r>
      <w:r>
        <w:rPr>
          <w:rFonts w:ascii="Calibri" w:cs="Calibri" w:eastAsia="Calibri" w:hAnsi="Calibri"/>
          <w:sz w:val="20"/>
          <w:szCs w:val="20"/>
          <w:color w:val="auto"/>
        </w:rPr>
        <w:t>. Your 10b5-1 Trading Plan must include representatons that, at the tme of adopton, you</w:t>
      </w:r>
    </w:p>
    <w:p>
      <w:pPr>
        <w:ind w:left="720" w:right="20" w:hanging="1"/>
        <w:spacing w:after="0" w:line="198" w:lineRule="auto"/>
        <w:tabs>
          <w:tab w:leader="none" w:pos="1028" w:val="left"/>
        </w:tabs>
        <w:numPr>
          <w:ilvl w:val="1"/>
          <w:numId w:val="64"/>
        </w:numPr>
        <w:rPr>
          <w:rFonts w:ascii="Calibri" w:cs="Calibri" w:eastAsia="Calibri" w:hAnsi="Calibri"/>
          <w:sz w:val="20"/>
          <w:szCs w:val="20"/>
          <w:color w:val="auto"/>
        </w:rPr>
      </w:pPr>
      <w:r>
        <w:rPr>
          <w:rFonts w:ascii="Calibri" w:cs="Calibri" w:eastAsia="Calibri" w:hAnsi="Calibri"/>
          <w:sz w:val="20"/>
          <w:szCs w:val="20"/>
          <w:color w:val="auto"/>
        </w:rPr>
        <w:t>are not aware of Material Nonpublic Informaton about GM or its securites and (2) you are adoptng the contract, instructon or plan in good faith and not as part of plan or scheme to evade the prohibitons of SEC Rule 10b5-1.</w:t>
      </w:r>
    </w:p>
    <w:p>
      <w:pPr>
        <w:spacing w:after="0" w:line="197" w:lineRule="exact"/>
        <w:rPr>
          <w:sz w:val="20"/>
          <w:szCs w:val="20"/>
          <w:color w:val="auto"/>
        </w:rPr>
      </w:pPr>
    </w:p>
    <w:p>
      <w:pPr>
        <w:jc w:val="both"/>
        <w:ind w:left="400" w:hanging="321"/>
        <w:spacing w:after="0" w:line="201" w:lineRule="auto"/>
        <w:rPr>
          <w:sz w:val="20"/>
          <w:szCs w:val="20"/>
          <w:color w:val="auto"/>
        </w:rPr>
      </w:pPr>
      <w:r>
        <w:rPr>
          <w:rFonts w:ascii="Calibri" w:cs="Calibri" w:eastAsia="Calibri" w:hAnsi="Calibri"/>
          <w:sz w:val="20"/>
          <w:szCs w:val="20"/>
          <w:b w:val="1"/>
          <w:bCs w:val="1"/>
          <w:color w:val="auto"/>
        </w:rPr>
        <w:t>3.2 Trading Outside Your 10b5-1 Trading Plan</w:t>
      </w:r>
      <w:r>
        <w:rPr>
          <w:rFonts w:ascii="Calibri" w:cs="Calibri" w:eastAsia="Calibri" w:hAnsi="Calibri"/>
          <w:sz w:val="20"/>
          <w:szCs w:val="20"/>
          <w:color w:val="auto"/>
        </w:rPr>
        <w:t>. You may only purchase or sell GM Securites outside of your 10b5-1 Trading Plan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accordance with our Insider Trading Policy. In additon, you may not buy or sell GM Securites in an efort to use a hedging strategy to ofset your plan trades while a plan is in efect. Any trading outside of your 10b5-1 Trading Plan will be subject to heightened scrutny for potental hedging and, depending on the circumstances, it may be advisable not to engage in </w:t>
      </w:r>
      <w:r>
        <w:rPr>
          <w:rFonts w:ascii="Calibri" w:cs="Calibri" w:eastAsia="Calibri" w:hAnsi="Calibri"/>
          <w:sz w:val="20"/>
          <w:szCs w:val="20"/>
          <w:u w:val="single" w:color="auto"/>
          <w:color w:val="auto"/>
        </w:rPr>
        <w:t>any</w:t>
      </w:r>
      <w:r>
        <w:rPr>
          <w:rFonts w:ascii="Calibri" w:cs="Calibri" w:eastAsia="Calibri" w:hAnsi="Calibri"/>
          <w:sz w:val="20"/>
          <w:szCs w:val="20"/>
          <w:color w:val="auto"/>
        </w:rPr>
        <w:t xml:space="preserve"> trading outside the plan.</w:t>
      </w:r>
    </w:p>
    <w:p>
      <w:pPr>
        <w:spacing w:after="0" w:line="214" w:lineRule="exact"/>
        <w:rPr>
          <w:sz w:val="20"/>
          <w:szCs w:val="20"/>
          <w:color w:val="auto"/>
        </w:rPr>
      </w:pPr>
    </w:p>
    <w:p>
      <w:pPr>
        <w:jc w:val="both"/>
        <w:ind w:left="400" w:right="20" w:hanging="321"/>
        <w:spacing w:after="0" w:line="207" w:lineRule="auto"/>
        <w:rPr>
          <w:sz w:val="20"/>
          <w:szCs w:val="20"/>
          <w:color w:val="auto"/>
        </w:rPr>
      </w:pPr>
      <w:r>
        <w:rPr>
          <w:rFonts w:ascii="Calibri" w:cs="Calibri" w:eastAsia="Calibri" w:hAnsi="Calibri"/>
          <w:sz w:val="20"/>
          <w:szCs w:val="20"/>
          <w:b w:val="1"/>
          <w:bCs w:val="1"/>
          <w:color w:val="auto"/>
        </w:rPr>
        <w:t xml:space="preserve">3.3 Limit on Overlapping Plans </w:t>
      </w:r>
      <w:r>
        <w:rPr>
          <w:rFonts w:ascii="Calibri" w:cs="Calibri" w:eastAsia="Calibri" w:hAnsi="Calibri"/>
          <w:sz w:val="20"/>
          <w:szCs w:val="20"/>
          <w:color w:val="auto"/>
        </w:rPr>
        <w:t>. You may not have more than one 10b5-1 Trading Plan outstanding at the same tme, except in limited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circumstanced pursuant to Rule 10b5-1 and subject in all cases to preapproval by the Securites Practce Team.</w:t>
      </w:r>
    </w:p>
    <w:p>
      <w:pPr>
        <w:spacing w:after="0" w:line="210" w:lineRule="exact"/>
        <w:rPr>
          <w:sz w:val="20"/>
          <w:szCs w:val="20"/>
          <w:color w:val="auto"/>
        </w:rPr>
      </w:pPr>
    </w:p>
    <w:p>
      <w:pPr>
        <w:jc w:val="both"/>
        <w:ind w:left="400" w:right="20" w:hanging="321"/>
        <w:spacing w:after="0" w:line="213" w:lineRule="auto"/>
        <w:rPr>
          <w:sz w:val="20"/>
          <w:szCs w:val="20"/>
          <w:color w:val="auto"/>
        </w:rPr>
      </w:pPr>
      <w:r>
        <w:rPr>
          <w:rFonts w:ascii="Calibri" w:cs="Calibri" w:eastAsia="Calibri" w:hAnsi="Calibri"/>
          <w:sz w:val="20"/>
          <w:szCs w:val="20"/>
          <w:b w:val="1"/>
          <w:bCs w:val="1"/>
          <w:color w:val="auto"/>
        </w:rPr>
        <w:t>3.4 Limit on “Single Trade” Plans</w:t>
      </w:r>
      <w:r>
        <w:rPr>
          <w:rFonts w:ascii="Calibri" w:cs="Calibri" w:eastAsia="Calibri" w:hAnsi="Calibri"/>
          <w:sz w:val="20"/>
          <w:szCs w:val="20"/>
          <w:color w:val="auto"/>
        </w:rPr>
        <w:t>. Subject to and in accordance with the terms of Rule 10b5-1, you may not have more than one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“single trade” 10b5-1 Trading Plan during any 12-month period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color w:val="auto"/>
        </w:rPr>
        <w:t>A-2</w:t>
      </w:r>
    </w:p>
    <w:p>
      <w:pPr>
        <w:sectPr>
          <w:pgSz w:w="11900" w:h="16838" w:orient="portrait"/>
          <w:cols w:equalWidth="0" w:num="1">
            <w:col w:w="11000"/>
          </w:cols>
          <w:pgMar w:left="360" w:top="1297" w:right="539" w:bottom="1440" w:gutter="0" w:footer="0" w:header="0"/>
        </w:sectPr>
      </w:pPr>
    </w:p>
    <w:bookmarkStart w:id="121" w:name="page122"/>
    <w:bookmarkEnd w:id="121"/>
    <w:p>
      <w:pPr>
        <w:jc w:val="both"/>
        <w:ind w:left="400" w:hanging="321"/>
        <w:spacing w:after="0" w:line="197" w:lineRule="auto"/>
        <w:rPr>
          <w:sz w:val="20"/>
          <w:szCs w:val="20"/>
          <w:color w:val="auto"/>
        </w:rPr>
      </w:pPr>
      <w:r>
        <w:rPr>
          <w:rFonts w:ascii="Calibri" w:cs="Calibri" w:eastAsia="Calibri" w:hAnsi="Calibri"/>
          <w:sz w:val="20"/>
          <w:szCs w:val="20"/>
          <w:b w:val="1"/>
          <w:bCs w:val="1"/>
          <w:color w:val="auto"/>
        </w:rPr>
        <w:t>3.5 Amendment, Suspension or Terminaton of the Trading Plan</w:t>
      </w:r>
      <w:r>
        <w:rPr>
          <w:rFonts w:ascii="Calibri" w:cs="Calibri" w:eastAsia="Calibri" w:hAnsi="Calibri"/>
          <w:sz w:val="20"/>
          <w:szCs w:val="20"/>
          <w:color w:val="auto"/>
        </w:rPr>
        <w:t>. Amendments, suspensions, and terminatons will be viewed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hindsight and could call into queston whether the 10b5-1 Trading Plan was entered into in good faith. As a result, amendments, suspensions, and terminatons of 10b5-1 Trading Plans require preapproval of the Securites Practce Team, which will inquire into the change in circumstances that has occurred since the incepton of the plan that is giving rise to the requested amendment, suspension, or terminaton. Scheduled sales or purchases of GM Securites pursuant to your 10b5-1 Trading Plan will not be halted during the pendency of your amendment, suspension, or terminaton request. The Company has the right at any tme to require additonal and/or diferent requirements in connecton with the amendment, suspension, or terminaton of a trading plan in order to protect you and the Company from potental liability. Further, your 10b5-1 Trading Plan may be terminated or suspended by the Company at any tme and for any reason. In additon, you may voluntarily amend, suspend or terminate your</w:t>
      </w:r>
    </w:p>
    <w:p>
      <w:pPr>
        <w:ind w:left="400"/>
        <w:spacing w:after="0" w:line="200" w:lineRule="auto"/>
        <w:rPr>
          <w:sz w:val="20"/>
          <w:szCs w:val="20"/>
          <w:color w:val="auto"/>
        </w:rPr>
      </w:pPr>
      <w:r>
        <w:rPr>
          <w:rFonts w:ascii="Calibri" w:cs="Calibri" w:eastAsia="Calibri" w:hAnsi="Calibri"/>
          <w:sz w:val="20"/>
          <w:szCs w:val="20"/>
          <w:color w:val="auto"/>
        </w:rPr>
        <w:t>10b5-1 Trading Plan, subject to the following conditons:</w:t>
      </w:r>
    </w:p>
    <w:p>
      <w:pPr>
        <w:spacing w:after="0" w:line="210" w:lineRule="exact"/>
        <w:rPr>
          <w:sz w:val="20"/>
          <w:szCs w:val="20"/>
          <w:color w:val="auto"/>
        </w:rPr>
      </w:pPr>
    </w:p>
    <w:p>
      <w:pPr>
        <w:ind w:left="720" w:right="20" w:hanging="324"/>
        <w:spacing w:after="0" w:line="213" w:lineRule="auto"/>
        <w:tabs>
          <w:tab w:leader="none" w:pos="72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You may only amend, suspend or terminate your 10b5-1 Trading Plan during a Trading Window and following preclearance by the Securites Practce Team.</w:t>
      </w:r>
    </w:p>
    <w:p>
      <w:pPr>
        <w:spacing w:after="0" w:line="198" w:lineRule="exact"/>
        <w:rPr>
          <w:rFonts w:ascii="Calibri" w:cs="Calibri" w:eastAsia="Calibri" w:hAnsi="Calibri"/>
          <w:sz w:val="20"/>
          <w:szCs w:val="20"/>
          <w:color w:val="auto"/>
        </w:rPr>
      </w:pPr>
    </w:p>
    <w:p>
      <w:pPr>
        <w:ind w:left="720" w:right="20" w:hanging="324"/>
        <w:spacing w:after="0" w:line="213" w:lineRule="auto"/>
        <w:tabs>
          <w:tab w:leader="none" w:pos="715"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You may not amend, suspend or terminate your 10b5-1 Trading Plan if at the tme of the amendment, suspension or terminaton you possess Material Nonpublic Informaton concerning GM.</w:t>
      </w:r>
    </w:p>
    <w:p>
      <w:pPr>
        <w:spacing w:after="0" w:line="211" w:lineRule="exact"/>
        <w:rPr>
          <w:rFonts w:ascii="Calibri" w:cs="Calibri" w:eastAsia="Calibri" w:hAnsi="Calibri"/>
          <w:sz w:val="20"/>
          <w:szCs w:val="20"/>
          <w:color w:val="auto"/>
        </w:rPr>
      </w:pPr>
    </w:p>
    <w:p>
      <w:pPr>
        <w:ind w:left="720" w:hanging="324"/>
        <w:spacing w:after="0" w:line="207" w:lineRule="auto"/>
        <w:tabs>
          <w:tab w:leader="none" w:pos="722"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You must sign a certfcate in favor of the Company and your broker (or Solium) afrmatvely statng that you do not possess Material Nonpublic Informaton concerning GM at the tme of the amendment, suspension or terminaton.</w:t>
      </w:r>
    </w:p>
    <w:p>
      <w:pPr>
        <w:spacing w:after="0" w:line="213" w:lineRule="exact"/>
        <w:rPr>
          <w:rFonts w:ascii="Calibri" w:cs="Calibri" w:eastAsia="Calibri" w:hAnsi="Calibri"/>
          <w:sz w:val="20"/>
          <w:szCs w:val="20"/>
          <w:color w:val="auto"/>
        </w:rPr>
      </w:pPr>
    </w:p>
    <w:p>
      <w:pPr>
        <w:ind w:left="720" w:hanging="324"/>
        <w:spacing w:after="0"/>
        <w:tabs>
          <w:tab w:leader="none" w:pos="72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Your amendment, suspension or terminaton must include any applicable cooling-of period pursuant to Rule 10b5-1.</w:t>
      </w:r>
    </w:p>
    <w:p>
      <w:pPr>
        <w:spacing w:after="0" w:line="185" w:lineRule="exact"/>
        <w:rPr>
          <w:rFonts w:ascii="Calibri" w:cs="Calibri" w:eastAsia="Calibri" w:hAnsi="Calibri"/>
          <w:sz w:val="20"/>
          <w:szCs w:val="20"/>
          <w:color w:val="auto"/>
        </w:rPr>
      </w:pPr>
    </w:p>
    <w:p>
      <w:pPr>
        <w:ind w:left="720" w:hanging="325"/>
        <w:spacing w:after="0"/>
        <w:tabs>
          <w:tab w:leader="none" w:pos="72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No suspension of a 10b5-1 Trading Plan may exceed 60 calendar days.</w:t>
      </w:r>
    </w:p>
    <w:p>
      <w:pPr>
        <w:spacing w:after="0" w:line="223" w:lineRule="exact"/>
        <w:rPr>
          <w:rFonts w:ascii="Calibri" w:cs="Calibri" w:eastAsia="Calibri" w:hAnsi="Calibri"/>
          <w:sz w:val="20"/>
          <w:szCs w:val="20"/>
          <w:color w:val="auto"/>
        </w:rPr>
      </w:pPr>
    </w:p>
    <w:p>
      <w:pPr>
        <w:ind w:left="720" w:right="20" w:hanging="325"/>
        <w:spacing w:after="0" w:line="207" w:lineRule="auto"/>
        <w:tabs>
          <w:tab w:leader="none" w:pos="698"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A minimum of one year must elapse between your terminaton of an existng 10b5-1 Trading Plan and your entry into a new 10b5-1 Trading Plan.</w:t>
      </w:r>
    </w:p>
    <w:p>
      <w:pPr>
        <w:spacing w:after="0" w:line="199" w:lineRule="exact"/>
        <w:rPr>
          <w:rFonts w:ascii="Calibri" w:cs="Calibri" w:eastAsia="Calibri" w:hAnsi="Calibri"/>
          <w:sz w:val="20"/>
          <w:szCs w:val="20"/>
          <w:color w:val="auto"/>
        </w:rPr>
      </w:pPr>
    </w:p>
    <w:p>
      <w:pPr>
        <w:ind w:left="720" w:hanging="326"/>
        <w:spacing w:after="0"/>
        <w:tabs>
          <w:tab w:leader="none" w:pos="72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You will be limited to one amendment or suspension of your 10b5-1 Trading Plan during its term.</w:t>
      </w:r>
    </w:p>
    <w:p>
      <w:pPr>
        <w:spacing w:after="0" w:line="210" w:lineRule="exact"/>
        <w:rPr>
          <w:sz w:val="20"/>
          <w:szCs w:val="20"/>
          <w:color w:val="auto"/>
        </w:rPr>
      </w:pPr>
    </w:p>
    <w:p>
      <w:pPr>
        <w:jc w:val="both"/>
        <w:ind w:left="400" w:right="20" w:hanging="321"/>
        <w:spacing w:after="0" w:line="202" w:lineRule="auto"/>
        <w:rPr>
          <w:sz w:val="20"/>
          <w:szCs w:val="20"/>
          <w:color w:val="auto"/>
        </w:rPr>
      </w:pPr>
      <w:r>
        <w:rPr>
          <w:rFonts w:ascii="Calibri" w:cs="Calibri" w:eastAsia="Calibri" w:hAnsi="Calibri"/>
          <w:sz w:val="20"/>
          <w:szCs w:val="20"/>
          <w:b w:val="1"/>
          <w:bCs w:val="1"/>
          <w:color w:val="auto"/>
        </w:rPr>
        <w:t>3.6 Additonal Plan Provisions</w:t>
      </w:r>
      <w:r>
        <w:rPr>
          <w:rFonts w:ascii="Calibri" w:cs="Calibri" w:eastAsia="Calibri" w:hAnsi="Calibri"/>
          <w:sz w:val="20"/>
          <w:szCs w:val="20"/>
          <w:color w:val="auto"/>
        </w:rPr>
        <w:t>. 10b5-1 Trading Plans must be operated in good faith and otherwise comply with Rule 10b5-1. None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requirements or plan terms currently contemplated by these guidelines are exhaustve or limitng on the Company. The Company has the right to require the inclusion of additonal provisions in your plan designed to protect you and/or the Company, whether before or afer the plan has been approved by the Securites Practce Team, or to delete or amend existng provisions.</w:t>
      </w:r>
    </w:p>
    <w:p>
      <w:pPr>
        <w:spacing w:after="0" w:line="3" w:lineRule="exact"/>
        <w:rPr>
          <w:sz w:val="20"/>
          <w:szCs w:val="20"/>
          <w:color w:val="auto"/>
        </w:rPr>
      </w:pPr>
    </w:p>
    <w:p>
      <w:pPr>
        <w:jc w:val="both"/>
        <w:ind w:left="400" w:right="20" w:hanging="321"/>
        <w:spacing w:after="0" w:line="193" w:lineRule="auto"/>
        <w:rPr>
          <w:sz w:val="20"/>
          <w:szCs w:val="20"/>
          <w:color w:val="auto"/>
        </w:rPr>
      </w:pPr>
      <w:r>
        <w:rPr>
          <w:rFonts w:ascii="Calibri" w:cs="Calibri" w:eastAsia="Calibri" w:hAnsi="Calibri"/>
          <w:sz w:val="20"/>
          <w:szCs w:val="20"/>
          <w:b w:val="1"/>
          <w:bCs w:val="1"/>
          <w:color w:val="auto"/>
        </w:rPr>
        <w:t>3.7 Disclosures</w:t>
      </w:r>
      <w:r>
        <w:rPr>
          <w:rFonts w:ascii="Calibri" w:cs="Calibri" w:eastAsia="Calibri" w:hAnsi="Calibri"/>
          <w:sz w:val="20"/>
          <w:szCs w:val="20"/>
          <w:color w:val="auto"/>
        </w:rPr>
        <w:t>. GM will be required to make certain quarterly disclosures, in accordance with Rule 10b5-1, regarding any adopton,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modifcaton or terminaton of a 10b5 -1 Trading Plan by a director or Secton 16 Ofcer. Upon the occurrence of any such adopton, modifcaton or terminaton, such persons are required to promptly furnish the Securites Practce Team (via email (</w:t>
      </w:r>
      <w:r>
        <w:rPr>
          <w:rFonts w:ascii="Calibri" w:cs="Calibri" w:eastAsia="Calibri" w:hAnsi="Calibri"/>
          <w:sz w:val="20"/>
          <w:szCs w:val="20"/>
          <w:i w:val="1"/>
          <w:iCs w:val="1"/>
          <w:color w:val="auto"/>
        </w:rPr>
        <w:t>preclearance@gm.com))</w:t>
      </w:r>
      <w:r>
        <w:rPr>
          <w:rFonts w:ascii="Calibri" w:cs="Calibri" w:eastAsia="Calibri" w:hAnsi="Calibri"/>
          <w:sz w:val="20"/>
          <w:szCs w:val="20"/>
          <w:color w:val="auto"/>
        </w:rPr>
        <w:t xml:space="preserve"> informaton regarding the date of adopton, terminaton or modifcaton of the 10b5-1 Trading Plan, the 10b5-1 Trading Plan’s duraton, the aggregate number of securites to be sold or purchased under the 10b5-1 Trading Plan and any other informaton reasonably requested by the Securites Practce Team</w:t>
      </w:r>
      <w:r>
        <w:rPr>
          <w:rFonts w:ascii="Calibri" w:cs="Calibri" w:eastAsia="Calibri" w:hAnsi="Calibri"/>
          <w:sz w:val="20"/>
          <w:szCs w:val="20"/>
          <w:i w:val="1"/>
          <w:iCs w:val="1"/>
          <w:color w:val="auto"/>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color w:val="auto"/>
        </w:rPr>
        <w:t>A-3</w:t>
      </w:r>
    </w:p>
    <w:p>
      <w:pPr>
        <w:sectPr>
          <w:pgSz w:w="11900" w:h="16838" w:orient="portrait"/>
          <w:cols w:equalWidth="0" w:num="1">
            <w:col w:w="11000"/>
          </w:cols>
          <w:pgMar w:left="360" w:top="1338" w:right="5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6"/>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2140879 Ontario Inc.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ACAR Leasing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AFS SenSub Corp.</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AmeriCredit Financial Services, Inc.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APGO Trust</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Argonaut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Banco GM S.A.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BOCO (Proprietary)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of Canada Company</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Cadillac Europe GmbH</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Carve-Out Ownership Cooperative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Deutschland GmbH</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(Thailand)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Sales India Private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Chevrolet Sociedad Anonima de Ahorro para Fines Determinados</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CHEVYPLAN S.A. Sociedad Administradora de Planes de Autofinanciamiento Comercial</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CHEVYPLAN, CA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Venezuela, Bolivarian Republic</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Controladora General Motors, S. de R.L. de C.V.</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Holdings International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Trading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Middle East Transportation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Dubai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Cruise Munich GmbH</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DCJ1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Dealership Liquidations, Inc.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DMAX,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Cell System Manufacturing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GCAR Titling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International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 Colmotores S.A.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Investment Company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(Hong Kong) Company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Advisory Services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Uzbekistan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Africa and Middle East FZE</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Arabia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Pacific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Asia,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Asset Management Corporation</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Australia and New Zealand Pty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Automotive Holdings, S.L.</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7" w:right="339" w:bottom="1440" w:gutter="0" w:footer="0" w:header="0"/>
        </w:sectPr>
      </w:pPr>
    </w:p>
    <w:bookmarkStart w:id="123" w:name="page124"/>
    <w:bookmarkEnd w:id="123"/>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SUBSIDIARIES AND JOINT VENTURES OF THE REGISTRANT</w:t>
      </w:r>
    </w:p>
    <w:p>
      <w:pPr>
        <w:spacing w:after="0" w:line="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Battery Raw Materials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Belgique Automobile NV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Brasil Holdings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Chile Industria Automotriz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Argentina S.R.L.</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 Mexico, S. de R.L.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del Ecuador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do Brasil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Egypt, S.A.E.</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Europe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Limitada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Chile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Company,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Financial of Canada,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France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Germany GmbH</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Holden Australia NSC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Operations Pte.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Company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International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Management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 Participaçoes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Investments Pty.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Israel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IT Services (Ireland)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Japan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Norway 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of Canada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Overseas Distribution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Peru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Research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South Africa (Pty)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Sweden AB</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Taiwan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Technical Centre India Private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Treasury Center,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Uruguay S.A.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Venezolana, C.A.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Venezuela, Bolivarian Republic</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 Isuzu Camiones Andinos de Peru S.A.C.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Administradora de Bens Ltda.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Asia Pacific Regional Headquarters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AV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Battery Modules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Components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Ltda.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Corretora de Seguros para Consórcios Ltda.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Recurring Liquidity Opportunity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Canada Company</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Nova Scotia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International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Defense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Deutschland Holdings GmbH</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Eurometals, Inc.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EV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EV Infrastructure Holdings Corporation</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Finance Co.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Bank</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Canada Leasing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Colombia S.A. Compañia de Financiamiento</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 Mexico, S.A. de C.V. SOFOM E.R.</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del Perú S.A.C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Europe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Mexico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Technology Operations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Tooling Company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Global Treasury Centre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Australia Pty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Holdings U.K. No.1 Limited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Innovations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International Sales Ltd.</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Inversiones Santiago Limitada</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Korea Company</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LAAM Holdings,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Personnel Services, Inc.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Philippines, Inc.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bl>
    <w:p>
      <w:pPr>
        <w:sectPr>
          <w:pgSz w:w="11900" w:h="16838" w:orient="portrait"/>
          <w:cols w:equalWidth="0" w:num="1">
            <w:col w:w="11100"/>
          </w:cols>
          <w:pgMar w:left="340" w:top="359" w:right="45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Speciality Vehicles UK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Subsystems Manufacturing,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Technical Center Korea,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GMAC Administradora de Consórcios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GMCH&amp;SP Private Equity II L.P.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GM-DI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Funding Corp.</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Global Assignment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International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Leasing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Serviços de Mobilidade Ltda.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GMF Wholesale Receivables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Pointe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Pointe Park Condominium Association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New Zealand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HRL Laboratories,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Kinohi Insurance Company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Hawaii</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Ownership Cooperative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Lidlington Engineering Company,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Monetization of Carve-Out,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Omnibus BB Transportes, S. 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Egypt Limited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Indemnity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National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Property and Casualty Insurance Company</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Asia Technical Automotive Center Company,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PIMS Co.</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Prestadora de Servicios GMF Colombia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General Motors Indonesia Manufacturing</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III,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Phase II,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Riverfront Holdings,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Corporation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Propulsion System Technology (Shanghai)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General Motors Sales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(Shenyang) Norsom Motors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Dong Yue Powertrain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 GM WULING Automobile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SAIC-GMAC Automotive Finance Company Limited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SAIC-GMF Leasing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bl>
    <w:p>
      <w:pPr>
        <w:sectPr>
          <w:pgSz w:w="11900" w:h="16838" w:orient="portrait"/>
          <w:cols w:equalWidth="0" w:num="1">
            <w:col w:w="10520"/>
          </w:cols>
          <w:pgMar w:left="340" w:top="359" w:right="10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GENERAL MOTORS COMPANY</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SUBSIDIARIES AND JOINT VENTURES OF THE REGISTRANT</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2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20" w:type="dxa"/>
            <w:vAlign w:val="bottom"/>
          </w:tcPr>
          <w:p>
            <w:pPr>
              <w:spacing w:after="0"/>
              <w:rPr>
                <w:sz w:val="24"/>
                <w:szCs w:val="24"/>
                <w:color w:val="auto"/>
              </w:rPr>
            </w:pPr>
          </w:p>
        </w:tc>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State or Sovereign Power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20" w:type="dxa"/>
            <w:vAlign w:val="bottom"/>
            <w:tcBorders>
              <w:bottom w:val="single" w:sz="8" w:color="auto"/>
            </w:tcBorders>
            <w:gridSpan w:val="2"/>
            <w:vMerge w:val="continue"/>
          </w:tcPr>
          <w:p>
            <w:pPr>
              <w:spacing w:after="0"/>
              <w:rPr>
                <w:sz w:val="10"/>
                <w:szCs w:val="10"/>
                <w:color w:val="auto"/>
              </w:rPr>
            </w:pPr>
          </w:p>
        </w:tc>
        <w:tc>
          <w:tcPr>
            <w:tcW w:w="86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Incorporation</w:t>
            </w: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Servicios GMAC S.A. de C.V.</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OnStar Telematics Co. Ltd.</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Tooling &amp; Equipment International Corporation</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Holdings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Ultium Cells LLC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 Auto,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WRE, Inc.</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Zona Franca Industrial Colmotores SAS</w:t>
            </w:r>
          </w:p>
        </w:tc>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551"/>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- 187</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Item 601(b)(21) of Regulation S-K, we have omitted certain subsidiaries, which considered in the aggregate as a single subsidiary, would not constitute a significant subsidiary at December 31, 2023. Additionally, 103 subsidiaries of General Motors Financial Company, Inc. have been omitted that operate in the U.S. in the same line of business as General Motors Financial Company, Inc. at December 31, 2023.</w:t>
      </w:r>
    </w:p>
    <w:p>
      <w:pPr>
        <w:sectPr>
          <w:pgSz w:w="11900" w:h="16838" w:orient="portrait"/>
          <w:cols w:equalWidth="0" w:num="1">
            <w:col w:w="11240"/>
          </w:cols>
          <w:pgMar w:left="320" w:top="35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6" w:lineRule="exact"/>
        <w:rPr>
          <w:sz w:val="20"/>
          <w:szCs w:val="20"/>
          <w:color w:val="auto"/>
        </w:rPr>
      </w:pPr>
    </w:p>
    <w:p>
      <w:pPr>
        <w:ind w:left="640" w:hanging="310"/>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333-268000) of General Motors Company,</w:t>
      </w:r>
    </w:p>
    <w:p>
      <w:pPr>
        <w:spacing w:after="0" w:line="14" w:lineRule="exact"/>
        <w:rPr>
          <w:rFonts w:ascii="Times New Roman" w:cs="Times New Roman" w:eastAsia="Times New Roman" w:hAnsi="Times New Roman"/>
          <w:sz w:val="18"/>
          <w:szCs w:val="18"/>
          <w:color w:val="auto"/>
        </w:rPr>
      </w:pPr>
    </w:p>
    <w:p>
      <w:pPr>
        <w:ind w:left="660" w:right="180" w:hanging="330"/>
        <w:spacing w:after="0" w:line="225"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333-273423 and Form S-8 No. 333-239425) pertaining to the General Motors Company 2020 Long-Term Incentive Plan,</w:t>
      </w:r>
    </w:p>
    <w:p>
      <w:pPr>
        <w:spacing w:after="0" w:line="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333-218793) pertaining to the General Motors Company 2017 Long-Term Incentive Plan, and</w:t>
      </w:r>
    </w:p>
    <w:p>
      <w:pPr>
        <w:spacing w:after="0" w:line="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333-196812) pertaining to the General Motors Company 2014 Long-Term Incentive Plan;</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reports dated January 30, 2024, with respect to the consolidated financial statements of General Motors Company and subsidiaries and the effectiveness of internal control over financial reporting of General Motors Company and subsidiaries included in this Annual Report (Form 10-K) of General Motors Company for the year ended December 31, 2023.</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Ernst &amp; Young LLP</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30, 2024</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080" w:right="560" w:hanging="6070"/>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wp:posOffset>
            </wp:positionV>
            <wp:extent cx="25596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080" w:right="560" w:hanging="6070"/>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wp:posOffset>
            </wp:positionV>
            <wp:extent cx="25596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25596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97"/>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25425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84"/>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-21590</wp:posOffset>
            </wp:positionV>
            <wp:extent cx="2551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5514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ind w:left="6100" w:right="560" w:hanging="6097"/>
        <w:spacing w:after="0" w:line="327" w:lineRule="auto"/>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 /s/ 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25425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Christopher T. Hatto, Brent Kastner, Craig B. Glidden and John S. Kim, and each of them, my true and lawful attorneys-in-fact and agents, with full power of substitution and resubstitution, for me and in my name, place and stead, in any and all capacities (including my capacity as a director of GM), to sign:</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 Report(s)</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4"/>
                <w:szCs w:val="14"/>
                <w:b w:val="1"/>
                <w:bCs w:val="1"/>
                <w:color w:val="auto"/>
              </w:rPr>
              <w:t>Covering</w:t>
            </w:r>
          </w:p>
        </w:tc>
      </w:tr>
      <w:tr>
        <w:trPr>
          <w:trHeight w:val="20"/>
        </w:trPr>
        <w:tc>
          <w:tcPr>
            <w:tcW w:w="9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4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w w:val="97"/>
              </w:rPr>
              <w:t>Year Ended December 31, 2023</w:t>
            </w:r>
          </w:p>
        </w:tc>
      </w:tr>
    </w:tbl>
    <w:p>
      <w:pPr>
        <w:spacing w:after="0" w:line="3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any or all amendments to such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U.S. Securities Exchange Act of 1934, as amended, this power of attorney has been executed by the undersigned.</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Signature</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Print</w:t>
      </w:r>
    </w:p>
    <w:p>
      <w:pPr>
        <w:spacing w:after="0" w:line="3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16510</wp:posOffset>
            </wp:positionV>
            <wp:extent cx="25425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4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30, 2024</w:t>
      </w:r>
    </w:p>
    <w:p>
      <w:pPr>
        <w:sectPr>
          <w:pgSz w:w="11900" w:h="16838" w:orient="portrait"/>
          <w:cols w:equalWidth="0" w:num="1">
            <w:col w:w="11240"/>
          </w:cols>
          <w:pgMar w:left="320" w:top="359"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25400</wp:posOffset>
            </wp:positionV>
            <wp:extent cx="32766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30, 2024</w:t>
      </w:r>
    </w:p>
    <w:p>
      <w:pPr>
        <w:sectPr>
          <w:pgSz w:w="11900" w:h="16838" w:orient="portrait"/>
          <w:cols w:equalWidth="0" w:num="1">
            <w:col w:w="11240"/>
          </w:cols>
          <w:pgMar w:left="320" w:top="359"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connection with the Annual Report of General Motors Company (the “Company”) on Form 10-K for the period ended December 31, 2023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4" w:lineRule="exact"/>
        <w:rPr>
          <w:sz w:val="20"/>
          <w:szCs w:val="20"/>
          <w:color w:val="auto"/>
        </w:rPr>
      </w:pPr>
    </w:p>
    <w:p>
      <w:pPr>
        <w:ind w:left="760" w:hanging="18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32937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32937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January 30, 2024</w:t>
      </w:r>
    </w:p>
    <w:p>
      <w:pPr>
        <w:sectPr>
          <w:pgSz w:w="11900" w:h="16838" w:orient="portrait"/>
          <w:cols w:equalWidth="0" w:num="1">
            <w:col w:w="11240"/>
          </w:cols>
          <w:pgMar w:left="320" w:top="35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POLICY ON RECOUPMENT OF INCENTIVE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August 14, 2023</w:t>
      </w:r>
    </w:p>
    <w:p>
      <w:pPr>
        <w:spacing w:after="0" w:line="200" w:lineRule="exact"/>
        <w:rPr>
          <w:sz w:val="20"/>
          <w:szCs w:val="20"/>
          <w:color w:val="auto"/>
        </w:rPr>
      </w:pPr>
    </w:p>
    <w:p>
      <w:pPr>
        <w:spacing w:after="0" w:line="26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The Board of Directors (“Board”) of General Motors Company (“Company”) has adopted this Policy on Recoupment of Incentive Compensation (“Policy”) in furtherance of its belief that it is in the best interests of the Company and its stakeholders to create and maintain a culture that emphasizes integrity and accountability and reinforces the Company's pay-for-performance compensation philosophy. This Policy has been adopted pursuant to the listing rules of the New York Stock Exchange (“NYSE”), which listing rules generally require the Company to recover certain compensation in the event of (i) an accounting restatement resulting from material noncompliance with any financial reporting requirements under the securities laws. It also applies to other detrimental conduct that has caused or is likely to cause material financial, operational or reputational harm to the Company.</w:t>
      </w:r>
    </w:p>
    <w:p>
      <w:pPr>
        <w:spacing w:after="0" w:line="156" w:lineRule="exact"/>
        <w:rPr>
          <w:sz w:val="20"/>
          <w:szCs w:val="20"/>
          <w:color w:val="auto"/>
        </w:rPr>
      </w:pPr>
    </w:p>
    <w:p>
      <w:pPr>
        <w:jc w:val="both"/>
        <w:ind w:firstLine="7"/>
        <w:spacing w:after="0" w:line="222" w:lineRule="auto"/>
        <w:tabs>
          <w:tab w:leader="none" w:pos="64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Persons Subject to this Policy</w:t>
      </w:r>
      <w:r>
        <w:rPr>
          <w:rFonts w:ascii="Times New Roman" w:cs="Times New Roman" w:eastAsia="Times New Roman" w:hAnsi="Times New Roman"/>
          <w:sz w:val="21"/>
          <w:szCs w:val="21"/>
          <w:color w:val="auto"/>
        </w:rPr>
        <w:t>. This Policy is applicable to all executive officers, as defined in Rule 10D-1(d) under the Securities Exchange Act of 1934, as amended (the “Exchange Act”), of the Company at any time during the applicable Clawback Period and such other Company employees under the purview of the Executive Compensation Committee of the Board (the “Committee”), referred to as “ECC-Covered Executives.” This Policy will also apply to such other employees, or classes of employees, of the Company as may be determined from time to time by the Committee. Each person to whom this Policy applies is referred to herein as a “Covered Person.” Each Covered Person shall be required to sign an Acknowledgement pursuant to which such Covered Person will agree to be bound by the terms and comply with this Policy.</w:t>
      </w:r>
    </w:p>
    <w:p>
      <w:pPr>
        <w:spacing w:after="0" w:line="156" w:lineRule="exact"/>
        <w:rPr>
          <w:rFonts w:ascii="Times New Roman" w:cs="Times New Roman" w:eastAsia="Times New Roman" w:hAnsi="Times New Roman"/>
          <w:sz w:val="21"/>
          <w:szCs w:val="21"/>
          <w:color w:val="auto"/>
        </w:rPr>
      </w:pPr>
    </w:p>
    <w:p>
      <w:pPr>
        <w:jc w:val="both"/>
        <w:ind w:firstLine="7"/>
        <w:spacing w:after="0" w:line="229" w:lineRule="auto"/>
        <w:tabs>
          <w:tab w:leader="none" w:pos="64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Except as the Board may otherwise determine, the Committee shall administer this Policy. Any determinations made by the Board or the Committee shall be final and binding on all persons. The Committee may delegate ministerial administrative duties with respect to this Policy to one or more directors or employees of the Company, as permitted under applicable law.</w:t>
      </w:r>
    </w:p>
    <w:p>
      <w:pPr>
        <w:spacing w:after="0" w:line="153" w:lineRule="exact"/>
        <w:rPr>
          <w:rFonts w:ascii="Times New Roman" w:cs="Times New Roman" w:eastAsia="Times New Roman" w:hAnsi="Times New Roman"/>
          <w:sz w:val="21"/>
          <w:szCs w:val="21"/>
          <w:color w:val="auto"/>
        </w:rPr>
      </w:pPr>
    </w:p>
    <w:p>
      <w:pPr>
        <w:jc w:val="both"/>
        <w:ind w:firstLine="7"/>
        <w:spacing w:after="0" w:line="235" w:lineRule="auto"/>
        <w:tabs>
          <w:tab w:leader="none" w:pos="64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This Policy is effective as of October 2, 2023 (the “Effective Date”) and supersedes and replaces in its entirety the Company’s clawback policy adopted and approved by the Board on December 7, 2020. This Policy shall apply to Incentive-Based Compensation received by any current and former Covered Persons on or after the Effective Date.</w:t>
      </w:r>
    </w:p>
    <w:p>
      <w:pPr>
        <w:spacing w:after="0" w:line="150"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652"/>
        <w:spacing w:after="0" w:line="226" w:lineRule="auto"/>
        <w:tabs>
          <w:tab w:leader="none" w:pos="1287"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“Accounting Restatement” means an accounting restatement to correct the Company’s material noncompliance with any financial reporting requirement under securities laws, including restatements that (a) correct an error in previously issued financial statements that is material to the previously issued financial statements or (b) would result in a material misstatement if the error were corrected in the current period or left uncorrected in the current period only. Restatements that do not meet the definition of an Accounting Restatement are not subject to Section 5 of this Policy.</w:t>
      </w:r>
    </w:p>
    <w:p>
      <w:pPr>
        <w:spacing w:after="0" w:line="152" w:lineRule="exact"/>
        <w:rPr>
          <w:rFonts w:ascii="Times New Roman" w:cs="Times New Roman" w:eastAsia="Times New Roman" w:hAnsi="Times New Roman"/>
          <w:sz w:val="21"/>
          <w:szCs w:val="21"/>
          <w:color w:val="auto"/>
        </w:rPr>
      </w:pPr>
    </w:p>
    <w:p>
      <w:pPr>
        <w:jc w:val="both"/>
        <w:ind w:firstLine="652"/>
        <w:spacing w:after="0" w:line="235" w:lineRule="auto"/>
        <w:tabs>
          <w:tab w:leader="none" w:pos="1285"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“Clawback Period”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sectPr>
      </w:pPr>
    </w:p>
    <w:bookmarkStart w:id="144" w:name="page145"/>
    <w:bookmarkEnd w:id="144"/>
    <w:p>
      <w:pPr>
        <w:jc w:val="both"/>
        <w:ind w:firstLine="652"/>
        <w:spacing w:after="0" w:line="226" w:lineRule="auto"/>
        <w:tabs>
          <w:tab w:leader="none" w:pos="128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“Excess Awarded Compensation” means the excess of (x) the amount of Incentive-Based Compensation received based on the achievement of a Financial Reporting Measure that was subsequently revised due to an Accounting Restatement, over (y) the amount of Incentive-Based Compensation that would have been received based on the restated Financial Reporting Measure, as determined on a pre-tax basis. To determine the amount of Incentive-Based Compensation that would have been received based on the restated Financial Reporting Measure, the following shall be applied and considered:</w:t>
      </w:r>
    </w:p>
    <w:p>
      <w:pPr>
        <w:spacing w:after="0" w:line="153" w:lineRule="exact"/>
        <w:rPr>
          <w:sz w:val="20"/>
          <w:szCs w:val="20"/>
          <w:color w:val="auto"/>
        </w:rPr>
      </w:pPr>
    </w:p>
    <w:p>
      <w:pPr>
        <w:jc w:val="both"/>
        <w:ind w:left="980" w:hanging="328"/>
        <w:spacing w:after="0" w:line="235" w:lineRule="auto"/>
        <w:tabs>
          <w:tab w:leader="none" w:pos="97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cash awards, Excess Awarded Compensation is the difference between the amount of the cash award (whether payable as a lump sum or over time) that was received and the amount that should have been received applying the restated Financial Reporting Measure;</w:t>
      </w:r>
    </w:p>
    <w:p>
      <w:pPr>
        <w:spacing w:after="0" w:line="150" w:lineRule="exact"/>
        <w:rPr>
          <w:rFonts w:ascii="Times New Roman" w:cs="Times New Roman" w:eastAsia="Times New Roman" w:hAnsi="Times New Roman"/>
          <w:sz w:val="21"/>
          <w:szCs w:val="21"/>
          <w:color w:val="auto"/>
        </w:rPr>
      </w:pPr>
    </w:p>
    <w:p>
      <w:pPr>
        <w:ind w:left="980" w:hanging="328"/>
        <w:spacing w:after="0" w:line="251" w:lineRule="auto"/>
        <w:tabs>
          <w:tab w:leader="none" w:pos="97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cash awards paid from bonus pools, Excess Awarded Compensation is the pro rata portion of any deficiency that results from the aggregate bonus pool that is reduced based on applying the restated Financial Reporting Measure;</w:t>
      </w:r>
    </w:p>
    <w:p>
      <w:pPr>
        <w:spacing w:after="0" w:line="139" w:lineRule="exact"/>
        <w:rPr>
          <w:rFonts w:ascii="Times New Roman" w:cs="Times New Roman" w:eastAsia="Times New Roman" w:hAnsi="Times New Roman"/>
          <w:sz w:val="21"/>
          <w:szCs w:val="21"/>
          <w:color w:val="auto"/>
        </w:rPr>
      </w:pPr>
    </w:p>
    <w:p>
      <w:pPr>
        <w:jc w:val="both"/>
        <w:ind w:left="980" w:hanging="328"/>
        <w:spacing w:after="0" w:line="235" w:lineRule="auto"/>
        <w:tabs>
          <w:tab w:leader="none" w:pos="97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equity awards still held at the time of recovery or recoupment, Excess Awarded Compensation is the number of the securities received in excess of the number that should have been received applying the restated Financial Reporting Measure (or the value of such excess number);</w:t>
      </w:r>
    </w:p>
    <w:p>
      <w:pPr>
        <w:spacing w:after="0" w:line="150" w:lineRule="exact"/>
        <w:rPr>
          <w:rFonts w:ascii="Times New Roman" w:cs="Times New Roman" w:eastAsia="Times New Roman" w:hAnsi="Times New Roman"/>
          <w:sz w:val="21"/>
          <w:szCs w:val="21"/>
          <w:color w:val="auto"/>
        </w:rPr>
      </w:pPr>
    </w:p>
    <w:p>
      <w:pPr>
        <w:jc w:val="both"/>
        <w:ind w:left="980" w:hanging="328"/>
        <w:spacing w:after="0" w:line="235" w:lineRule="auto"/>
        <w:tabs>
          <w:tab w:leader="none" w:pos="95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shares already issued upon exercise or settlement of equity awards where the underlying shares remain unsold, Excess Awarded Compensation is the number of shares underlying the excess equity awards (or the value of such excess awards); and</w:t>
      </w:r>
    </w:p>
    <w:p>
      <w:pPr>
        <w:spacing w:after="0" w:line="150" w:lineRule="exact"/>
        <w:rPr>
          <w:rFonts w:ascii="Times New Roman" w:cs="Times New Roman" w:eastAsia="Times New Roman" w:hAnsi="Times New Roman"/>
          <w:sz w:val="21"/>
          <w:szCs w:val="21"/>
          <w:color w:val="auto"/>
        </w:rPr>
      </w:pPr>
    </w:p>
    <w:p>
      <w:pPr>
        <w:jc w:val="both"/>
        <w:ind w:left="980" w:hanging="328"/>
        <w:spacing w:after="0" w:line="226" w:lineRule="auto"/>
        <w:tabs>
          <w:tab w:leader="none" w:pos="96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Incentive-Based Compensation based on total stockholder return or stock price, where the amount of Excess Awarded Compensation is not subject to mathematical recalculation directly from the information in the Accounting Restatement, Excess Awarded Compensation is the Committee’s reasonable estimate of the effect of the Accounting Restatement on the total stockholder return or stock price on which the Incentive-Based Compensation was received, with documentation of the determination of such reasonable estimate provided to the NYSE.</w:t>
      </w:r>
    </w:p>
    <w:p>
      <w:pPr>
        <w:spacing w:after="0" w:line="153" w:lineRule="exact"/>
        <w:rPr>
          <w:sz w:val="20"/>
          <w:szCs w:val="20"/>
          <w:color w:val="auto"/>
        </w:rPr>
      </w:pPr>
    </w:p>
    <w:p>
      <w:pPr>
        <w:jc w:val="both"/>
        <w:ind w:firstLine="652"/>
        <w:spacing w:after="0" w:line="229" w:lineRule="auto"/>
        <w:tabs>
          <w:tab w:leader="none" w:pos="128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Reporting Measure” means any measure determined and presented in accordance with the accounting principles used in preparing the Company’s financial statements, and any measures derived wholly or in part from such financial statements, including both United States generally accepted accounting principles (“GAAP”) and non-GAAP financial measures, as well as stock price and total stockholder return.</w:t>
      </w:r>
    </w:p>
    <w:p>
      <w:pPr>
        <w:spacing w:after="0" w:line="153" w:lineRule="exact"/>
        <w:rPr>
          <w:rFonts w:ascii="Times New Roman" w:cs="Times New Roman" w:eastAsia="Times New Roman" w:hAnsi="Times New Roman"/>
          <w:sz w:val="21"/>
          <w:szCs w:val="21"/>
          <w:color w:val="auto"/>
        </w:rPr>
      </w:pPr>
    </w:p>
    <w:p>
      <w:pPr>
        <w:jc w:val="both"/>
        <w:ind w:firstLine="652"/>
        <w:spacing w:after="0"/>
        <w:tabs>
          <w:tab w:leader="none" w:pos="128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“Impracticable” means (i) the direct costs paid to third parties to assist in enforcing recovery would exceed the Excess Awarded Compensation; provided the Company has (A) made reasonable attempts to recover the Excess Awarded Compensation, (B) documented such attempts and (C) provided such documentation to the NYSE; and (ii) the recovery would violate the Company’s home country laws, as in effect prior to November 28, 2022, pursuant to an opinion of home country counsel: or (iii) the recovery would likely cause an otherwise tax-qualified retirement plan, under which benefits are broadly available to employees of the Company, to fail to meet the requirements of 26 U.S.C. 401(a)(13) or 26 U.S.C. 411(a) and regulations thereunder.</w:t>
      </w:r>
    </w:p>
    <w:p>
      <w:pPr>
        <w:spacing w:after="0" w:line="270" w:lineRule="exact"/>
        <w:rPr>
          <w:rFonts w:ascii="Times New Roman" w:cs="Times New Roman" w:eastAsia="Times New Roman" w:hAnsi="Times New Roman"/>
          <w:sz w:val="21"/>
          <w:szCs w:val="21"/>
          <w:color w:val="auto"/>
        </w:rPr>
      </w:pPr>
    </w:p>
    <w:p>
      <w:pPr>
        <w:jc w:val="both"/>
        <w:ind w:firstLine="652"/>
        <w:spacing w:after="0" w:line="235" w:lineRule="auto"/>
        <w:tabs>
          <w:tab w:leader="none" w:pos="129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“Incentive-Based Compensation” means any cash or non-cash incentive compensation awards that are granted, earned or vested based wholly or in part upon the attainment of any Financial Reporting Measures and received by a Covered Person and, with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8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1"/>
          <w:szCs w:val="21"/>
          <w:color w:val="auto"/>
        </w:rPr>
        <w:t>respect to Sections 5 and 6 only, received during the applicable Clawback Period, and, for purposes of this Policy:</w:t>
      </w:r>
    </w:p>
    <w:p>
      <w:pPr>
        <w:spacing w:after="0" w:line="188" w:lineRule="exact"/>
        <w:rPr>
          <w:sz w:val="20"/>
          <w:szCs w:val="20"/>
          <w:color w:val="auto"/>
        </w:rPr>
      </w:pPr>
    </w:p>
    <w:p>
      <w:pPr>
        <w:jc w:val="both"/>
        <w:ind w:left="980" w:hanging="328"/>
        <w:spacing w:after="0" w:line="229" w:lineRule="auto"/>
        <w:tabs>
          <w:tab w:leader="none" w:pos="97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compensation shall be deemed to have been received when the Financial Reporting Measure is attained or satisfied, without regard to (a) whether the grant, vesting or payment of the Incentive-Based Compensation occurs after the end of the Clawback Period or (b) ministerial acts or other conditions necessary to effect issuance or payment, such as calculating the amount earned or obtaining Committee approval of payment;</w:t>
      </w:r>
    </w:p>
    <w:p>
      <w:pPr>
        <w:spacing w:after="0" w:line="153" w:lineRule="exact"/>
        <w:rPr>
          <w:rFonts w:ascii="Times New Roman" w:cs="Times New Roman" w:eastAsia="Times New Roman" w:hAnsi="Times New Roman"/>
          <w:sz w:val="21"/>
          <w:szCs w:val="21"/>
          <w:color w:val="auto"/>
        </w:rPr>
      </w:pPr>
    </w:p>
    <w:p>
      <w:pPr>
        <w:jc w:val="both"/>
        <w:ind w:left="980" w:hanging="328"/>
        <w:spacing w:after="0"/>
        <w:tabs>
          <w:tab w:leader="none" w:pos="97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award granted based wholly or partly on the satisfaction of a Financial Reporting Measure performance goal would be deemed wholly or partly received in the fiscal period when the measure was satisfied, even if the award is contingent upon the occurrence of other events or satisfaction of additional conditions, such as continued service with the Company;</w:t>
      </w:r>
    </w:p>
    <w:p>
      <w:pPr>
        <w:spacing w:after="0" w:line="350" w:lineRule="exact"/>
        <w:rPr>
          <w:rFonts w:ascii="Times New Roman" w:cs="Times New Roman" w:eastAsia="Times New Roman" w:hAnsi="Times New Roman"/>
          <w:sz w:val="21"/>
          <w:szCs w:val="21"/>
          <w:color w:val="auto"/>
        </w:rPr>
      </w:pPr>
    </w:p>
    <w:p>
      <w:pPr>
        <w:ind w:left="980" w:hanging="328"/>
        <w:spacing w:after="0" w:line="251" w:lineRule="auto"/>
        <w:tabs>
          <w:tab w:leader="none" w:pos="97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equity award that vests wholly or partly upon satisfaction of a Financial Reporting Measure performance condition would be deemed to have been wholly or partly received in the fiscal period when it vests;</w:t>
      </w:r>
    </w:p>
    <w:p>
      <w:pPr>
        <w:spacing w:after="0" w:line="139" w:lineRule="exact"/>
        <w:rPr>
          <w:rFonts w:ascii="Times New Roman" w:cs="Times New Roman" w:eastAsia="Times New Roman" w:hAnsi="Times New Roman"/>
          <w:sz w:val="21"/>
          <w:szCs w:val="21"/>
          <w:color w:val="auto"/>
        </w:rPr>
      </w:pPr>
    </w:p>
    <w:p>
      <w:pPr>
        <w:jc w:val="both"/>
        <w:ind w:left="980" w:hanging="328"/>
        <w:spacing w:after="0" w:line="235" w:lineRule="auto"/>
        <w:tabs>
          <w:tab w:leader="none" w:pos="95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non-equity incentive plan award would be deemed received in the fiscal year that the Covered Person earns the award based on satisfaction of the relevant Financial Reporting Measure performance goal, and not on the subsequent date on which the award is paid;</w:t>
      </w:r>
    </w:p>
    <w:p>
      <w:pPr>
        <w:spacing w:after="0" w:line="150" w:lineRule="exact"/>
        <w:rPr>
          <w:rFonts w:ascii="Times New Roman" w:cs="Times New Roman" w:eastAsia="Times New Roman" w:hAnsi="Times New Roman"/>
          <w:sz w:val="21"/>
          <w:szCs w:val="21"/>
          <w:color w:val="auto"/>
        </w:rPr>
      </w:pPr>
    </w:p>
    <w:p>
      <w:pPr>
        <w:ind w:left="980" w:hanging="328"/>
        <w:spacing w:after="0" w:line="251" w:lineRule="auto"/>
        <w:tabs>
          <w:tab w:leader="none" w:pos="96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cash award earned upon satisfaction of a Financial Reporting Measure performance goal would be deemed to have been received in the fiscal period when that measure is satisfied; and</w:t>
      </w:r>
    </w:p>
    <w:p>
      <w:pPr>
        <w:spacing w:after="0" w:line="166" w:lineRule="exact"/>
        <w:rPr>
          <w:rFonts w:ascii="Times New Roman" w:cs="Times New Roman" w:eastAsia="Times New Roman" w:hAnsi="Times New Roman"/>
          <w:sz w:val="21"/>
          <w:szCs w:val="21"/>
          <w:color w:val="auto"/>
        </w:rPr>
      </w:pPr>
    </w:p>
    <w:p>
      <w:pPr>
        <w:jc w:val="both"/>
        <w:ind w:left="980" w:hanging="328"/>
        <w:spacing w:after="0" w:line="226" w:lineRule="auto"/>
        <w:tabs>
          <w:tab w:leader="none" w:pos="97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award granted, earned or vested without regard to the satisfaction of a Financial Reporting Measure performance goal, such as awards that vest solely based on continued employment with the Company (“Non Performance Based Awards”), shall be treated as Incentive-Based Compensation for purposes of applying Section 5 of this Policy, provided, however, that Non Performance Based Awards shall be considered Incentive-Based Compensation for purposes of applying Sections 6, 7 and 8 of this Policy.</w:t>
      </w:r>
    </w:p>
    <w:p>
      <w:pPr>
        <w:spacing w:after="0" w:line="153" w:lineRule="exact"/>
        <w:rPr>
          <w:sz w:val="20"/>
          <w:szCs w:val="20"/>
          <w:color w:val="auto"/>
        </w:rPr>
      </w:pPr>
    </w:p>
    <w:p>
      <w:pPr>
        <w:jc w:val="both"/>
        <w:ind w:firstLine="652"/>
        <w:spacing w:after="0"/>
        <w:tabs>
          <w:tab w:leader="none" w:pos="128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“Misconduct” means (i) intentional and reckless conduct; (ii) intentional or reckless violation of any Company written policy applicable to the Covered Person (including, but not limited to, the Code of Conduct) or any applicable legal or regulatory requirements in the course of the Covered Person’s employment by the Company; or (iii) fraud in the course of the Covered Person’s employment by the Company. For this purpose, “intentional and reckless conduct” means any highly unreasonable act or omission, involving not merely simple, or even inexcusable negligence, but an extreme departure from the standards of ordinary care, and that either is known to the Covered Person or is so obvious that a reasonable person in the Covered Person’s position would have been aware of it. It does not mean negligent conduct or grossly negligent conduct. Further, “Misconduct” shall not include conduct in good faith and in a manner the person reasonably believed to be in, or not opposed to, the best interests of the Company.</w:t>
      </w:r>
    </w:p>
    <w:p>
      <w:pPr>
        <w:spacing w:after="0" w:line="218" w:lineRule="exact"/>
        <w:rPr>
          <w:rFonts w:ascii="Times New Roman" w:cs="Times New Roman" w:eastAsia="Times New Roman" w:hAnsi="Times New Roman"/>
          <w:sz w:val="21"/>
          <w:szCs w:val="21"/>
          <w:color w:val="auto"/>
        </w:rPr>
      </w:pPr>
    </w:p>
    <w:p>
      <w:pPr>
        <w:jc w:val="both"/>
        <w:ind w:firstLine="652"/>
        <w:spacing w:after="0" w:line="229" w:lineRule="auto"/>
        <w:tabs>
          <w:tab w:leader="none" w:pos="137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“Reputational Damage” means, as the Committee shall determine, in its sole discretion, an event or series of events resulting in (i) a demonstrable and broadly reported negative affect on the Company’s good name, public image, or standing with its stakeholders (including, but not limited to its investors, customers, employees, partners, regulators, or the public) caused by the Company’s or an employee’s behavior or performance and (ii) a decline in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88" w:right="339" w:bottom="1440" w:gutter="0" w:footer="0" w:header="0"/>
        </w:sectPr>
      </w:pPr>
    </w:p>
    <w:bookmarkStart w:id="146" w:name="page147"/>
    <w:bookmarkEnd w:id="146"/>
    <w:p>
      <w:pPr>
        <w:jc w:val="both"/>
        <w:spacing w:after="0"/>
        <w:rPr>
          <w:sz w:val="20"/>
          <w:szCs w:val="20"/>
          <w:color w:val="auto"/>
        </w:rPr>
      </w:pPr>
      <w:r>
        <w:rPr>
          <w:rFonts w:ascii="Times New Roman" w:cs="Times New Roman" w:eastAsia="Times New Roman" w:hAnsi="Times New Roman"/>
          <w:sz w:val="21"/>
          <w:szCs w:val="21"/>
          <w:color w:val="auto"/>
        </w:rPr>
        <w:t>the Company’s common stock price of 20% or more for at least 30 consecutive trading days, which decline is attributed to such event(s). In making a determination whether such an event or series of events has occurred or exists, the Committee may rely upon, among other things, management, media reports, customer sentiment, analyst reports, stakeholder feedback, and outside advisors.</w:t>
      </w:r>
    </w:p>
    <w:p>
      <w:pPr>
        <w:spacing w:after="0" w:line="350" w:lineRule="exact"/>
        <w:rPr>
          <w:sz w:val="20"/>
          <w:szCs w:val="20"/>
          <w:color w:val="auto"/>
        </w:rPr>
      </w:pPr>
    </w:p>
    <w:p>
      <w:pPr>
        <w:jc w:val="both"/>
        <w:ind w:firstLine="652"/>
        <w:spacing w:after="0" w:line="229" w:lineRule="auto"/>
        <w:tabs>
          <w:tab w:leader="none" w:pos="127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“Restatement Date” means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53" w:lineRule="exact"/>
        <w:rPr>
          <w:rFonts w:ascii="Times New Roman" w:cs="Times New Roman" w:eastAsia="Times New Roman" w:hAnsi="Times New Roman"/>
          <w:sz w:val="21"/>
          <w:szCs w:val="21"/>
          <w:color w:val="auto"/>
        </w:rPr>
      </w:pPr>
    </w:p>
    <w:p>
      <w:pPr>
        <w:jc w:val="both"/>
        <w:ind w:firstLine="7"/>
        <w:spacing w:after="0" w:line="224" w:lineRule="auto"/>
        <w:tabs>
          <w:tab w:leader="none" w:pos="64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of Excess Awarded Compensation Following an Accounting Restatement</w:t>
      </w:r>
      <w:r>
        <w:rPr>
          <w:rFonts w:ascii="Times New Roman" w:cs="Times New Roman" w:eastAsia="Times New Roman" w:hAnsi="Times New Roman"/>
          <w:sz w:val="21"/>
          <w:szCs w:val="21"/>
          <w:color w:val="auto"/>
        </w:rPr>
        <w:t>. Without regard to a current or former Covered Person’s Misconduct under Sections 6 or 7 below, in the event the Company is required to prepare an Accounting Restatement, the Committee shall recover promptly from any current or former Covered Person (without regard to any taxes paid thereon by the Covered Person) the portion of any Incentive-Based Compensation that is Excess Awarded Compensation received by such Covered Person, unless Impracticable, regardless of whether the Covered Person’s acts or omissions contributed to the circumstances requiring the Accounting Restatement.</w:t>
      </w:r>
    </w:p>
    <w:p>
      <w:pPr>
        <w:spacing w:after="0" w:line="152" w:lineRule="exact"/>
        <w:rPr>
          <w:rFonts w:ascii="Times New Roman" w:cs="Times New Roman" w:eastAsia="Times New Roman" w:hAnsi="Times New Roman"/>
          <w:sz w:val="21"/>
          <w:szCs w:val="21"/>
          <w:color w:val="auto"/>
        </w:rPr>
      </w:pPr>
    </w:p>
    <w:p>
      <w:pPr>
        <w:jc w:val="both"/>
        <w:ind w:firstLine="7"/>
        <w:spacing w:after="0" w:line="224" w:lineRule="auto"/>
        <w:tabs>
          <w:tab w:leader="none" w:pos="64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of Additional Amounts Upon an Accounting Restatement</w:t>
      </w:r>
      <w:r>
        <w:rPr>
          <w:rFonts w:ascii="Times New Roman" w:cs="Times New Roman" w:eastAsia="Times New Roman" w:hAnsi="Times New Roman"/>
          <w:sz w:val="21"/>
          <w:szCs w:val="21"/>
          <w:color w:val="auto"/>
        </w:rPr>
        <w:t>. In addition to (and without limiting) the provisions of Section 5 above, in the event that the Committee, in its sole discretion, determines that a current or former Covered Person’s acts or omissions that contributed to the circumstances requiring an Accounting Restatement involved Misconduct, then in each such case, the Company will (as determined by the Board in its sole discretion and as appropriate based on the conduct involved) use reasonable efforts to recover from such Covered Person up to 100% of the Incentive-Based Compensation (without regard to any taxes paid thereon by the Covered Person), and not just the Excess Awarded Compensation.</w:t>
      </w:r>
    </w:p>
    <w:p>
      <w:pPr>
        <w:spacing w:after="0" w:line="152" w:lineRule="exact"/>
        <w:rPr>
          <w:rFonts w:ascii="Times New Roman" w:cs="Times New Roman" w:eastAsia="Times New Roman" w:hAnsi="Times New Roman"/>
          <w:sz w:val="21"/>
          <w:szCs w:val="21"/>
          <w:color w:val="auto"/>
        </w:rPr>
      </w:pPr>
    </w:p>
    <w:p>
      <w:pPr>
        <w:jc w:val="both"/>
        <w:ind w:firstLine="7"/>
        <w:spacing w:after="0" w:line="221" w:lineRule="auto"/>
        <w:tabs>
          <w:tab w:leader="none" w:pos="64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Relating to Misconduct That Causes Specified Financial or Reputational Damage</w:t>
      </w:r>
      <w:r>
        <w:rPr>
          <w:rFonts w:ascii="Times New Roman" w:cs="Times New Roman" w:eastAsia="Times New Roman" w:hAnsi="Times New Roman"/>
          <w:sz w:val="21"/>
          <w:szCs w:val="21"/>
          <w:color w:val="auto"/>
        </w:rPr>
        <w:t>. In the event that the Committee, in its sole discretion, determines that (i) a current or former Covered Person engaged in Misconduct, and (ii) such Misconduct results in Reputational Damage, or, in the sole discretion of the Committee, in a material adverse effect on the financial or business reputation of the Company (regardless of whether the Company was required to prepare an Accounting Restatement on account of such Misconduct), then in each such case, the Company will (as determined by the Committee in its sole discretion and as appropriate based on the conduct involved) use reasonable efforts to recover from such Covered Person up to 100% of such Covered Person’s Incentive-Based Compensation (without regard to any taxes paid thereon by the Covered Person) from the Company during the three-year period preceding the date of discovery of the Misconduct.</w:t>
      </w:r>
    </w:p>
    <w:p>
      <w:pPr>
        <w:spacing w:after="0" w:line="155" w:lineRule="exact"/>
        <w:rPr>
          <w:rFonts w:ascii="Times New Roman" w:cs="Times New Roman" w:eastAsia="Times New Roman" w:hAnsi="Times New Roman"/>
          <w:sz w:val="21"/>
          <w:szCs w:val="21"/>
          <w:color w:val="auto"/>
        </w:rPr>
      </w:pPr>
    </w:p>
    <w:p>
      <w:pPr>
        <w:jc w:val="both"/>
        <w:ind w:firstLine="7"/>
        <w:spacing w:after="0" w:line="220" w:lineRule="auto"/>
        <w:tabs>
          <w:tab w:leader="none" w:pos="64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Inaccurate Performance Calculation</w:t>
      </w:r>
      <w:r>
        <w:rPr>
          <w:rFonts w:ascii="Times New Roman" w:cs="Times New Roman" w:eastAsia="Times New Roman" w:hAnsi="Times New Roman"/>
          <w:sz w:val="21"/>
          <w:szCs w:val="21"/>
          <w:color w:val="auto"/>
        </w:rPr>
        <w:t>. Without regard to a current or former Covered Person’s Misconduct under Sections 6 or 7 above, and without regard to an Accounting Restatement under Section 5, if the Committee determines, in its sole discretion, that Incentive-Based Compensation was based on performance that was calculated by the Company in an inaccurate manner, the Committee shall determine, in its sole discretion, the amount, if any, to seek to recover from any current or former Covered Person (without regard to any taxes paid thereon by the Covered Person) who received Incentive-Based Compensation from the Company, based on the inaccurate performance calculation, during the three completed fiscal years immediately preceding the date of the discovery of the inaccurate performance calculation. Any amount sought to be recovered shall in no event be greater than the difference between the amount that was received and the amount that would have been received based on the accurate performance calculation. If the Committee cannot determine the amount of excess Incentive-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88" w:right="339" w:bottom="1440" w:gutter="0" w:footer="0" w:header="0"/>
        </w:sectPr>
      </w:pPr>
    </w:p>
    <w:bookmarkStart w:id="147" w:name="page148"/>
    <w:bookmarkEnd w:id="147"/>
    <w:p>
      <w:pPr>
        <w:spacing w:after="0" w:line="251" w:lineRule="auto"/>
        <w:rPr>
          <w:sz w:val="20"/>
          <w:szCs w:val="20"/>
          <w:color w:val="auto"/>
        </w:rPr>
      </w:pPr>
      <w:r>
        <w:rPr>
          <w:rFonts w:ascii="Times New Roman" w:cs="Times New Roman" w:eastAsia="Times New Roman" w:hAnsi="Times New Roman"/>
          <w:sz w:val="21"/>
          <w:szCs w:val="21"/>
          <w:color w:val="auto"/>
        </w:rPr>
        <w:t>Based Compensation received by the Covered Person directly from the accurate performance calculation, then it will make its determination based on a reasonable estimate of the effect of the accurate performance calculation.</w:t>
      </w:r>
    </w:p>
    <w:p>
      <w:pPr>
        <w:spacing w:after="0" w:line="140" w:lineRule="exact"/>
        <w:rPr>
          <w:sz w:val="20"/>
          <w:szCs w:val="20"/>
          <w:color w:val="auto"/>
        </w:rPr>
      </w:pPr>
    </w:p>
    <w:p>
      <w:pPr>
        <w:jc w:val="both"/>
        <w:ind w:firstLine="7"/>
        <w:spacing w:after="0"/>
        <w:tabs>
          <w:tab w:leader="none" w:pos="64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Recoupment and/or Forfeiture</w:t>
      </w:r>
      <w:r>
        <w:rPr>
          <w:rFonts w:ascii="Times New Roman" w:cs="Times New Roman" w:eastAsia="Times New Roman" w:hAnsi="Times New Roman"/>
          <w:sz w:val="21"/>
          <w:szCs w:val="21"/>
          <w:color w:val="auto"/>
        </w:rPr>
        <w:t>. The Committee shall determine, in its sole discretion, the appropriate method for recouping or cancelling, as the case may be, Excess Awarded Compensation or Incentive-Based Compensation hereunder based on all applicable facts and circumstances and taking into account the time value of money and the cost to shareholders of delaying recovery, which, to the extent permitted by applicable law, may include, without limitation, any one or more of the following:</w:t>
      </w:r>
    </w:p>
    <w:p>
      <w:pPr>
        <w:spacing w:after="0" w:line="323"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188" w:lineRule="exact"/>
        <w:rPr>
          <w:rFonts w:ascii="Times New Roman" w:cs="Times New Roman" w:eastAsia="Times New Roman" w:hAnsi="Times New Roman"/>
          <w:sz w:val="21"/>
          <w:szCs w:val="21"/>
          <w:color w:val="auto"/>
        </w:rPr>
      </w:pPr>
    </w:p>
    <w:p>
      <w:pPr>
        <w:ind w:right="200" w:firstLine="652"/>
        <w:spacing w:after="0" w:line="251" w:lineRule="auto"/>
        <w:tabs>
          <w:tab w:leader="none" w:pos="128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39"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rescinding some or all outstanding vested or unvested equity-based awards;</w:t>
      </w:r>
    </w:p>
    <w:p>
      <w:pPr>
        <w:spacing w:after="0" w:line="188"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adjusting or withholding from unpaid compensation or other set-off;</w:t>
      </w:r>
    </w:p>
    <w:p>
      <w:pPr>
        <w:spacing w:after="0" w:line="188"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setting-off against planned future grants of equity-based awards; and/or</w:t>
      </w:r>
    </w:p>
    <w:p>
      <w:pPr>
        <w:spacing w:after="0" w:line="188"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permitted by applicable law or contract.</w:t>
      </w:r>
    </w:p>
    <w:p>
      <w:pPr>
        <w:spacing w:after="0" w:line="188" w:lineRule="exact"/>
        <w:rPr>
          <w:sz w:val="20"/>
          <w:szCs w:val="20"/>
          <w:color w:val="auto"/>
        </w:rPr>
      </w:pPr>
    </w:p>
    <w:p>
      <w:pPr>
        <w:jc w:val="both"/>
        <w:ind w:firstLine="645"/>
        <w:spacing w:after="0" w:line="222" w:lineRule="auto"/>
        <w:rPr>
          <w:sz w:val="20"/>
          <w:szCs w:val="20"/>
          <w:color w:val="auto"/>
        </w:rPr>
      </w:pPr>
      <w:r>
        <w:rPr>
          <w:rFonts w:ascii="Times New Roman" w:cs="Times New Roman" w:eastAsia="Times New Roman" w:hAnsi="Times New Roman"/>
          <w:sz w:val="21"/>
          <w:szCs w:val="21"/>
          <w:color w:val="auto"/>
        </w:rPr>
        <w:t>To the extent that a current or former Covered Person fails to repay Excess Awarded Compensation or Incentive-Based Compensation to the Company required pursuant to this Policy, the Company shall take all actions reasonable and appropriate to recover such Excess Awarded Compensation or Incentive-Based Compensation from the applicable Covered Person. The applicable Covered Person shall be required to reimburse the Company for any and all expenses reasonably incurred (including legal fees) by the Company in recovering such Excess Awarded Compensation or Incentive-Based Compensation in accordance with the immediately preceding sentence. Notwithstanding anything herein to the contrary, the Company shall not be required to take the actions contemplated by Section 5 above if Impracticable.</w:t>
      </w:r>
    </w:p>
    <w:p>
      <w:pPr>
        <w:spacing w:after="0" w:line="156" w:lineRule="exact"/>
        <w:rPr>
          <w:sz w:val="20"/>
          <w:szCs w:val="20"/>
          <w:color w:val="auto"/>
        </w:rPr>
      </w:pPr>
    </w:p>
    <w:p>
      <w:pPr>
        <w:jc w:val="both"/>
        <w:ind w:firstLine="7"/>
        <w:spacing w:after="0" w:line="219" w:lineRule="auto"/>
        <w:tabs>
          <w:tab w:leader="none" w:pos="64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 of Policy</w:t>
      </w:r>
      <w:r>
        <w:rPr>
          <w:rFonts w:ascii="Times New Roman" w:cs="Times New Roman" w:eastAsia="Times New Roman" w:hAnsi="Times New Roman"/>
          <w:sz w:val="21"/>
          <w:szCs w:val="21"/>
          <w:color w:val="auto"/>
        </w:rPr>
        <w:t>. The Committee has the sole power and authority to interpret, construe, and administer this Policy and to make all determinations necessary, appropriate, or advisable for the administration of this Policy. To the extent applicable, this Policy will be interpreted in a manner that is consistent with any applicable rules or regulations adopted by the U.S. Securities and Exchange Commission or NYSE pursuant to Section 10D of the Exchange Act (the “Applicable Rules”), Rule 10D-1 promulgated thereunder and any other applicable law and will otherwise be interpreted (including in the determination of amounts recoverable) in the business judgment of the Committee, and to the extent this Policy is inconsistent with such requirements, rules or other guidance, it shall be deemed amended to the minimum extent necessary to ensure compliance therewith. To the extent the Applicable Rules require recovery of incentive-based compensation in additional circumstances besides those specified above, nothing in this Policy will be deemed to limit or restrict the right or obligation of the Company to recover incentive-based compensation to the fullest extent required by the Applicable Rules. Moreover, nothing in this Policy shall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88" w:right="339" w:bottom="1440" w:gutter="0" w:footer="0" w:header="0"/>
        </w:sectPr>
      </w:pPr>
    </w:p>
    <w:bookmarkStart w:id="148" w:name="page149"/>
    <w:bookmarkEnd w:id="148"/>
    <w:p>
      <w:pPr>
        <w:jc w:val="both"/>
        <w:ind w:firstLine="7"/>
        <w:spacing w:after="0" w:line="229" w:lineRule="auto"/>
        <w:tabs>
          <w:tab w:leader="none" w:pos="63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 Exclusive</w:t>
      </w:r>
      <w:r>
        <w:rPr>
          <w:rFonts w:ascii="Times New Roman" w:cs="Times New Roman" w:eastAsia="Times New Roman" w:hAnsi="Times New Roman"/>
          <w:sz w:val="21"/>
          <w:szCs w:val="21"/>
          <w:color w:val="auto"/>
        </w:rPr>
        <w:t>. Any recoupment, forfeiture, or cancellation under this Policy is in addition to, and not in lieu of, any other remedies or rights of recoupment that may be available to the Company pursuant to the terms of any similar policy in any employment agreement, incentive or equity compensation plan or award or other agreement and any other legal rights or remedies that may be available to the Company or any affiliate of the Company.</w:t>
      </w:r>
    </w:p>
    <w:p>
      <w:pPr>
        <w:spacing w:after="0" w:line="153" w:lineRule="exact"/>
        <w:rPr>
          <w:rFonts w:ascii="Times New Roman" w:cs="Times New Roman" w:eastAsia="Times New Roman" w:hAnsi="Times New Roman"/>
          <w:sz w:val="21"/>
          <w:szCs w:val="21"/>
          <w:color w:val="auto"/>
        </w:rPr>
      </w:pPr>
    </w:p>
    <w:p>
      <w:pPr>
        <w:jc w:val="both"/>
        <w:ind w:firstLine="7"/>
        <w:spacing w:after="0" w:line="235" w:lineRule="auto"/>
        <w:tabs>
          <w:tab w:leader="none" w:pos="64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and Disclosure</w:t>
      </w:r>
      <w:r>
        <w:rPr>
          <w:rFonts w:ascii="Times New Roman" w:cs="Times New Roman" w:eastAsia="Times New Roman" w:hAnsi="Times New Roman"/>
          <w:sz w:val="21"/>
          <w:szCs w:val="21"/>
          <w:color w:val="auto"/>
        </w:rPr>
        <w:t>. The Company shall file all disclosures with respect to this Policy in accordance with the requirement of the federal securities laws, including the disclosure required by the applicable U.S. Securities and Exchange Commission filings.</w:t>
      </w:r>
    </w:p>
    <w:p>
      <w:pPr>
        <w:spacing w:after="0" w:line="150" w:lineRule="exact"/>
        <w:rPr>
          <w:rFonts w:ascii="Times New Roman" w:cs="Times New Roman" w:eastAsia="Times New Roman" w:hAnsi="Times New Roman"/>
          <w:sz w:val="21"/>
          <w:szCs w:val="21"/>
          <w:color w:val="auto"/>
        </w:rPr>
      </w:pPr>
    </w:p>
    <w:p>
      <w:pPr>
        <w:jc w:val="both"/>
        <w:ind w:firstLine="7"/>
        <w:spacing w:after="0" w:line="226" w:lineRule="auto"/>
        <w:tabs>
          <w:tab w:leader="none" w:pos="64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w:t>
      </w:r>
      <w:r>
        <w:rPr>
          <w:rFonts w:ascii="Times New Roman" w:cs="Times New Roman" w:eastAsia="Times New Roman" w:hAnsi="Times New Roman"/>
          <w:sz w:val="21"/>
          <w:szCs w:val="21"/>
          <w:color w:val="auto"/>
        </w:rPr>
        <w:t>. The Company shall not indemnify or insure or agree to indemnify or insure any Covered Person against the loss of erroneously awarded compensation subject to this Policy, nor shall the Company pay or agree to purchase or reimburse any insurance premium to cover the loss of erroneously awarded compensation or any claims relating to the Company’s enforcement of this Policy. None of the Company, any affiliate of the Company or any member of the Board shall have any liability to a Covered Person with respect to any actions taken under this Policy.</w:t>
      </w:r>
    </w:p>
    <w:p>
      <w:pPr>
        <w:spacing w:after="0" w:line="166" w:lineRule="exact"/>
        <w:rPr>
          <w:rFonts w:ascii="Times New Roman" w:cs="Times New Roman" w:eastAsia="Times New Roman" w:hAnsi="Times New Roman"/>
          <w:sz w:val="21"/>
          <w:szCs w:val="21"/>
          <w:color w:val="auto"/>
        </w:rPr>
      </w:pPr>
    </w:p>
    <w:p>
      <w:pPr>
        <w:jc w:val="both"/>
        <w:ind w:left="80" w:hanging="8"/>
        <w:spacing w:after="0" w:line="253" w:lineRule="auto"/>
        <w:tabs>
          <w:tab w:leader="none" w:pos="65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Termination</w:t>
      </w:r>
      <w:r>
        <w:rPr>
          <w:rFonts w:ascii="Times New Roman" w:cs="Times New Roman" w:eastAsia="Times New Roman" w:hAnsi="Times New Roman"/>
          <w:sz w:val="21"/>
          <w:szCs w:val="21"/>
          <w:color w:val="auto"/>
        </w:rPr>
        <w:t>. The Board may amend, modify, suspend or terminate this Policy in whole or in part at any time in its sole discretion and may adopt such rules and procedures that it deems necessary, appropriate or advisable to implement this Policy or to comply with applicable laws and regulations. This Policy will terminate automatically when the Company does not have a class of securities listed on a national securities exchange or association. Incentive-Based Compensation shall not be deemed earned, solely for purposes of state wage laws, until the last date on which such Incentive-Based Compensation is not subject to potential recoupment pursuant to this Policy.</w:t>
      </w:r>
    </w:p>
    <w:p>
      <w:pPr>
        <w:spacing w:after="0" w:line="165" w:lineRule="exact"/>
        <w:rPr>
          <w:rFonts w:ascii="Times New Roman" w:cs="Times New Roman" w:eastAsia="Times New Roman" w:hAnsi="Times New Roman"/>
          <w:sz w:val="21"/>
          <w:szCs w:val="21"/>
          <w:color w:val="auto"/>
        </w:rPr>
      </w:pPr>
    </w:p>
    <w:p>
      <w:pPr>
        <w:ind w:left="80" w:hanging="8"/>
        <w:spacing w:after="0" w:line="291" w:lineRule="auto"/>
        <w:tabs>
          <w:tab w:leader="none" w:pos="65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Policy shall be binding and enforceable against all Covered Persons and their beneficiaries, heirs, executors, administrators or other legal representatives.</w:t>
      </w:r>
    </w:p>
    <w:p>
      <w:pPr>
        <w:spacing w:after="0" w:line="126" w:lineRule="exact"/>
        <w:rPr>
          <w:rFonts w:ascii="Times New Roman" w:cs="Times New Roman" w:eastAsia="Times New Roman" w:hAnsi="Times New Roman"/>
          <w:sz w:val="21"/>
          <w:szCs w:val="21"/>
          <w:color w:val="auto"/>
        </w:rPr>
      </w:pPr>
    </w:p>
    <w:p>
      <w:pPr>
        <w:jc w:val="both"/>
        <w:ind w:left="80" w:hanging="8"/>
        <w:spacing w:after="0" w:line="257" w:lineRule="auto"/>
        <w:tabs>
          <w:tab w:leader="none" w:pos="65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sectPr>
      <w:pgSz w:w="11900" w:h="16838" w:orient="portrait"/>
      <w:cols w:equalWidth="0" w:num="1">
        <w:col w:w="11240"/>
      </w:cols>
      <w:pgMar w:left="320" w:top="1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lowerLetter"/>
      <w:start w:val="1"/>
    </w:lvl>
  </w:abstractNum>
  <w:abstractNum w:abstractNumId="3">
    <w:nsid w:val="70A64E2A"/>
    <w:multiLevelType w:val="hybridMultilevel"/>
    <w:lvl w:ilvl="0">
      <w:lvlJc w:val="left"/>
      <w:lvlText w:val="(%1)"/>
      <w:numFmt w:val="decimal"/>
      <w:start w:val="5"/>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1)"/>
      <w:numFmt w:val="lowerLetter"/>
      <w:start w:val="1"/>
    </w:lvl>
    <w:lvl w:ilvl="1">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decimal"/>
      <w:start w:val="3"/>
    </w:lvl>
  </w:abstractNum>
  <w:abstractNum w:abstractNumId="16">
    <w:nsid w:val="32FFF902"/>
    <w:multiLevelType w:val="hybridMultilevel"/>
    <w:lvl w:ilvl="0">
      <w:lvlJc w:val="left"/>
      <w:lvlText w:val="(%1)"/>
      <w:numFmt w:val="decimal"/>
      <w:start w:val="5"/>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Letter"/>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22"/>
    </w:lvl>
  </w:abstractNum>
  <w:abstractNum w:abstractNumId="24">
    <w:nsid w:val="12E685FB"/>
    <w:multiLevelType w:val="hybridMultilevel"/>
    <w:lvl w:ilvl="0">
      <w:lvlJc w:val="left"/>
      <w:lvlText w:val="(%1)"/>
      <w:numFmt w:val="lowerLetter"/>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1)"/>
      <w:numFmt w:val="lowerLetter"/>
      <w:start w:val="1"/>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1"/>
    </w:lvl>
    <w:lvl w:ilvl="1">
      <w:lvlJc w:val="left"/>
      <w:lvlText w:val="%2."/>
      <w:numFmt w:val="decimal"/>
      <w:start w:val="2"/>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lvl w:ilvl="1">
      <w:lvlJc w:val="left"/>
      <w:lvlText w:val="*"/>
      <w:numFmt w:val="bullet"/>
      <w:start w:val="1"/>
    </w:lvl>
  </w:abstractNum>
  <w:abstractNum w:abstractNumId="45">
    <w:nsid w:val="77AE35EB"/>
    <w:multiLevelType w:val="hybridMultilevel"/>
    <w:lvl w:ilvl="0">
      <w:lvlJc w:val="left"/>
      <w:lvlText w:val="%1)"/>
      <w:numFmt w:val="lowerLetter"/>
      <w:start w:val="1"/>
    </w:lvl>
  </w:abstractNum>
  <w:abstractNum w:abstractNumId="46">
    <w:nsid w:val="579BE4F1"/>
    <w:multiLevelType w:val="hybridMultilevel"/>
    <w:lvl w:ilvl="0">
      <w:lvlJc w:val="left"/>
      <w:lvlText w:val="%1)"/>
      <w:numFmt w:val="lowerLetter"/>
      <w:start w:val="5"/>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2"/>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1."/>
      <w:numFmt w:val="decimal"/>
      <w:start w:val="3"/>
    </w:lvl>
  </w:abstractNum>
  <w:abstractNum w:abstractNumId="53">
    <w:nsid w:val="1F48EAA1"/>
    <w:multiLevelType w:val="hybridMultilevel"/>
    <w:lvl w:ilvl="0">
      <w:lvlJc w:val="left"/>
      <w:lvlText w:val="%1."/>
      <w:numFmt w:val="lowerLetter"/>
      <w:start w:val="1"/>
    </w:lvl>
    <w:lvl w:ilvl="1">
      <w:lvlJc w:val="left"/>
      <w:lvlText w:val="(%2)"/>
      <w:numFmt w:val="lowerRoman"/>
      <w:start w:val="1"/>
    </w:lvl>
  </w:abstractNum>
  <w:abstractNum w:abstractNumId="54">
    <w:nsid w:val="1381823A"/>
    <w:multiLevelType w:val="hybridMultilevel"/>
    <w:lvl w:ilvl="0">
      <w:lvlJc w:val="left"/>
      <w:lvlText w:val="%1."/>
      <w:numFmt w:val="lowerLetter"/>
      <w:start w:val="1"/>
    </w:lvl>
    <w:lvl w:ilvl="1">
      <w:lvlJc w:val="left"/>
      <w:lvlText w:val="(%2)"/>
      <w:numFmt w:val="lowerRoman"/>
      <w:start w:val="1"/>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2"/>
    </w:lvl>
  </w:abstractNum>
  <w:abstractNum w:abstractNumId="57">
    <w:nsid w:val="6590700B"/>
    <w:multiLevelType w:val="hybridMultilevel"/>
    <w:lvl w:ilvl="0">
      <w:lvlJc w:val="left"/>
      <w:lvlText w:val="%1."/>
      <w:numFmt w:val="decimal"/>
      <w:start w:val="4"/>
    </w:lvl>
  </w:abstractNum>
  <w:abstractNum w:abstractNumId="58">
    <w:nsid w:val="15014ACB"/>
    <w:multiLevelType w:val="hybridMultilevel"/>
    <w:lvl w:ilvl="0">
      <w:lvlJc w:val="left"/>
      <w:lvlText w:val="%1"/>
      <w:numFmt w:val="decimal"/>
      <w:start w:val="1"/>
    </w:lvl>
    <w:lvl w:ilvl="1">
      <w:lvlJc w:val="left"/>
      <w:lvlText w:val="%2."/>
      <w:numFmt w:val="lowerLetter"/>
      <w:start w:val="1"/>
    </w:lvl>
  </w:abstractNum>
  <w:abstractNum w:abstractNumId="59">
    <w:nsid w:val="5F5E7FD0"/>
    <w:multiLevelType w:val="hybridMultilevel"/>
    <w:lvl w:ilvl="0">
      <w:lvlJc w:val="left"/>
      <w:lvlText w:val="%1."/>
      <w:numFmt w:val="decimal"/>
      <w:start w:val="5"/>
    </w:lvl>
    <w:lvl w:ilvl="1">
      <w:lvlJc w:val="left"/>
      <w:lvlText w:val="%2"/>
      <w:numFmt w:val="lowerLetter"/>
      <w:start w:val="1"/>
    </w:lvl>
  </w:abstractNum>
  <w:abstractNum w:abstractNumId="60">
    <w:nsid w:val="98A3148"/>
    <w:multiLevelType w:val="hybridMultilevel"/>
    <w:lvl w:ilvl="0">
      <w:lvlJc w:val="left"/>
      <w:lvlText w:val="%1."/>
      <w:numFmt w:val="decimal"/>
      <w:start w:val="6"/>
    </w:lvl>
  </w:abstractNum>
  <w:abstractNum w:abstractNumId="61">
    <w:nsid w:val="799D0247"/>
    <w:multiLevelType w:val="hybridMultilevel"/>
    <w:lvl w:ilvl="0">
      <w:lvlJc w:val="left"/>
      <w:lvlText w:val="%1."/>
      <w:numFmt w:val="decimal"/>
      <w:start w:val="2"/>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lowerLetter"/>
      <w:start w:val="2"/>
    </w:lvl>
    <w:lvl w:ilvl="1">
      <w:lvlJc w:val="left"/>
      <w:lvlText w:val="(%2)"/>
      <w:numFmt w:val="decimal"/>
      <w:start w:val="1"/>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decimal"/>
      <w:start w:val="1"/>
    </w:lvl>
    <w:lvl w:ilvl="1">
      <w:lvlJc w:val="left"/>
      <w:lvlText w:val="%2)"/>
      <w:numFmt w:val="lowerLetter"/>
      <w:start w:val="1"/>
    </w:lvl>
  </w:abstractNum>
  <w:abstractNum w:abstractNumId="67">
    <w:nsid w:val="5DC79EA8"/>
    <w:multiLevelType w:val="hybridMultilevel"/>
    <w:lvl w:ilvl="0">
      <w:lvlJc w:val="left"/>
      <w:lvlText w:val="%1."/>
      <w:numFmt w:val="decimal"/>
      <w:start w:val="1"/>
    </w:lvl>
    <w:lvl w:ilvl="1">
      <w:lvlJc w:val="left"/>
      <w:lvlText w:val="%2)"/>
      <w:numFmt w:val="lowerLetter"/>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lvl w:ilvl="1">
      <w:lvlJc w:val="left"/>
      <w:lvlText w:val="(%2)"/>
      <w:numFmt w:val="lowerLetter"/>
      <w:start w:val="1"/>
    </w:lvl>
  </w:abstractNum>
  <w:abstractNum w:abstractNumId="70">
    <w:nsid w:val="51D9C564"/>
    <w:multiLevelType w:val="hybridMultilevel"/>
    <w:lvl w:ilvl="0">
      <w:lvlJc w:val="left"/>
      <w:lvlText w:val="(%1)"/>
      <w:numFmt w:val="lowerLetter"/>
      <w:start w:val="3"/>
    </w:lvl>
  </w:abstractNum>
  <w:abstractNum w:abstractNumId="71">
    <w:nsid w:val="613EFDC5"/>
    <w:multiLevelType w:val="hybridMultilevel"/>
    <w:lvl w:ilvl="0">
      <w:lvlJc w:val="left"/>
      <w:lvlText w:val="%1."/>
      <w:numFmt w:val="lowerRoman"/>
      <w:start w:val="1"/>
    </w:lvl>
  </w:abstractNum>
  <w:abstractNum w:abstractNumId="72">
    <w:nsid w:val="BF72B14"/>
    <w:multiLevelType w:val="hybridMultilevel"/>
    <w:lvl w:ilvl="0">
      <w:lvlJc w:val="left"/>
      <w:lvlText w:val="(%1)"/>
      <w:numFmt w:val="lowerLetter"/>
      <w:start w:val="4"/>
    </w:lvl>
  </w:abstractNum>
  <w:abstractNum w:abstractNumId="73">
    <w:nsid w:val="11447B73"/>
    <w:multiLevelType w:val="hybridMultilevel"/>
    <w:lvl w:ilvl="0">
      <w:lvlJc w:val="left"/>
      <w:lvlText w:val="%1."/>
      <w:numFmt w:val="lowerRoman"/>
      <w:start w:val="1"/>
    </w:lvl>
  </w:abstractNum>
  <w:abstractNum w:abstractNumId="74">
    <w:nsid w:val="42963E5A"/>
    <w:multiLevelType w:val="hybridMultilevel"/>
    <w:lvl w:ilvl="0">
      <w:lvlJc w:val="left"/>
      <w:lvlText w:val="(%1)"/>
      <w:numFmt w:val="lowerLetter"/>
      <w:start w:val="7"/>
    </w:lvl>
  </w:abstractNum>
  <w:abstractNum w:abstractNumId="75">
    <w:nsid w:val="A0382C5"/>
    <w:multiLevelType w:val="hybridMultilevel"/>
    <w:lvl w:ilvl="0">
      <w:lvlJc w:val="left"/>
      <w:lvlText w:val="%1"/>
      <w:numFmt w:val="decimal"/>
      <w:start w:val="1"/>
    </w:lvl>
    <w:lvl w:ilvl="1">
      <w:lvlJc w:val="left"/>
      <w:lvlText w:val="(%2)"/>
      <w:numFmt w:val="lowerRoman"/>
      <w:start w:val="1"/>
    </w:lvl>
  </w:abstractNum>
  <w:abstractNum w:abstractNumId="76">
    <w:nsid w:val="8F2B15E"/>
    <w:multiLevelType w:val="hybridMultilevel"/>
    <w:lvl w:ilvl="0">
      <w:lvlJc w:val="left"/>
      <w:lvlText w:val="%1."/>
      <w:numFmt w:val="decimal"/>
      <w:start w:val="5"/>
    </w:lvl>
    <w:lvl w:ilvl="1">
      <w:lvlJc w:val="left"/>
      <w:lvlText w:val="%2"/>
      <w:numFmt w:val="lowerRoman"/>
      <w:start w:val="1"/>
    </w:lvl>
  </w:abstractNum>
  <w:abstractNum w:abstractNumId="77">
    <w:nsid w:val="1A32234B"/>
    <w:multiLevelType w:val="hybridMultilevel"/>
    <w:lvl w:ilvl="0">
      <w:lvlJc w:val="left"/>
      <w:lvlText w:val="%1."/>
      <w:numFmt w:val="decimal"/>
      <w:start w:val="9"/>
    </w:lvl>
    <w:lvl w:ilvl="1">
      <w:lvlJc w:val="left"/>
      <w:lvlText w:val="(%2)"/>
      <w:numFmt w:val="lowerLetter"/>
      <w:start w:val="1"/>
    </w:lvl>
  </w:abstractNum>
  <w:abstractNum w:abstractNumId="78">
    <w:nsid w:val="3B0FD379"/>
    <w:multiLevelType w:val="hybridMultilevel"/>
    <w:lvl w:ilvl="0">
      <w:lvlJc w:val="left"/>
      <w:lvlText w:val="%1."/>
      <w:numFmt w:val="decimal"/>
      <w:start w:val="10"/>
    </w:lvl>
  </w:abstractNum>
  <w:abstractNum w:abstractNumId="79">
    <w:nsid w:val="68EB2F63"/>
    <w:multiLevelType w:val="hybridMultilevel"/>
    <w:lvl w:ilvl="0">
      <w:lvlJc w:val="left"/>
      <w:lvlText w:val="%1."/>
      <w:numFmt w:val="decimal"/>
      <w:start w:val="11"/>
    </w:lvl>
    <w:lvl w:ilvl="1">
      <w:lvlJc w:val="left"/>
      <w:lvlText w:val="%2."/>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53" Type="http://schemas.openxmlformats.org/officeDocument/2006/relationships/image" Target="media/image130.png"/><Relationship Id="rId176" Type="http://schemas.openxmlformats.org/officeDocument/2006/relationships/image" Target="media/image131.png"/><Relationship Id="rId180"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44" Type="http://schemas.openxmlformats.org/officeDocument/2006/relationships/hyperlink" Target="https://www.sec.gov/ix?doc=/Archives/edgar/data/0001467858/000146785823000029/gm-20221231.htm" TargetMode="External"/><Relationship Id="rId138" Type="http://schemas.openxmlformats.org/officeDocument/2006/relationships/hyperlink" Target="http://www.sec.gov/Archives/edgar/data/1467858/000146785817000070/ex-21x03312017.htm" TargetMode="External"/><Relationship Id="rId139" Type="http://schemas.openxmlformats.org/officeDocument/2006/relationships/hyperlink" Target="http://www.sec.gov/Archives/edgar/data/1467858/000146785818000089/ex215312018purchaseagreeme.htm" TargetMode="External"/><Relationship Id="rId140" Type="http://schemas.openxmlformats.org/officeDocument/2006/relationships/hyperlink" Target="https://www.sec.gov/Archives/edgar/data/1467858/000146785819000033/ex-23purchaseagreementgmcr.htm" TargetMode="External"/><Relationship Id="rId141" Type="http://schemas.openxmlformats.org/officeDocument/2006/relationships/hyperlink" Target="http://www.sec.gov/Archives/edgar/data/1467858/000119312510279214/dex32.htm" TargetMode="External"/><Relationship Id="rId142" Type="http://schemas.openxmlformats.org/officeDocument/2006/relationships/hyperlink" Target="https://www.sec.gov/Archives/edgar/data/1467858/000119312523110552/d415489dex31.htm" TargetMode="External"/><Relationship Id="rId143" Type="http://schemas.openxmlformats.org/officeDocument/2006/relationships/hyperlink" Target="https://www.sec.gov/Archives/edgar/data/1467858/000146785820000028/ex-41xdescriptionofsec.htm" TargetMode="External"/><Relationship Id="rId144" Type="http://schemas.openxmlformats.org/officeDocument/2006/relationships/hyperlink" Target="http://www.sec.gov/Archives/edgar/data/1467858/000146785814000133/ex42043014indenture.htm" TargetMode="External"/><Relationship Id="rId145" Type="http://schemas.openxmlformats.org/officeDocument/2006/relationships/hyperlink" Target="http://www.sec.gov/Archives/edgar/data/1467858/000146785814000149/ex43gmsupplementalindenture.htm" TargetMode="External"/><Relationship Id="rId146" Type="http://schemas.openxmlformats.org/officeDocument/2006/relationships/hyperlink" Target="http://www.sec.gov/Archives/edgar/data/1467858/000146785814000251/ex-44secondsupplementalind.htm" TargetMode="External"/><Relationship Id="rId147" Type="http://schemas.openxmlformats.org/officeDocument/2006/relationships/hyperlink" Target="http://www.sec.gov/Archives/edgar/data/1467858/000119312516473749/d52897dex41.htm" TargetMode="External"/><Relationship Id="rId148" Type="http://schemas.openxmlformats.org/officeDocument/2006/relationships/hyperlink" Target="http://www.sec.gov/Archives/edgar/data/1467858/000119312517251403/d429540dex41.htm" TargetMode="External"/><Relationship Id="rId149" Type="http://schemas.openxmlformats.org/officeDocument/2006/relationships/hyperlink" Target="http://www.sec.gov/Archives/edgar/data/1467858/000119312518270117/d616437dex42.htm" TargetMode="External"/><Relationship Id="rId150" Type="http://schemas.openxmlformats.org/officeDocument/2006/relationships/hyperlink" Target="https://www.sec.gov/Archives/edgar/data/1467858/000119312520140520/d893278dex42.htm" TargetMode="External"/><Relationship Id="rId151" Type="http://schemas.openxmlformats.org/officeDocument/2006/relationships/hyperlink" Target="https://www.sec.gov/Archives/edgar/data/1467858/000119312522210038/d380927dex42.htm" TargetMode="External"/><Relationship Id="rId152" Type="http://schemas.openxmlformats.org/officeDocument/2006/relationships/hyperlink" Target="http://www.sec.gov/Archives/edgar/data/1467858/000119312518270117/d616437dex43.htm" TargetMode="External"/><Relationship Id="rId154" Type="http://schemas.openxmlformats.org/officeDocument/2006/relationships/hyperlink" Target="http://www.sec.gov/Archives/edgar/data/1467858/000119312510078119/dex1014.htm" TargetMode="External"/><Relationship Id="rId155" Type="http://schemas.openxmlformats.org/officeDocument/2006/relationships/hyperlink" Target="http://www.sec.gov/Archives/edgar/data/1467858/000146785813000025/ex-1012x12312012.htm" TargetMode="External"/><Relationship Id="rId156" Type="http://schemas.openxmlformats.org/officeDocument/2006/relationships/hyperlink" Target="http://www.sec.gov/Archives/edgar/data/1467858/000119312516449435/d124387dex102.htm" TargetMode="External"/><Relationship Id="rId157" Type="http://schemas.openxmlformats.org/officeDocument/2006/relationships/hyperlink" Target="http://www.sec.gov/Archives/edgar/data/40730/000095012406001534/k03376exv10wxgy.htm" TargetMode="External"/><Relationship Id="rId158" Type="http://schemas.openxmlformats.org/officeDocument/2006/relationships/hyperlink" Target="http://www.sec.gov/Archives/edgar/data/1467858/000146785814000164/ex101-2014longxtermincenti.htm" TargetMode="External"/><Relationship Id="rId159" Type="http://schemas.openxmlformats.org/officeDocument/2006/relationships/hyperlink" Target="http://www.sec.gov/Archives/edgar/data/1467858/000146785815000178/formofawardagreement.htm" TargetMode="External"/><Relationship Id="rId160" Type="http://schemas.openxmlformats.org/officeDocument/2006/relationships/hyperlink" Target="http://www.sec.gov/Archives/edgar/data/1467858/000146785816000317/ex-106xindemnificationagre.htm" TargetMode="External"/><Relationship Id="rId161" Type="http://schemas.openxmlformats.org/officeDocument/2006/relationships/hyperlink" Target="http://www.sec.gov/Archives/edgar/data/1467858/000146785818000022/ex1025-2017stip.htm" TargetMode="External"/><Relationship Id="rId162" Type="http://schemas.openxmlformats.org/officeDocument/2006/relationships/hyperlink" Target="http://www.sec.gov/Archives/edgar/data/1467858/000119312517205999/d405034dex41.htm" TargetMode="External"/><Relationship Id="rId163" Type="http://schemas.openxmlformats.org/officeDocument/2006/relationships/hyperlink" Target="https://www.sec.gov/Archives/edgar/data/1467858/000146785820000069/exhibit101-formofpsuaw.htm" TargetMode="External"/><Relationship Id="rId164" Type="http://schemas.openxmlformats.org/officeDocument/2006/relationships/hyperlink" Target="http://www.sec.gov/Archives/edgar/data/1467858/000146785818000068/ex-102x03312018.htm" TargetMode="External"/><Relationship Id="rId165" Type="http://schemas.openxmlformats.org/officeDocument/2006/relationships/hyperlink" Target="https://www.sec.gov/Archives/edgar/data/1467858/000146785820000069/exhibit102-formofoptio.htm" TargetMode="External"/><Relationship Id="rId166" Type="http://schemas.openxmlformats.org/officeDocument/2006/relationships/hyperlink" Target="https://www.sec.gov/Archives/edgar/data/1467858/000146785819000033/ex-1023amendedgmexecutives.htm" TargetMode="External"/><Relationship Id="rId167" Type="http://schemas.openxmlformats.org/officeDocument/2006/relationships/hyperlink" Target="https://www.sec.gov/Archives/edgar/data/1467858/000146785819000121/ex-102xformoftimesharing.htm" TargetMode="External"/><Relationship Id="rId168" Type="http://schemas.openxmlformats.org/officeDocument/2006/relationships/hyperlink" Target="https://www.sec.gov/Archives/edgar/data/1467858/000146785820000028/ex-1019xthegeneralmoto.htm" TargetMode="External"/><Relationship Id="rId169" Type="http://schemas.openxmlformats.org/officeDocument/2006/relationships/hyperlink" Target="https://www.sec.gov/Archives/edgar/data/1467858/000119312520178815/d920608dex41.htm" TargetMode="External"/><Relationship Id="rId170" Type="http://schemas.openxmlformats.org/officeDocument/2006/relationships/hyperlink" Target="https://www.sec.gov/Archives/edgar/data/1467858/000119312523126270/d333787ddef14a.htm#toc333787_48" TargetMode="External"/><Relationship Id="rId171" Type="http://schemas.openxmlformats.org/officeDocument/2006/relationships/hyperlink" Target="https://www.sec.gov/Archives/edgar/data/1467858/000146785821000117/exhibit101formofpsu.htm" TargetMode="External"/><Relationship Id="rId172" Type="http://schemas.openxmlformats.org/officeDocument/2006/relationships/hyperlink" Target="https://www.sec.gov/Archives/edgar/data/1467858/000146785822000078/exhibit101-formofpsuawarda.htm" TargetMode="External"/><Relationship Id="rId173" Type="http://schemas.openxmlformats.org/officeDocument/2006/relationships/hyperlink" Target="https://www.sec.gov/Archives/edgar/data/1467858/000146785821000117/exhibit102formofoption.htm" TargetMode="External"/><Relationship Id="rId174" Type="http://schemas.openxmlformats.org/officeDocument/2006/relationships/hyperlink" Target="https://www.sec.gov/Archives/edgar/data/1467858/000146785822000078/exhibit102-formofnonxquali.htm" TargetMode="External"/><Relationship Id="rId175" Type="http://schemas.openxmlformats.org/officeDocument/2006/relationships/hyperlink" Target="https://www.sec.gov/Archives/edgar/data/1467858/000146785821000037/ex-1024xformofrsuaward.htm" TargetMode="External"/><Relationship Id="rId177" Type="http://schemas.openxmlformats.org/officeDocument/2006/relationships/hyperlink" Target="https://www.sec.gov/Archives/edgar/data/1467858/000146785823000107/exhibit101-final2023rsuawa.htm" TargetMode="External"/><Relationship Id="rId178" Type="http://schemas.openxmlformats.org/officeDocument/2006/relationships/hyperlink" Target="https://www.sec.gov/Archives/edgar/data/1467858/000119312523086956/d826843dex101.htm" TargetMode="External"/><Relationship Id="rId179" Type="http://schemas.openxmlformats.org/officeDocument/2006/relationships/hyperlink" Target="https://www.sec.gov/Archives/edgar/data/1467858/000119312523086956/d826843dex102.htm" TargetMode="External"/><Relationship Id="rId181" Type="http://schemas.openxmlformats.org/officeDocument/2006/relationships/hyperlink" Target="https://www.sec.gov/Archives/edgar/data/1467858/000119312523086956/d826843dex103.htm" TargetMode="External"/><Relationship Id="rId182" Type="http://schemas.openxmlformats.org/officeDocument/2006/relationships/hyperlink" Target="https://www.sec.gov/Archives/edgar/data/1467858/000119312523284798/d613794dex102.htm" TargetMode="External"/><Relationship Id="rId183" Type="http://schemas.openxmlformats.org/officeDocument/2006/relationships/hyperlink" Target="https://www.sec.gov/Archives/edgar/data/1467858/000146785822000094/exhibit102cruisellca.htm" TargetMode="External"/><Relationship Id="rId184" Type="http://schemas.openxmlformats.org/officeDocument/2006/relationships/hyperlink" Target="https://www.sec.gov/Archives/edgar/data/1467858/000119312523284798/d61379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2024-01-30T14:50:38Z</dcterms:created>
  <dcterms:modified xsi:type="dcterms:W3CDTF">2024-01-30T14:50:38Z</dcterms:modified>
</cp:coreProperties>
</file>