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SCHEDULE 14A</w:t>
      </w:r>
    </w:p>
    <w:p>
      <w:pPr>
        <w:spacing w:after="0" w:line="248"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Exchange Act of 1934</w:t>
      </w:r>
    </w:p>
    <w:p>
      <w:pPr>
        <w:spacing w:after="0" w:line="176" w:lineRule="exact"/>
        <w:rPr>
          <w:sz w:val="24"/>
          <w:szCs w:val="24"/>
          <w:color w:val="auto"/>
        </w:rPr>
      </w:pPr>
    </w:p>
    <w:p>
      <w:pPr>
        <w:ind w:left="2360"/>
        <w:spacing w:after="0" w:line="150" w:lineRule="exact"/>
        <w:tabs>
          <w:tab w:leader="none" w:pos="644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Filed by the Registrant</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175895</wp:posOffset>
            </wp:positionV>
            <wp:extent cx="6998335" cy="984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8335" cy="984885"/>
                    </a:xfrm>
                    <a:prstGeom prst="rect">
                      <a:avLst/>
                    </a:prstGeom>
                    <a:noFill/>
                  </pic:spPr>
                </pic:pic>
              </a:graphicData>
            </a:graphic>
          </wp:anchor>
        </w:drawing>
      </w:r>
    </w:p>
    <w:p>
      <w:pPr>
        <w:spacing w:after="0" w:line="27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Check the appropriate box:</w:t>
      </w:r>
    </w:p>
    <w:p>
      <w:pPr>
        <w:spacing w:after="0" w:line="78" w:lineRule="exact"/>
        <w:rPr>
          <w:sz w:val="24"/>
          <w:szCs w:val="24"/>
          <w:color w:val="auto"/>
        </w:rPr>
      </w:pPr>
    </w:p>
    <w:p>
      <w:pPr>
        <w:ind w:left="700" w:hanging="333"/>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84" w:lineRule="exact"/>
        <w:rPr>
          <w:rFonts w:ascii="MS PGothic" w:cs="MS PGothic" w:eastAsia="MS PGothic" w:hAnsi="MS PGothic"/>
          <w:sz w:val="18"/>
          <w:szCs w:val="18"/>
          <w:color w:val="auto"/>
        </w:rPr>
      </w:pPr>
    </w:p>
    <w:p>
      <w:pPr>
        <w:ind w:left="360" w:right="3900" w:firstLine="7"/>
        <w:spacing w:after="0" w:line="230" w:lineRule="exact"/>
        <w:tabs>
          <w:tab w:leader="none" w:pos="701"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4"/>
          <w:szCs w:val="14"/>
          <w:color w:val="auto"/>
        </w:rPr>
        <w:t xml:space="preserve"> Definitive Proxy Statement</w:t>
      </w:r>
    </w:p>
    <w:p>
      <w:pPr>
        <w:spacing w:after="0" w:line="41" w:lineRule="exact"/>
        <w:rPr>
          <w:rFonts w:ascii="MS PGothic" w:cs="MS PGothic" w:eastAsia="MS PGothic" w:hAnsi="MS PGothic"/>
          <w:sz w:val="18"/>
          <w:szCs w:val="18"/>
          <w:color w:val="auto"/>
        </w:rPr>
      </w:pPr>
    </w:p>
    <w:p>
      <w:pPr>
        <w:ind w:left="700" w:hanging="333"/>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71" w:lineRule="exact"/>
        <w:rPr>
          <w:rFonts w:ascii="MS PGothic" w:cs="MS PGothic" w:eastAsia="MS PGothic" w:hAnsi="MS PGothic"/>
          <w:sz w:val="18"/>
          <w:szCs w:val="18"/>
          <w:color w:val="auto"/>
        </w:rPr>
      </w:pPr>
    </w:p>
    <w:p>
      <w:pPr>
        <w:ind w:left="700" w:hanging="333"/>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223" w:lineRule="exact"/>
        <w:rPr>
          <w:sz w:val="24"/>
          <w:szCs w:val="24"/>
          <w:color w:val="auto"/>
        </w:rPr>
      </w:pPr>
    </w:p>
    <w:p>
      <w:pPr>
        <w:ind w:left="3440"/>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47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47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151765</wp:posOffset>
            </wp:positionV>
            <wp:extent cx="6998335" cy="2261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8335" cy="2261235"/>
                    </a:xfrm>
                    <a:prstGeom prst="rect">
                      <a:avLst/>
                    </a:prstGeom>
                    <a:noFill/>
                  </pic:spPr>
                </pic:pic>
              </a:graphicData>
            </a:graphic>
          </wp:anchor>
        </w:drawing>
      </w:r>
    </w:p>
    <w:p>
      <w:pPr>
        <w:spacing w:after="0" w:line="237"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99" w:lineRule="exact"/>
        <w:rPr>
          <w:sz w:val="24"/>
          <w:szCs w:val="24"/>
          <w:color w:val="auto"/>
        </w:rPr>
      </w:pPr>
    </w:p>
    <w:p>
      <w:pPr>
        <w:ind w:left="660" w:hanging="253"/>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109" w:lineRule="exact"/>
        <w:rPr>
          <w:sz w:val="24"/>
          <w:szCs w:val="24"/>
          <w:color w:val="auto"/>
        </w:rPr>
      </w:pPr>
    </w:p>
    <w:p>
      <w:pPr>
        <w:ind w:left="660" w:hanging="253"/>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14a-6(i)(14) and 0-11.</w:t>
      </w:r>
    </w:p>
    <w:p>
      <w:pPr>
        <w:spacing w:after="0" w:line="113" w:lineRule="exact"/>
        <w:rPr>
          <w:rFonts w:ascii="MS PGothic" w:cs="MS PGothic" w:eastAsia="MS PGothic" w:hAnsi="MS PGothic"/>
          <w:sz w:val="14"/>
          <w:szCs w:val="14"/>
          <w:color w:val="auto"/>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940" w:hanging="285"/>
        <w:spacing w:after="0" w:line="257" w:lineRule="auto"/>
        <w:tabs>
          <w:tab w:leader="none" w:pos="938"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9" w:lineRule="exact"/>
        <w:rPr>
          <w:rFonts w:ascii="Arial" w:cs="Arial" w:eastAsia="Arial" w:hAnsi="Arial"/>
          <w:sz w:val="14"/>
          <w:szCs w:val="14"/>
          <w:color w:val="auto"/>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7" w:lineRule="exact"/>
        <w:rPr>
          <w:rFonts w:ascii="Arial" w:cs="Arial" w:eastAsia="Arial" w:hAnsi="Arial"/>
          <w:sz w:val="14"/>
          <w:szCs w:val="14"/>
          <w:color w:val="auto"/>
        </w:rPr>
      </w:pPr>
    </w:p>
    <w:p>
      <w:pPr>
        <w:ind w:left="660" w:hanging="253"/>
        <w:spacing w:after="0"/>
        <w:tabs>
          <w:tab w:leader="none" w:pos="660" w:val="left"/>
        </w:tabs>
        <w:numPr>
          <w:ilvl w:val="0"/>
          <w:numId w:val="3"/>
        </w:numPr>
        <w:rPr>
          <w:rFonts w:ascii="MS PGothic" w:cs="MS PGothic" w:eastAsia="MS PGothic" w:hAnsi="MS PGothic"/>
          <w:sz w:val="29"/>
          <w:szCs w:val="29"/>
          <w:color w:val="auto"/>
          <w:vertAlign w:val="superscript"/>
        </w:rPr>
      </w:pPr>
      <w:r>
        <w:rPr>
          <w:rFonts w:ascii="Arial" w:cs="Arial" w:eastAsia="Arial" w:hAnsi="Arial"/>
          <w:sz w:val="14"/>
          <w:szCs w:val="14"/>
          <w:b w:val="1"/>
          <w:bCs w:val="1"/>
          <w:color w:val="auto"/>
        </w:rPr>
        <w:t>Fee paid previously with preliminary materials.</w:t>
      </w:r>
    </w:p>
    <w:p>
      <w:pPr>
        <w:spacing w:after="0" w:line="43" w:lineRule="exact"/>
        <w:rPr>
          <w:rFonts w:ascii="MS PGothic" w:cs="MS PGothic" w:eastAsia="MS PGothic" w:hAnsi="MS PGothic"/>
          <w:sz w:val="29"/>
          <w:szCs w:val="29"/>
          <w:color w:val="auto"/>
          <w:vertAlign w:val="superscript"/>
        </w:rPr>
      </w:pPr>
    </w:p>
    <w:p>
      <w:pPr>
        <w:ind w:left="660" w:right="500" w:hanging="253"/>
        <w:spacing w:after="0" w:line="181" w:lineRule="auto"/>
        <w:tabs>
          <w:tab w:leader="none" w:pos="660" w:val="left"/>
        </w:tabs>
        <w:numPr>
          <w:ilvl w:val="0"/>
          <w:numId w:val="3"/>
        </w:numPr>
        <w:rPr>
          <w:rFonts w:ascii="MS PGothic" w:cs="MS PGothic" w:eastAsia="MS PGothic" w:hAnsi="MS PGothic"/>
          <w:sz w:val="28"/>
          <w:szCs w:val="28"/>
          <w:color w:val="auto"/>
          <w:vertAlign w:val="superscript"/>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28"/>
          <w:szCs w:val="28"/>
          <w:color w:val="auto"/>
          <w:vertAlign w:val="superscript"/>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940" w:hanging="285"/>
        <w:spacing w:after="0"/>
        <w:tabs>
          <w:tab w:leader="none" w:pos="94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960"/>
          </w:cols>
          <w:pgMar w:left="240" w:top="230" w:right="69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
        <w:spacing w:after="0"/>
        <w:rPr>
          <w:sz w:val="20"/>
          <w:szCs w:val="20"/>
          <w:color w:val="auto"/>
        </w:rPr>
      </w:pPr>
      <w:r>
        <w:rPr>
          <w:rFonts w:ascii="Arial" w:cs="Arial" w:eastAsia="Arial" w:hAnsi="Arial"/>
          <w:sz w:val="31"/>
          <w:szCs w:val="31"/>
          <w:b w:val="1"/>
          <w:bCs w:val="1"/>
          <w:color w:val="00A1DF"/>
        </w:rPr>
        <w:t>We Are 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-224790</wp:posOffset>
            </wp:positionV>
            <wp:extent cx="3357880" cy="3512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7880" cy="3512185"/>
                    </a:xfrm>
                    <a:prstGeom prst="rect">
                      <a:avLst/>
                    </a:prstGeom>
                    <a:noFill/>
                  </pic:spPr>
                </pic:pic>
              </a:graphicData>
            </a:graphic>
          </wp:anchor>
        </w:drawing>
      </w:r>
    </w:p>
    <w:p>
      <w:pPr>
        <w:spacing w:after="0" w:line="28" w:lineRule="exact"/>
        <w:rPr>
          <w:sz w:val="20"/>
          <w:szCs w:val="20"/>
          <w:color w:val="auto"/>
        </w:rPr>
      </w:pPr>
    </w:p>
    <w:p>
      <w:pPr>
        <w:ind w:left="560"/>
        <w:spacing w:after="0"/>
        <w:rPr>
          <w:sz w:val="20"/>
          <w:szCs w:val="20"/>
          <w:color w:val="auto"/>
        </w:rPr>
      </w:pPr>
      <w:r>
        <w:rPr>
          <w:rFonts w:ascii="Arial" w:cs="Arial" w:eastAsia="Arial" w:hAnsi="Arial"/>
          <w:sz w:val="31"/>
          <w:szCs w:val="31"/>
          <w:b w:val="1"/>
          <w:bCs w:val="1"/>
          <w:color w:val="00A1DF"/>
        </w:rPr>
        <w:t>Accelerating GM’s Strategic</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31"/>
          <w:szCs w:val="31"/>
          <w:b w:val="1"/>
          <w:bCs w:val="1"/>
          <w:color w:val="00A1DF"/>
        </w:rPr>
        <w:t>and Cultural Transformation</w:t>
      </w:r>
    </w:p>
    <w:p>
      <w:pPr>
        <w:spacing w:after="0" w:line="201" w:lineRule="exact"/>
        <w:rPr>
          <w:sz w:val="20"/>
          <w:szCs w:val="20"/>
          <w:color w:val="auto"/>
        </w:rPr>
      </w:pPr>
    </w:p>
    <w:p>
      <w:pPr>
        <w:ind w:left="560" w:right="300"/>
        <w:spacing w:after="0" w:line="297" w:lineRule="auto"/>
        <w:rPr>
          <w:sz w:val="20"/>
          <w:szCs w:val="20"/>
          <w:color w:val="auto"/>
        </w:rPr>
      </w:pPr>
      <w:r>
        <w:rPr>
          <w:rFonts w:ascii="Arial" w:cs="Arial" w:eastAsia="Arial" w:hAnsi="Arial"/>
          <w:sz w:val="23"/>
          <w:szCs w:val="23"/>
          <w:b w:val="1"/>
          <w:bCs w:val="1"/>
          <w:color w:val="00A1DF"/>
        </w:rPr>
        <w:t>Boardroom perspectives from Mary Barra and Tim Solso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00"/>
        <w:spacing w:after="0"/>
        <w:tabs>
          <w:tab w:leader="none" w:pos="3300" w:val="left"/>
        </w:tabs>
        <w:rPr>
          <w:sz w:val="20"/>
          <w:szCs w:val="20"/>
          <w:color w:val="auto"/>
        </w:rPr>
      </w:pPr>
      <w:r>
        <w:rPr>
          <w:rFonts w:ascii="Arial" w:cs="Arial" w:eastAsia="Arial" w:hAnsi="Arial"/>
          <w:sz w:val="16"/>
          <w:szCs w:val="16"/>
          <w:b w:val="1"/>
          <w:bCs w:val="1"/>
          <w:color w:val="0033A0"/>
        </w:rPr>
        <w:t>MARY T. BARRA</w:t>
      </w:r>
      <w:r>
        <w:rPr>
          <w:sz w:val="20"/>
          <w:szCs w:val="20"/>
          <w:color w:val="auto"/>
        </w:rPr>
        <w:tab/>
      </w:r>
      <w:r>
        <w:rPr>
          <w:rFonts w:ascii="Arial" w:cs="Arial" w:eastAsia="Arial" w:hAnsi="Arial"/>
          <w:sz w:val="16"/>
          <w:szCs w:val="16"/>
          <w:b w:val="1"/>
          <w:bCs w:val="1"/>
          <w:color w:val="0033A0"/>
        </w:rPr>
        <w:t>THEODORE M. SOLSO</w:t>
      </w:r>
    </w:p>
    <w:p>
      <w:pPr>
        <w:spacing w:after="0" w:line="109" w:lineRule="exact"/>
        <w:rPr>
          <w:sz w:val="20"/>
          <w:szCs w:val="20"/>
          <w:color w:val="auto"/>
        </w:rPr>
      </w:pPr>
    </w:p>
    <w:p>
      <w:pPr>
        <w:ind w:left="400"/>
        <w:spacing w:after="0"/>
        <w:tabs>
          <w:tab w:leader="none" w:pos="3320" w:val="left"/>
        </w:tabs>
        <w:rPr>
          <w:sz w:val="20"/>
          <w:szCs w:val="20"/>
          <w:color w:val="auto"/>
        </w:rPr>
      </w:pPr>
      <w:r>
        <w:rPr>
          <w:rFonts w:ascii="Arial" w:cs="Arial" w:eastAsia="Arial" w:hAnsi="Arial"/>
          <w:sz w:val="14"/>
          <w:szCs w:val="14"/>
          <w:color w:val="auto"/>
        </w:rPr>
        <w:t>Chairman &amp; Chief Executive Officer</w:t>
      </w:r>
      <w:r>
        <w:rPr>
          <w:sz w:val="20"/>
          <w:szCs w:val="20"/>
          <w:color w:val="auto"/>
        </w:rPr>
        <w:tab/>
      </w:r>
      <w:r>
        <w:rPr>
          <w:rFonts w:ascii="Arial" w:cs="Arial" w:eastAsia="Arial" w:hAnsi="Arial"/>
          <w:sz w:val="14"/>
          <w:szCs w:val="14"/>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228600</wp:posOffset>
            </wp:positionV>
            <wp:extent cx="3357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78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A1DF"/>
        </w:rPr>
        <w:t>How would you describe GM’s purpose and vision?</w:t>
      </w:r>
    </w:p>
    <w:p>
      <w:pPr>
        <w:spacing w:after="0" w:line="113"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auto"/>
        </w:rPr>
        <w:t xml:space="preserve">MARY: </w:t>
      </w:r>
      <w:r>
        <w:rPr>
          <w:rFonts w:ascii="Arial" w:cs="Arial" w:eastAsia="Arial" w:hAnsi="Arial"/>
          <w:sz w:val="16"/>
          <w:szCs w:val="16"/>
          <w:color w:val="auto"/>
        </w:rPr>
        <w:t>Our vision is to create a world with zero crashes, zero emissions,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zero congestion. Today’s technologies give us a unique opportunity to make personal mobility better, safer, and more sustainable. Each year, more than one million people are killed in crashes around the world – 40,000 in the U.S. alone. When you consider that human error is behind more than 90% of these crashes, we believe autonomous vehicles (“AVs”) will save lives.</w:t>
      </w:r>
    </w:p>
    <w:p>
      <w:pPr>
        <w:spacing w:after="0" w:line="98"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We are fully committed to an all-electric future, and we are already building on the momentum of the groundbreaking Chevrolet Bolt EV. In January, we announced that our Cadillac brand will lead the way on our next-generation electric vehicle (“EV”) technology. At the same time, we are improving the efficiency of today’s vehicles with lightweighting and sophisticated new transmissions and engines. To redefine the future of transportation, we must execute with speed and discipline, and I am confident we have the team and the technology to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103505</wp:posOffset>
            </wp:positionV>
            <wp:extent cx="3357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7880" cy="8255"/>
                    </a:xfrm>
                    <a:prstGeom prst="rect">
                      <a:avLst/>
                    </a:prstGeom>
                    <a:noFill/>
                  </pic:spPr>
                </pic:pic>
              </a:graphicData>
            </a:graphic>
          </wp:anchor>
        </w:drawing>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A1DF"/>
        </w:rPr>
        <w:t>How do you think about culture at GM?</w:t>
      </w:r>
    </w:p>
    <w:p>
      <w:pPr>
        <w:spacing w:after="0" w:line="113" w:lineRule="exact"/>
        <w:rPr>
          <w:sz w:val="20"/>
          <w:szCs w:val="20"/>
          <w:color w:val="auto"/>
        </w:rPr>
      </w:pPr>
    </w:p>
    <w:p>
      <w:pPr>
        <w:jc w:val="both"/>
        <w:ind w:left="220" w:right="20"/>
        <w:spacing w:after="0" w:line="266" w:lineRule="auto"/>
        <w:rPr>
          <w:sz w:val="20"/>
          <w:szCs w:val="20"/>
          <w:color w:val="auto"/>
        </w:rPr>
      </w:pPr>
      <w:r>
        <w:rPr>
          <w:rFonts w:ascii="Arial" w:cs="Arial" w:eastAsia="Arial" w:hAnsi="Arial"/>
          <w:sz w:val="16"/>
          <w:szCs w:val="16"/>
          <w:b w:val="1"/>
          <w:bCs w:val="1"/>
          <w:color w:val="auto"/>
        </w:rPr>
        <w:t>MARY</w:t>
      </w:r>
      <w:r>
        <w:rPr>
          <w:rFonts w:ascii="Arial" w:cs="Arial" w:eastAsia="Arial" w:hAnsi="Arial"/>
          <w:sz w:val="16"/>
          <w:szCs w:val="16"/>
          <w:color w:val="auto"/>
        </w:rPr>
        <w:t>: Our culture will determine the long-term success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I’ve heard from many employees who feel that they are part of something bigger and who are excited about making a positive impact on the world.</w:t>
      </w:r>
    </w:p>
    <w:p>
      <w:pPr>
        <w:spacing w:after="0" w:line="83"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We have been on a cultural journey since 2014, when the ignition switch recall threatened our recovery from bankruptcy. At our senior leadership team meeting that year, we realized that to</w:t>
      </w:r>
    </w:p>
    <w:p>
      <w:pPr>
        <w:spacing w:after="0" w:line="284" w:lineRule="exact"/>
        <w:rPr>
          <w:sz w:val="20"/>
          <w:szCs w:val="20"/>
          <w:color w:val="auto"/>
        </w:rPr>
      </w:pPr>
    </w:p>
    <w:p>
      <w:pPr>
        <w:jc w:val="center"/>
        <w:ind w:right="5060"/>
        <w:spacing w:after="0"/>
        <w:rPr>
          <w:sz w:val="20"/>
          <w:szCs w:val="20"/>
          <w:color w:val="auto"/>
        </w:rPr>
      </w:pPr>
      <w:r>
        <w:rPr>
          <w:rFonts w:ascii="Arial" w:cs="Arial" w:eastAsia="Arial" w:hAnsi="Arial"/>
          <w:sz w:val="14"/>
          <w:szCs w:val="14"/>
          <w:color w:val="0033A0"/>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transform our culture, we needed to address the underlying issues that were holding us back. So as a team we aligned ourselves around a shared set of behaviors built on our core values that continue to guide our actions today. Since that time, we have introduced various initiatives to create a workplace and culture in which our team members can thrive, yet be accountable for their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-1644650</wp:posOffset>
            </wp:positionV>
            <wp:extent cx="72891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-1104900</wp:posOffset>
            </wp:positionV>
            <wp:extent cx="1936115" cy="93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6115" cy="93980"/>
                    </a:xfrm>
                    <a:prstGeom prst="rect">
                      <a:avLst/>
                    </a:prstGeom>
                    <a:noFill/>
                  </pic:spPr>
                </pic:pic>
              </a:graphicData>
            </a:graphic>
          </wp:anchor>
        </w:drawing>
      </w:r>
    </w:p>
    <w:p>
      <w:pPr>
        <w:spacing w:after="0" w:line="5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auto"/>
        </w:rPr>
        <w:t xml:space="preserve">TIM: </w:t>
      </w:r>
      <w:r>
        <w:rPr>
          <w:rFonts w:ascii="Arial" w:cs="Arial" w:eastAsia="Arial" w:hAnsi="Arial"/>
          <w:sz w:val="16"/>
          <w:szCs w:val="16"/>
          <w:color w:val="auto"/>
        </w:rPr>
        <w:t>Your Board of Directors (the “Board”) believes that culture is key to</w:t>
      </w:r>
      <w:r>
        <w:rPr>
          <w:rFonts w:ascii="Arial" w:cs="Arial" w:eastAsia="Arial" w:hAnsi="Arial"/>
          <w:sz w:val="16"/>
          <w:szCs w:val="16"/>
          <w:b w:val="1"/>
          <w:bCs w:val="1"/>
          <w:color w:val="auto"/>
        </w:rPr>
        <w:t xml:space="preserve"> </w:t>
      </w:r>
      <w:r>
        <w:rPr>
          <w:rFonts w:ascii="Arial" w:cs="Arial" w:eastAsia="Arial" w:hAnsi="Arial"/>
          <w:sz w:val="16"/>
          <w:szCs w:val="16"/>
          <w:color w:val="auto"/>
        </w:rPr>
        <w:t>realizing GM’s vision of zero crashes, zero emissions, and zero congestion. By sharing our outside perspectives, your Board has helped GM reshape its behaviors and ultimately, its culture, as it continues its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34264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0A1DF"/>
        </w:rPr>
        <w:t>In November 2018, GM announced a comprehensive plan to accelerate its strategic transformation. Can you discuss why you took these actions?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TIM: </w:t>
      </w:r>
      <w:r>
        <w:rPr>
          <w:rFonts w:ascii="Arial" w:cs="Arial" w:eastAsia="Arial" w:hAnsi="Arial"/>
          <w:sz w:val="16"/>
          <w:szCs w:val="16"/>
          <w:color w:val="auto"/>
        </w:rPr>
        <w:t>We have been navigating the dramatic changes facing our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and taking decisive actions to stay in front of this change. Over the years we have strengthened our core business by deploying resources in regions and franchises where we see higher-return opportunities over the long term.</w:t>
      </w: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MARY: </w:t>
      </w:r>
      <w:r>
        <w:rPr>
          <w:rFonts w:ascii="Arial" w:cs="Arial" w:eastAsia="Arial" w:hAnsi="Arial"/>
          <w:sz w:val="16"/>
          <w:szCs w:val="16"/>
          <w:color w:val="auto"/>
        </w:rPr>
        <w:t>Our focus all along has been to reposition the Company from one</w:t>
      </w:r>
      <w:r>
        <w:rPr>
          <w:rFonts w:ascii="Arial" w:cs="Arial" w:eastAsia="Arial" w:hAnsi="Arial"/>
          <w:sz w:val="16"/>
          <w:szCs w:val="16"/>
          <w:b w:val="1"/>
          <w:bCs w:val="1"/>
          <w:color w:val="auto"/>
        </w:rPr>
        <w:t xml:space="preserve"> </w:t>
      </w:r>
      <w:r>
        <w:rPr>
          <w:rFonts w:ascii="Arial" w:cs="Arial" w:eastAsia="Arial" w:hAnsi="Arial"/>
          <w:sz w:val="16"/>
          <w:szCs w:val="16"/>
          <w:color w:val="auto"/>
        </w:rPr>
        <w:t>of trying to be all things to all people in all markets to one that is strategic, agile, and profitable. By accelerating GM’s transformation, we can more rapidly invest in the future of personal mobility. Our transformation plan involves tough but necessary actions. We took these actions following significant feedback and input from the Board – input that began during our annual strategic review in 2017 and continued throughout 2018. This is a dynamic transformation process, and we will continue to look around corners and over the horizon to make strategic decisions that strengthen our business today and position it for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34264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What is GM doing to create a more sustainable future?</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TIM: </w:t>
      </w:r>
      <w:r>
        <w:rPr>
          <w:rFonts w:ascii="Arial" w:cs="Arial" w:eastAsia="Arial" w:hAnsi="Arial"/>
          <w:sz w:val="16"/>
          <w:szCs w:val="16"/>
          <w:color w:val="auto"/>
        </w:rPr>
        <w:t>Your Board understands that for GM to remain a compelling</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opportunity, the Company must contribute to a safer, more sustainable future, particularly through continued efforts to reduce emissions from vehicles and facilities. GM is committed to an all-electric future as well as maintaining a sustainable supply chain. For example, in 2018, GM sourced 20% of its total power from renewable sources – leading the automotive sector and progressing towards our commitment to source 100% of our power from renewable sources by 2050.</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MARY: </w:t>
      </w:r>
      <w:r>
        <w:rPr>
          <w:rFonts w:ascii="Arial" w:cs="Arial" w:eastAsia="Arial" w:hAnsi="Arial"/>
          <w:sz w:val="16"/>
          <w:szCs w:val="16"/>
          <w:color w:val="auto"/>
        </w:rPr>
        <w:t>We believe in the science of climate change, and we recognize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transportation sector is a contributor to global greenhouse gas emissions. We have called on lawmakers to establish a National Zero Emission Vehicle program – a comprehensive approach to drive the scale and infrastructure investments needed to enable the U.S. to lead the way to a zero-emissions future – as well as enact complementary policies to spur market acceptance and commercialization of EVs.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1062990</wp:posOffset>
            </wp:positionV>
            <wp:extent cx="68529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2920" cy="1454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103505</wp:posOffset>
            </wp:positionV>
            <wp:extent cx="34264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44"/>
          <w:szCs w:val="44"/>
          <w:color w:val="00A1DF"/>
        </w:rPr>
        <w:t>Notice of 2019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49530</wp:posOffset>
            </wp:positionV>
            <wp:extent cx="6989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080"/>
          </w:cols>
          <w:pgMar w:left="240" w:top="45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18"/>
          <w:szCs w:val="18"/>
          <w:color w:val="00A1DF"/>
        </w:rPr>
        <w:t>April 18, 2019</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00A1DF"/>
        </w:rPr>
        <w:t>Dear Fellow Shareholder:</w:t>
      </w:r>
    </w:p>
    <w:p>
      <w:pPr>
        <w:spacing w:after="0" w:line="106"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Board of Directors of General Motors Company (“General Motors,” “GM,” “the Company,” “we,” and “our”) cordially invites you to attend the 2019 Annual Meeting of Shareholders (“Annual Meeting”) on June 4, 2019, at 8:00 a.m. Eastern Time.</w:t>
      </w:r>
    </w:p>
    <w:p>
      <w:pPr>
        <w:spacing w:after="0" w:line="225" w:lineRule="exact"/>
        <w:rPr>
          <w:sz w:val="20"/>
          <w:szCs w:val="20"/>
          <w:color w:val="auto"/>
        </w:rPr>
      </w:pPr>
    </w:p>
    <w:p>
      <w:pPr>
        <w:jc w:val="both"/>
        <w:ind w:left="300" w:right="80"/>
        <w:spacing w:after="0" w:line="256" w:lineRule="auto"/>
        <w:rPr>
          <w:sz w:val="20"/>
          <w:szCs w:val="20"/>
          <w:color w:val="auto"/>
        </w:rPr>
      </w:pPr>
      <w:r>
        <w:rPr>
          <w:rFonts w:ascii="Arial" w:cs="Arial" w:eastAsia="Arial" w:hAnsi="Arial"/>
          <w:sz w:val="16"/>
          <w:szCs w:val="16"/>
          <w:b w:val="1"/>
          <w:bCs w:val="1"/>
          <w:color w:val="00A1DF"/>
        </w:rPr>
        <w:t>The Annual Meeting will be conducted online only, via live video webcast. You will be able to attend the meeting exclusively online and submit questions before and during the meeting by visiting gm.onlineshareholdermeeting.com. You will also be able to vote your shares electronically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-619760</wp:posOffset>
            </wp:positionV>
            <wp:extent cx="3323590" cy="1190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3590" cy="1190625"/>
                    </a:xfrm>
                    <a:prstGeom prst="rect">
                      <a:avLst/>
                    </a:prstGeom>
                    <a:noFill/>
                  </pic:spPr>
                </pic:pic>
              </a:graphicData>
            </a:graphic>
          </wp:anchor>
        </w:drawing>
      </w:r>
    </w:p>
    <w:p>
      <w:pPr>
        <w:spacing w:after="0" w:line="68" w:lineRule="exact"/>
        <w:rPr>
          <w:sz w:val="20"/>
          <w:szCs w:val="20"/>
          <w:color w:val="auto"/>
        </w:rPr>
      </w:pPr>
    </w:p>
    <w:p>
      <w:pPr>
        <w:jc w:val="both"/>
        <w:ind w:left="300" w:right="80"/>
        <w:spacing w:after="0" w:line="257" w:lineRule="auto"/>
        <w:rPr>
          <w:sz w:val="20"/>
          <w:szCs w:val="20"/>
          <w:color w:val="auto"/>
        </w:rPr>
      </w:pPr>
      <w:r>
        <w:rPr>
          <w:rFonts w:ascii="Arial" w:cs="Arial" w:eastAsia="Arial" w:hAnsi="Arial"/>
          <w:sz w:val="16"/>
          <w:szCs w:val="16"/>
          <w:i w:val="1"/>
          <w:iCs w:val="1"/>
          <w:color w:val="00A1DF"/>
        </w:rPr>
        <w:t>Details about how to attend the Annual Meeting online and how to submit questions and cast your votes are provided under “Important Information About GM’s Online Annual Meeting” on the next page and “General Information About the Annual Meeting” on page 78.</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 the Annual Meeting, you will be asked to:</w:t>
      </w:r>
    </w:p>
    <w:p>
      <w:pPr>
        <w:spacing w:after="0" w:line="110" w:lineRule="exact"/>
        <w:rPr>
          <w:sz w:val="20"/>
          <w:szCs w:val="20"/>
          <w:color w:val="auto"/>
        </w:rPr>
      </w:pPr>
    </w:p>
    <w:p>
      <w:pPr>
        <w:ind w:left="580" w:right="460" w:hanging="208"/>
        <w:spacing w:after="0" w:line="280" w:lineRule="auto"/>
        <w:tabs>
          <w:tab w:leader="none" w:pos="580" w:val="left"/>
        </w:tabs>
        <w:numPr>
          <w:ilvl w:val="0"/>
          <w:numId w:val="4"/>
        </w:numPr>
        <w:rPr>
          <w:rFonts w:ascii="Arial" w:cs="Arial" w:eastAsia="Arial" w:hAnsi="Arial"/>
          <w:sz w:val="16"/>
          <w:szCs w:val="16"/>
          <w:color w:val="00A1DF"/>
        </w:rPr>
      </w:pPr>
      <w:r>
        <w:rPr>
          <w:rFonts w:ascii="Arial" w:cs="Arial" w:eastAsia="Arial" w:hAnsi="Arial"/>
          <w:sz w:val="16"/>
          <w:szCs w:val="16"/>
          <w:i w:val="1"/>
          <w:iCs w:val="1"/>
          <w:color w:val="auto"/>
        </w:rPr>
        <w:t>Elect the 11 Board-recommended director nominees named in this Proxy Statement;</w:t>
      </w:r>
    </w:p>
    <w:p>
      <w:pPr>
        <w:spacing w:after="0" w:line="69" w:lineRule="exact"/>
        <w:rPr>
          <w:rFonts w:ascii="Arial" w:cs="Arial" w:eastAsia="Arial" w:hAnsi="Arial"/>
          <w:sz w:val="16"/>
          <w:szCs w:val="16"/>
          <w:color w:val="00A1DF"/>
        </w:rPr>
      </w:pPr>
    </w:p>
    <w:p>
      <w:pPr>
        <w:ind w:left="580" w:right="340" w:hanging="208"/>
        <w:spacing w:after="0" w:line="280" w:lineRule="auto"/>
        <w:tabs>
          <w:tab w:leader="none" w:pos="580" w:val="left"/>
        </w:tabs>
        <w:numPr>
          <w:ilvl w:val="0"/>
          <w:numId w:val="4"/>
        </w:numPr>
        <w:rPr>
          <w:rFonts w:ascii="Arial" w:cs="Arial" w:eastAsia="Arial" w:hAnsi="Arial"/>
          <w:sz w:val="16"/>
          <w:szCs w:val="16"/>
          <w:color w:val="00A1DF"/>
        </w:rPr>
      </w:pPr>
      <w:r>
        <w:rPr>
          <w:rFonts w:ascii="Arial" w:cs="Arial" w:eastAsia="Arial" w:hAnsi="Arial"/>
          <w:sz w:val="16"/>
          <w:szCs w:val="16"/>
          <w:i w:val="1"/>
          <w:iCs w:val="1"/>
          <w:color w:val="auto"/>
        </w:rPr>
        <w:t>Approve, on an advisory basis, named executive officer (“NEO”) compensation;</w:t>
      </w:r>
    </w:p>
    <w:p>
      <w:pPr>
        <w:spacing w:after="0" w:line="69" w:lineRule="exact"/>
        <w:rPr>
          <w:rFonts w:ascii="Arial" w:cs="Arial" w:eastAsia="Arial" w:hAnsi="Arial"/>
          <w:sz w:val="16"/>
          <w:szCs w:val="16"/>
          <w:color w:val="00A1DF"/>
        </w:rPr>
      </w:pPr>
    </w:p>
    <w:p>
      <w:pPr>
        <w:ind w:left="580" w:right="620" w:hanging="208"/>
        <w:spacing w:after="0" w:line="280" w:lineRule="auto"/>
        <w:tabs>
          <w:tab w:leader="none" w:pos="580" w:val="left"/>
        </w:tabs>
        <w:numPr>
          <w:ilvl w:val="0"/>
          <w:numId w:val="4"/>
        </w:numPr>
        <w:rPr>
          <w:rFonts w:ascii="Arial" w:cs="Arial" w:eastAsia="Arial" w:hAnsi="Arial"/>
          <w:sz w:val="16"/>
          <w:szCs w:val="16"/>
          <w:color w:val="00A1DF"/>
        </w:rPr>
      </w:pPr>
      <w:r>
        <w:rPr>
          <w:rFonts w:ascii="Arial" w:cs="Arial" w:eastAsia="Arial" w:hAnsi="Arial"/>
          <w:sz w:val="16"/>
          <w:szCs w:val="16"/>
          <w:i w:val="1"/>
          <w:iCs w:val="1"/>
          <w:color w:val="auto"/>
        </w:rPr>
        <w:t>Ratify the selection of Ernst &amp; Young LLP as the Company’s independent registered public accounting firm for 2019;</w:t>
      </w:r>
    </w:p>
    <w:p>
      <w:pPr>
        <w:spacing w:after="0" w:line="69" w:lineRule="exact"/>
        <w:rPr>
          <w:rFonts w:ascii="Arial" w:cs="Arial" w:eastAsia="Arial" w:hAnsi="Arial"/>
          <w:sz w:val="16"/>
          <w:szCs w:val="16"/>
          <w:color w:val="00A1DF"/>
        </w:rPr>
      </w:pPr>
    </w:p>
    <w:p>
      <w:pPr>
        <w:ind w:left="580" w:right="800" w:hanging="208"/>
        <w:spacing w:after="0" w:line="280" w:lineRule="auto"/>
        <w:tabs>
          <w:tab w:leader="none" w:pos="580" w:val="left"/>
        </w:tabs>
        <w:numPr>
          <w:ilvl w:val="0"/>
          <w:numId w:val="4"/>
        </w:numPr>
        <w:rPr>
          <w:rFonts w:ascii="Arial" w:cs="Arial" w:eastAsia="Arial" w:hAnsi="Arial"/>
          <w:sz w:val="16"/>
          <w:szCs w:val="16"/>
          <w:color w:val="00A1DF"/>
        </w:rPr>
      </w:pPr>
      <w:r>
        <w:rPr>
          <w:rFonts w:ascii="Arial" w:cs="Arial" w:eastAsia="Arial" w:hAnsi="Arial"/>
          <w:sz w:val="16"/>
          <w:szCs w:val="16"/>
          <w:i w:val="1"/>
          <w:iCs w:val="1"/>
          <w:color w:val="auto"/>
        </w:rPr>
        <w:t>Vote on two Rule 14a-8 shareholder proposals, if properly presented at the meeting; and</w:t>
      </w:r>
    </w:p>
    <w:p>
      <w:pPr>
        <w:spacing w:after="0" w:line="69" w:lineRule="exact"/>
        <w:rPr>
          <w:rFonts w:ascii="Arial" w:cs="Arial" w:eastAsia="Arial" w:hAnsi="Arial"/>
          <w:sz w:val="16"/>
          <w:szCs w:val="16"/>
          <w:color w:val="00A1DF"/>
        </w:rPr>
      </w:pPr>
    </w:p>
    <w:p>
      <w:pPr>
        <w:ind w:left="580" w:right="580" w:hanging="208"/>
        <w:spacing w:after="0" w:line="280" w:lineRule="auto"/>
        <w:tabs>
          <w:tab w:leader="none" w:pos="580" w:val="left"/>
        </w:tabs>
        <w:numPr>
          <w:ilvl w:val="0"/>
          <w:numId w:val="4"/>
        </w:numPr>
        <w:rPr>
          <w:rFonts w:ascii="Arial" w:cs="Arial" w:eastAsia="Arial" w:hAnsi="Arial"/>
          <w:sz w:val="16"/>
          <w:szCs w:val="16"/>
          <w:color w:val="00A1DF"/>
        </w:rPr>
      </w:pPr>
      <w:r>
        <w:rPr>
          <w:rFonts w:ascii="Arial" w:cs="Arial" w:eastAsia="Arial" w:hAnsi="Arial"/>
          <w:sz w:val="16"/>
          <w:szCs w:val="16"/>
          <w:i w:val="1"/>
          <w:iCs w:val="1"/>
          <w:color w:val="auto"/>
        </w:rPr>
        <w:t>Transact any other business that is properly presented at the meeting.</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color w:val="00A1DF"/>
        </w:rPr>
        <w:t>Record Date:</w:t>
      </w:r>
    </w:p>
    <w:p>
      <w:pPr>
        <w:spacing w:after="0" w:line="113"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If you were a holder of record of GM common stock at the close of business on April 8, 2019, you are entitled to vote at the Annual Meeting. This Proxy Statement is provided in conjunction with GM’s solicitation of proxies to be used at the Annual Meeting. In addition to this Proxy Statement and proxy card or voting instruction form, the GM 2018 Annual Report on Form 10-K is provided in this package or is available on the internet.</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Thank you for your interest in General Motors Company.</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 Order of the Board of Directors,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Rick E. Hansen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181610</wp:posOffset>
            </wp:positionV>
            <wp:extent cx="67583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00A1DF"/>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-678815</wp:posOffset>
            </wp:positionV>
            <wp:extent cx="3392170" cy="5739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92170" cy="57391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color w:val="auto"/>
        </w:rPr>
        <w:t>June 4, 2019</w:t>
      </w:r>
    </w:p>
    <w:p>
      <w:pPr>
        <w:spacing w:after="0" w:line="122"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8:00 a.m. Eastern Time</w:t>
      </w:r>
    </w:p>
    <w:p>
      <w:pPr>
        <w:spacing w:after="0" w:line="12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Place:</w:t>
      </w:r>
      <w:r>
        <w:rPr>
          <w:sz w:val="20"/>
          <w:szCs w:val="20"/>
          <w:color w:val="auto"/>
        </w:rPr>
        <w:tab/>
      </w:r>
      <w:r>
        <w:rPr>
          <w:rFonts w:ascii="Arial" w:cs="Arial" w:eastAsia="Arial" w:hAnsi="Arial"/>
          <w:sz w:val="14"/>
          <w:szCs w:val="14"/>
          <w:color w:val="auto"/>
        </w:rPr>
        <w:t xml:space="preserve">Online via live webcast at </w:t>
      </w:r>
      <w:r>
        <w:rPr>
          <w:rFonts w:ascii="Arial" w:cs="Arial" w:eastAsia="Arial" w:hAnsi="Arial"/>
          <w:sz w:val="14"/>
          <w:szCs w:val="14"/>
          <w:i w:val="1"/>
          <w:iCs w:val="1"/>
          <w:color w:val="00A1DF"/>
        </w:rPr>
        <w:t>gm.onlineshareholdermeeting.com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Arial" w:cs="Arial" w:eastAsia="Arial" w:hAnsi="Arial"/>
          <w:sz w:val="22"/>
          <w:szCs w:val="22"/>
          <w:color w:val="00A1DF"/>
        </w:rPr>
        <w:t>Your vote is important.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80"/>
        <w:spacing w:after="0" w:line="246" w:lineRule="auto"/>
        <w:rPr>
          <w:sz w:val="20"/>
          <w:szCs w:val="20"/>
          <w:color w:val="auto"/>
        </w:rPr>
      </w:pPr>
      <w:r>
        <w:rPr>
          <w:rFonts w:ascii="Arial" w:cs="Arial" w:eastAsia="Arial" w:hAnsi="Arial"/>
          <w:sz w:val="14"/>
          <w:szCs w:val="14"/>
          <w:color w:val="auto"/>
        </w:rPr>
        <w:t>Please promptly submit your vote by internet, by telephone, or by signing, dating, and returning the enclosed proxy card or voting instruction form in the postage-paid envelope provided so that your shares will be represented and voted at the meeting.</w:t>
      </w:r>
    </w:p>
    <w:p>
      <w:pPr>
        <w:spacing w:after="0" w:line="109" w:lineRule="exact"/>
        <w:rPr>
          <w:sz w:val="20"/>
          <w:szCs w:val="20"/>
          <w:color w:val="auto"/>
        </w:rPr>
      </w:pPr>
    </w:p>
    <w:p>
      <w:pPr>
        <w:jc w:val="both"/>
        <w:ind w:right="180"/>
        <w:spacing w:after="0" w:line="257" w:lineRule="auto"/>
        <w:rPr>
          <w:sz w:val="20"/>
          <w:szCs w:val="20"/>
          <w:color w:val="auto"/>
        </w:rPr>
      </w:pPr>
      <w:r>
        <w:rPr>
          <w:rFonts w:ascii="Arial" w:cs="Arial" w:eastAsia="Arial" w:hAnsi="Arial"/>
          <w:sz w:val="14"/>
          <w:szCs w:val="14"/>
          <w:color w:val="auto"/>
        </w:rPr>
        <w:t>We are first mailing these proxy materials to our shareholders on or about April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00A1DF"/>
        </w:rPr>
        <w:t>How You Can Access the</w:t>
      </w:r>
    </w:p>
    <w:p>
      <w:pPr>
        <w:jc w:val="center"/>
        <w:ind w:right="80"/>
        <w:spacing w:after="0"/>
        <w:rPr>
          <w:sz w:val="20"/>
          <w:szCs w:val="20"/>
          <w:color w:val="auto"/>
        </w:rPr>
      </w:pPr>
      <w:r>
        <w:rPr>
          <w:rFonts w:ascii="Arial" w:cs="Arial" w:eastAsia="Arial" w:hAnsi="Arial"/>
          <w:sz w:val="22"/>
          <w:szCs w:val="22"/>
          <w:color w:val="00A1DF"/>
        </w:rPr>
        <w:t>Proxy Materials Online:</w:t>
      </w:r>
    </w:p>
    <w:p>
      <w:pPr>
        <w:spacing w:after="0" w:line="200" w:lineRule="exact"/>
        <w:rPr>
          <w:sz w:val="20"/>
          <w:szCs w:val="20"/>
          <w:color w:val="auto"/>
        </w:rPr>
      </w:pPr>
    </w:p>
    <w:p>
      <w:pPr>
        <w:spacing w:after="0" w:line="269" w:lineRule="exact"/>
        <w:rPr>
          <w:sz w:val="20"/>
          <w:szCs w:val="20"/>
          <w:color w:val="auto"/>
        </w:rPr>
      </w:pPr>
    </w:p>
    <w:p>
      <w:pPr>
        <w:jc w:val="both"/>
        <w:ind w:right="180"/>
        <w:spacing w:after="0" w:line="270" w:lineRule="auto"/>
        <w:rPr>
          <w:sz w:val="20"/>
          <w:szCs w:val="20"/>
          <w:color w:val="auto"/>
        </w:rPr>
      </w:pPr>
      <w:r>
        <w:rPr>
          <w:rFonts w:ascii="Arial" w:cs="Arial" w:eastAsia="Arial" w:hAnsi="Arial"/>
          <w:sz w:val="14"/>
          <w:szCs w:val="14"/>
          <w:b w:val="1"/>
          <w:bCs w:val="1"/>
          <w:color w:val="auto"/>
        </w:rPr>
        <w:t>Important Notice Regarding the Availability of Proxy Materials for the 2019 Annual Meeting of Shareholders to Be Held on June 4, 2019.</w:t>
      </w:r>
    </w:p>
    <w:p>
      <w:pPr>
        <w:spacing w:after="0" w:line="263" w:lineRule="exact"/>
        <w:rPr>
          <w:sz w:val="20"/>
          <w:szCs w:val="20"/>
          <w:color w:val="auto"/>
        </w:rPr>
      </w:pPr>
    </w:p>
    <w:p>
      <w:pPr>
        <w:jc w:val="both"/>
        <w:ind w:right="180"/>
        <w:spacing w:after="0" w:line="246" w:lineRule="auto"/>
        <w:rPr>
          <w:sz w:val="20"/>
          <w:szCs w:val="20"/>
          <w:color w:val="auto"/>
        </w:rPr>
      </w:pPr>
      <w:r>
        <w:rPr>
          <w:rFonts w:ascii="Arial" w:cs="Arial" w:eastAsia="Arial" w:hAnsi="Arial"/>
          <w:sz w:val="14"/>
          <w:szCs w:val="14"/>
          <w:color w:val="auto"/>
        </w:rPr>
        <w:t xml:space="preserve">Our Proxy Statement and 2018 Annual Report on Form 10-K are available at </w:t>
      </w:r>
      <w:r>
        <w:rPr>
          <w:rFonts w:ascii="Arial" w:cs="Arial" w:eastAsia="Arial" w:hAnsi="Arial"/>
          <w:sz w:val="14"/>
          <w:szCs w:val="14"/>
          <w:i w:val="1"/>
          <w:iCs w:val="1"/>
          <w:color w:val="00A1DF"/>
        </w:rPr>
        <w:t>investor.gm.com/shareholder</w:t>
      </w:r>
      <w:r>
        <w:rPr>
          <w:rFonts w:ascii="Arial" w:cs="Arial" w:eastAsia="Arial" w:hAnsi="Arial"/>
          <w:sz w:val="14"/>
          <w:szCs w:val="14"/>
          <w:color w:val="auto"/>
        </w:rPr>
        <w:t>. You may scan the QR code above with your smartphone or other mobile device to view our Proxy Statement and Annual Report on Form 10-K.</w:t>
      </w:r>
    </w:p>
    <w:p>
      <w:pPr>
        <w:spacing w:after="0" w:line="530" w:lineRule="exact"/>
        <w:rPr>
          <w:sz w:val="20"/>
          <w:szCs w:val="20"/>
          <w:color w:val="auto"/>
        </w:rPr>
      </w:pPr>
    </w:p>
    <w:p>
      <w:pPr>
        <w:sectPr>
          <w:pgSz w:w="11900" w:h="16838" w:orient="portrait"/>
          <w:cols w:equalWidth="0" w:num="2">
            <w:col w:w="5500" w:space="700"/>
            <w:col w:w="4880"/>
          </w:cols>
          <w:pgMar w:left="240" w:top="459" w:right="579" w:bottom="1440" w:gutter="0" w:footer="0" w:header="0"/>
          <w:type w:val="continuous"/>
        </w:sectPr>
      </w:pPr>
    </w:p>
    <w:p>
      <w:pPr>
        <w:spacing w:after="0" w:line="91" w:lineRule="exact"/>
        <w:rPr>
          <w:sz w:val="20"/>
          <w:szCs w:val="20"/>
          <w:color w:val="auto"/>
        </w:rPr>
      </w:pPr>
    </w:p>
    <w:p>
      <w:pPr>
        <w:ind w:left="11020"/>
        <w:spacing w:after="0"/>
        <w:rPr>
          <w:sz w:val="20"/>
          <w:szCs w:val="20"/>
          <w:color w:val="auto"/>
        </w:rPr>
      </w:pPr>
      <w:r>
        <w:rPr>
          <w:rFonts w:ascii="Arial" w:cs="Arial" w:eastAsia="Arial" w:hAnsi="Arial"/>
          <w:sz w:val="13"/>
          <w:szCs w:val="13"/>
          <w:color w:val="0033A0"/>
        </w:rPr>
        <w:t>ii</w:t>
      </w:r>
    </w:p>
    <w:p>
      <w:pPr>
        <w:sectPr>
          <w:pgSz w:w="11900" w:h="16838" w:orient="portrait"/>
          <w:cols w:equalWidth="0" w:num="1">
            <w:col w:w="11080"/>
          </w:cols>
          <w:pgMar w:left="240" w:top="459" w:right="5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Important Information About GM’s Online Annual Meeting</w:t>
      </w:r>
    </w:p>
    <w:p>
      <w:pPr>
        <w:spacing w:after="0" w:line="20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GM’s 2019 Annual Meeting will be conducted online only, via live video webcast. If you were a holder of record of GM common stock at the close of business on April 8, 2019, you are entitled to participate in the annual meeting on June 4, 2019. Below are some frequently asked questions regarding the new online format for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6989445" cy="3178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9445" cy="3178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line="255" w:lineRule="auto"/>
        <w:rPr>
          <w:sz w:val="20"/>
          <w:szCs w:val="20"/>
          <w:color w:val="auto"/>
        </w:rPr>
      </w:pPr>
      <w:r>
        <w:rPr>
          <w:rFonts w:ascii="Arial" w:cs="Arial" w:eastAsia="Arial" w:hAnsi="Arial"/>
          <w:sz w:val="14"/>
          <w:szCs w:val="14"/>
          <w:b w:val="1"/>
          <w:bCs w:val="1"/>
          <w:color w:val="auto"/>
        </w:rPr>
        <w:t xml:space="preserve">Patricia F. Russo </w:t>
      </w:r>
      <w:r>
        <w:rPr>
          <w:rFonts w:ascii="Arial" w:cs="Arial" w:eastAsia="Arial" w:hAnsi="Arial"/>
          <w:sz w:val="14"/>
          <w:szCs w:val="14"/>
          <w:color w:val="auto"/>
        </w:rPr>
        <w:t>Governance and Corporate Responsibility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the Board decide to adopt an online format for the 2019 Annual Meeting?</w:t>
      </w:r>
    </w:p>
    <w:p>
      <w:pPr>
        <w:spacing w:after="0" w:line="146" w:lineRule="exact"/>
        <w:rPr>
          <w:sz w:val="20"/>
          <w:szCs w:val="20"/>
          <w:color w:val="auto"/>
        </w:rPr>
      </w:pPr>
    </w:p>
    <w:p>
      <w:pPr>
        <w:jc w:val="both"/>
        <w:ind w:right="360"/>
        <w:spacing w:after="0" w:line="248" w:lineRule="auto"/>
        <w:rPr>
          <w:sz w:val="20"/>
          <w:szCs w:val="20"/>
          <w:color w:val="auto"/>
        </w:rPr>
      </w:pPr>
      <w:r>
        <w:rPr>
          <w:rFonts w:ascii="Arial" w:cs="Arial" w:eastAsia="Arial" w:hAnsi="Arial"/>
          <w:sz w:val="16"/>
          <w:szCs w:val="16"/>
          <w:color w:val="auto"/>
        </w:rPr>
        <w:t>“Your Board believes the online format will enhance attendance by providing convenient meeting access to all of our shareholders, regardless of where they live – not just those shareholders who have the time and means to travel to an in-person meeting. Over the past five years, attendance at our Annual Meeting has averaged less then 35 shareholders. This year, even shareholders without an internet connection or a computer will be able to listen to the meeting by calling a toll-free telephone number. In addition, we believe the online format will provide a better opportunity for shareholders to communicate with your Board by submitting questions before and during the meeting through the online portal and by calling in live via telephone during the meeting. Finally, the online meeting format will also eliminate many of the costs associated with holding a physical meeting, which is a smart choice for GM and its shareholders. We look forward to increasing participation this year while lowering operating costs for the Company.”</w:t>
      </w:r>
    </w:p>
    <w:p>
      <w:pPr>
        <w:spacing w:after="0" w:line="200" w:lineRule="exact"/>
        <w:rPr>
          <w:sz w:val="20"/>
          <w:szCs w:val="20"/>
          <w:color w:val="auto"/>
        </w:rPr>
      </w:pPr>
    </w:p>
    <w:p>
      <w:pPr>
        <w:sectPr>
          <w:pgSz w:w="11900" w:h="16838" w:orient="portrait"/>
          <w:cols w:equalWidth="0" w:num="2">
            <w:col w:w="2200" w:space="300"/>
            <w:col w:w="8720"/>
          </w:cols>
          <w:pgMar w:left="240" w:top="459" w:right="439" w:bottom="1440" w:gutter="0" w:footer="0" w:header="0"/>
          <w:type w:val="continuous"/>
        </w:sectPr>
      </w:pPr>
    </w:p>
    <w:p>
      <w:pPr>
        <w:spacing w:after="0" w:line="308" w:lineRule="exact"/>
        <w:rPr>
          <w:sz w:val="20"/>
          <w:szCs w:val="20"/>
          <w:color w:val="auto"/>
        </w:rPr>
      </w:pPr>
    </w:p>
    <w:p>
      <w:pPr>
        <w:jc w:val="both"/>
        <w:ind w:left="460" w:right="120" w:hanging="161"/>
        <w:spacing w:after="0" w:line="30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How can I view and participate in the Annual Meeting?</w:t>
      </w:r>
      <w:r>
        <w:rPr>
          <w:rFonts w:ascii="Arial" w:cs="Arial" w:eastAsia="Arial" w:hAnsi="Arial"/>
          <w:sz w:val="16"/>
          <w:szCs w:val="16"/>
          <w:color w:val="00A1DF"/>
        </w:rPr>
        <w:t xml:space="preserve"> </w:t>
      </w:r>
      <w:r>
        <w:rPr>
          <w:rFonts w:ascii="Arial" w:cs="Arial" w:eastAsia="Arial" w:hAnsi="Arial"/>
          <w:sz w:val="16"/>
          <w:szCs w:val="16"/>
          <w:color w:val="000000"/>
        </w:rPr>
        <w:t>To participate, visit</w:t>
      </w:r>
      <w:r>
        <w:rPr>
          <w:rFonts w:ascii="Arial" w:cs="Arial" w:eastAsia="Arial" w:hAnsi="Arial"/>
          <w:sz w:val="16"/>
          <w:szCs w:val="16"/>
          <w:color w:val="00A1DF"/>
        </w:rPr>
        <w:t xml:space="preserve"> </w:t>
      </w:r>
      <w:r>
        <w:rPr>
          <w:rFonts w:ascii="Arial" w:cs="Arial" w:eastAsia="Arial" w:hAnsi="Arial"/>
          <w:sz w:val="16"/>
          <w:szCs w:val="16"/>
          <w:i w:val="1"/>
          <w:iCs w:val="1"/>
          <w:color w:val="00A1DF"/>
        </w:rPr>
        <w:t>gm.onlineshareholdermeeting.com</w:t>
      </w:r>
      <w:r>
        <w:rPr>
          <w:rFonts w:ascii="Arial" w:cs="Arial" w:eastAsia="Arial" w:hAnsi="Arial"/>
          <w:sz w:val="16"/>
          <w:szCs w:val="16"/>
          <w:color w:val="00A1DF"/>
        </w:rPr>
        <w:t xml:space="preserve"> </w:t>
      </w:r>
      <w:r>
        <w:rPr>
          <w:rFonts w:ascii="Arial" w:cs="Arial" w:eastAsia="Arial" w:hAnsi="Arial"/>
          <w:sz w:val="16"/>
          <w:szCs w:val="16"/>
          <w:color w:val="000000"/>
        </w:rPr>
        <w:t>and login with your 16-digit control</w:t>
      </w:r>
      <w:r>
        <w:rPr>
          <w:rFonts w:ascii="Arial" w:cs="Arial" w:eastAsia="Arial" w:hAnsi="Arial"/>
          <w:sz w:val="16"/>
          <w:szCs w:val="16"/>
          <w:color w:val="00A1DF"/>
        </w:rPr>
        <w:t xml:space="preserve"> </w:t>
      </w:r>
      <w:r>
        <w:rPr>
          <w:rFonts w:ascii="Arial" w:cs="Arial" w:eastAsia="Arial" w:hAnsi="Arial"/>
          <w:sz w:val="16"/>
          <w:szCs w:val="16"/>
          <w:color w:val="000000"/>
        </w:rPr>
        <w:t>number included in your proxy materials.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When can I join the Annual Meeting online?</w:t>
      </w:r>
      <w:r>
        <w:rPr>
          <w:rFonts w:ascii="Arial" w:cs="Arial" w:eastAsia="Arial" w:hAnsi="Arial"/>
          <w:sz w:val="16"/>
          <w:szCs w:val="16"/>
          <w:color w:val="00A1DF"/>
        </w:rPr>
        <w:t xml:space="preserve"> </w:t>
      </w:r>
      <w:r>
        <w:rPr>
          <w:rFonts w:ascii="Arial" w:cs="Arial" w:eastAsia="Arial" w:hAnsi="Arial"/>
          <w:sz w:val="16"/>
          <w:szCs w:val="16"/>
          <w:color w:val="000000"/>
        </w:rPr>
        <w:t>You may begin to log into the meeting platform beginning at 7:45 a.m. Eastern Time on June 4, 2019.</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meeting will begin promptly at 8:00 a.m. Eastern Time on June 4, 2019.</w:t>
      </w:r>
    </w:p>
    <w:p>
      <w:pPr>
        <w:spacing w:after="0" w:line="214" w:lineRule="exact"/>
        <w:rPr>
          <w:sz w:val="20"/>
          <w:szCs w:val="20"/>
          <w:color w:val="auto"/>
        </w:rPr>
      </w:pPr>
    </w:p>
    <w:p>
      <w:pPr>
        <w:jc w:val="both"/>
        <w:ind w:left="460" w:right="120" w:hanging="161"/>
        <w:spacing w:after="0" w:line="275"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How can I ask questions and vote?</w:t>
      </w:r>
      <w:r>
        <w:rPr>
          <w:rFonts w:ascii="Arial" w:cs="Arial" w:eastAsia="Arial" w:hAnsi="Arial"/>
          <w:sz w:val="16"/>
          <w:szCs w:val="16"/>
          <w:color w:val="00A1DF"/>
        </w:rPr>
        <w:t xml:space="preserve"> </w:t>
      </w:r>
      <w:r>
        <w:rPr>
          <w:rFonts w:ascii="Arial" w:cs="Arial" w:eastAsia="Arial" w:hAnsi="Arial"/>
          <w:sz w:val="16"/>
          <w:szCs w:val="16"/>
          <w:color w:val="000000"/>
        </w:rPr>
        <w:t>We encourage you to submit your questions and vote in advance by visiting</w:t>
      </w:r>
      <w:r>
        <w:rPr>
          <w:rFonts w:ascii="Arial" w:cs="Arial" w:eastAsia="Arial" w:hAnsi="Arial"/>
          <w:sz w:val="16"/>
          <w:szCs w:val="16"/>
          <w:color w:val="00A1DF"/>
        </w:rPr>
        <w:t xml:space="preserve"> </w:t>
      </w:r>
      <w:r>
        <w:rPr>
          <w:rFonts w:ascii="Arial" w:cs="Arial" w:eastAsia="Arial" w:hAnsi="Arial"/>
          <w:sz w:val="16"/>
          <w:szCs w:val="16"/>
          <w:i w:val="1"/>
          <w:iCs w:val="1"/>
          <w:color w:val="00A1DF"/>
        </w:rPr>
        <w:t>proxyvote.com</w:t>
      </w:r>
      <w:r>
        <w:rPr>
          <w:rFonts w:ascii="Arial" w:cs="Arial" w:eastAsia="Arial" w:hAnsi="Arial"/>
          <w:sz w:val="16"/>
          <w:szCs w:val="16"/>
          <w:color w:val="000000"/>
        </w:rPr>
        <w:t>. Shareholders will</w:t>
      </w:r>
      <w:r>
        <w:rPr>
          <w:rFonts w:ascii="Arial" w:cs="Arial" w:eastAsia="Arial" w:hAnsi="Arial"/>
          <w:sz w:val="16"/>
          <w:szCs w:val="16"/>
          <w:color w:val="00A1DF"/>
        </w:rPr>
        <w:t xml:space="preserve"> </w:t>
      </w:r>
      <w:r>
        <w:rPr>
          <w:rFonts w:ascii="Arial" w:cs="Arial" w:eastAsia="Arial" w:hAnsi="Arial"/>
          <w:sz w:val="16"/>
          <w:szCs w:val="16"/>
          <w:color w:val="000000"/>
        </w:rPr>
        <w:t xml:space="preserve">also be permitted to ask questions by telephone during the meeting (subject to time restrictions). Shareholders may also vote and submit questions online in advance of and during the meeting. To participate in the meeting webcast visit </w:t>
      </w:r>
      <w:r>
        <w:rPr>
          <w:rFonts w:ascii="Arial" w:cs="Arial" w:eastAsia="Arial" w:hAnsi="Arial"/>
          <w:sz w:val="16"/>
          <w:szCs w:val="16"/>
          <w:i w:val="1"/>
          <w:iCs w:val="1"/>
          <w:color w:val="00A1DF"/>
        </w:rPr>
        <w:t>gm.onlineshareholdermeeting.com</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115570</wp:posOffset>
            </wp:positionV>
            <wp:extent cx="6989445" cy="2886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9445" cy="2886710"/>
                    </a:xfrm>
                    <a:prstGeom prst="rect">
                      <a:avLst/>
                    </a:prstGeom>
                    <a:noFill/>
                  </pic:spPr>
                </pic:pic>
              </a:graphicData>
            </a:graphic>
          </wp:anchor>
        </w:drawing>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COMMITMENT TO TRANSPARENCY</w:t>
      </w:r>
    </w:p>
    <w:p>
      <w:pPr>
        <w:spacing w:after="0" w:line="146" w:lineRule="exact"/>
        <w:rPr>
          <w:sz w:val="20"/>
          <w:szCs w:val="20"/>
          <w:color w:val="auto"/>
        </w:rPr>
      </w:pPr>
    </w:p>
    <w:p>
      <w:pPr>
        <w:jc w:val="both"/>
        <w:ind w:left="2160" w:right="2120"/>
        <w:spacing w:after="0" w:line="249" w:lineRule="auto"/>
        <w:rPr>
          <w:sz w:val="20"/>
          <w:szCs w:val="20"/>
          <w:color w:val="auto"/>
        </w:rPr>
      </w:pPr>
      <w:r>
        <w:rPr>
          <w:rFonts w:ascii="Arial" w:cs="Arial" w:eastAsia="Arial" w:hAnsi="Arial"/>
          <w:sz w:val="16"/>
          <w:szCs w:val="16"/>
          <w:color w:val="auto"/>
        </w:rPr>
        <w:t xml:space="preserve">If there are questions pertinent to meeting matters that cannot be answered during the Annual Meeting due to time constraints, management will post answers to a representative set of such questions at </w:t>
      </w:r>
      <w:r>
        <w:rPr>
          <w:rFonts w:ascii="Arial" w:cs="Arial" w:eastAsia="Arial" w:hAnsi="Arial"/>
          <w:sz w:val="16"/>
          <w:szCs w:val="16"/>
          <w:i w:val="1"/>
          <w:iCs w:val="1"/>
          <w:color w:val="00A1DF"/>
        </w:rPr>
        <w:t>investor.gm.com/shareholder</w:t>
      </w:r>
      <w:r>
        <w:rPr>
          <w:rFonts w:ascii="Arial" w:cs="Arial" w:eastAsia="Arial" w:hAnsi="Arial"/>
          <w:sz w:val="16"/>
          <w:szCs w:val="16"/>
          <w:color w:val="auto"/>
        </w:rPr>
        <w:t>. The questions and answers will be available as soon as practicable after the meeting and will remain available until GM’s 2020 Proxy Statement is filed.</w:t>
      </w:r>
    </w:p>
    <w:p>
      <w:pPr>
        <w:spacing w:after="0" w:line="253" w:lineRule="exact"/>
        <w:rPr>
          <w:sz w:val="20"/>
          <w:szCs w:val="20"/>
          <w:color w:val="auto"/>
        </w:rPr>
      </w:pPr>
    </w:p>
    <w:p>
      <w:pPr>
        <w:ind w:left="460" w:right="160" w:hanging="161"/>
        <w:spacing w:after="0" w:line="30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What</w:t>
      </w:r>
      <w:r>
        <w:rPr>
          <w:sz w:val="20"/>
          <w:szCs w:val="20"/>
          <w:color w:val="auto"/>
        </w:rPr>
        <w:t xml:space="preserve"> </w:t>
      </w:r>
      <w:r>
        <w:rPr>
          <w:rFonts w:ascii="Arial" w:cs="Arial" w:eastAsia="Arial" w:hAnsi="Arial"/>
          <w:sz w:val="16"/>
          <w:szCs w:val="16"/>
          <w:b w:val="1"/>
          <w:bCs w:val="1"/>
          <w:color w:val="auto"/>
        </w:rPr>
        <w:t xml:space="preserve">if I lost my 16-digit control number? </w:t>
      </w:r>
      <w:r>
        <w:rPr>
          <w:rFonts w:ascii="Arial" w:cs="Arial" w:eastAsia="Arial" w:hAnsi="Arial"/>
          <w:sz w:val="16"/>
          <w:szCs w:val="16"/>
          <w:color w:val="auto"/>
        </w:rPr>
        <w:t>You will be able to login as a guest. To view the meeting webcast visit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00A1DF"/>
        </w:rPr>
        <w:t xml:space="preserve">gm.onlineshareholdermeeting.com </w:t>
      </w:r>
      <w:r>
        <w:rPr>
          <w:rFonts w:ascii="Arial" w:cs="Arial" w:eastAsia="Arial" w:hAnsi="Arial"/>
          <w:sz w:val="16"/>
          <w:szCs w:val="16"/>
          <w:color w:val="000000"/>
        </w:rPr>
        <w:t>and register as a guest. You will not be able to vote your shares or submit questions during the meeting.</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What if I don’t have internet access?</w:t>
      </w:r>
      <w:r>
        <w:rPr>
          <w:rFonts w:ascii="Arial" w:cs="Arial" w:eastAsia="Arial" w:hAnsi="Arial"/>
          <w:sz w:val="16"/>
          <w:szCs w:val="16"/>
          <w:color w:val="00A1DF"/>
        </w:rPr>
        <w:t xml:space="preserve"> </w:t>
      </w:r>
      <w:r>
        <w:rPr>
          <w:rFonts w:ascii="Arial" w:cs="Arial" w:eastAsia="Arial" w:hAnsi="Arial"/>
          <w:sz w:val="16"/>
          <w:szCs w:val="16"/>
          <w:color w:val="000000"/>
        </w:rPr>
        <w:t>Please call (877) 328-2502 (toll free) or (412) 317-5419 (international) to listen to the meeting proceedings.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not be able to vote your shares during the meeting.</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What if I experience technical difficulties?</w:t>
      </w:r>
      <w:r>
        <w:rPr>
          <w:rFonts w:ascii="Arial" w:cs="Arial" w:eastAsia="Arial" w:hAnsi="Arial"/>
          <w:sz w:val="16"/>
          <w:szCs w:val="16"/>
          <w:color w:val="00A1DF"/>
        </w:rPr>
        <w:t xml:space="preserve"> </w:t>
      </w:r>
      <w:r>
        <w:rPr>
          <w:rFonts w:ascii="Arial" w:cs="Arial" w:eastAsia="Arial" w:hAnsi="Arial"/>
          <w:sz w:val="16"/>
          <w:szCs w:val="16"/>
          <w:color w:val="000000"/>
        </w:rPr>
        <w:t>Please call (800) 586-1548 (U.S.) or (303) 562-9288 (International) for assistance.</w:t>
      </w:r>
    </w:p>
    <w:p>
      <w:pPr>
        <w:spacing w:after="0" w:line="248" w:lineRule="exact"/>
        <w:rPr>
          <w:sz w:val="20"/>
          <w:szCs w:val="20"/>
          <w:color w:val="auto"/>
        </w:rPr>
      </w:pPr>
    </w:p>
    <w:p>
      <w:pPr>
        <w:ind w:left="460" w:right="160" w:hanging="161"/>
        <w:spacing w:after="0" w:line="30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Where can I find additional information?</w:t>
      </w:r>
      <w:r>
        <w:rPr>
          <w:rFonts w:ascii="Arial" w:cs="Arial" w:eastAsia="Arial" w:hAnsi="Arial"/>
          <w:sz w:val="16"/>
          <w:szCs w:val="16"/>
          <w:color w:val="00A1DF"/>
        </w:rPr>
        <w:t xml:space="preserve"> </w:t>
      </w:r>
      <w:r>
        <w:rPr>
          <w:rFonts w:ascii="Arial" w:cs="Arial" w:eastAsia="Arial" w:hAnsi="Arial"/>
          <w:sz w:val="16"/>
          <w:szCs w:val="16"/>
          <w:color w:val="000000"/>
        </w:rPr>
        <w:t>For additional information about how to attend the Annual Meeting, please see “General Information</w:t>
      </w:r>
      <w:r>
        <w:rPr>
          <w:rFonts w:ascii="Arial" w:cs="Arial" w:eastAsia="Arial" w:hAnsi="Arial"/>
          <w:sz w:val="16"/>
          <w:szCs w:val="16"/>
          <w:color w:val="00A1DF"/>
        </w:rPr>
        <w:t xml:space="preserve"> </w:t>
      </w:r>
      <w:r>
        <w:rPr>
          <w:rFonts w:ascii="Arial" w:cs="Arial" w:eastAsia="Arial" w:hAnsi="Arial"/>
          <w:sz w:val="16"/>
          <w:szCs w:val="16"/>
          <w:color w:val="000000"/>
        </w:rPr>
        <w:t>About the Annual Meeting” on page 78.</w:t>
      </w:r>
    </w:p>
    <w:p>
      <w:pPr>
        <w:spacing w:after="0" w:line="156" w:lineRule="exact"/>
        <w:rPr>
          <w:sz w:val="20"/>
          <w:szCs w:val="20"/>
          <w:color w:val="auto"/>
        </w:rPr>
      </w:pPr>
    </w:p>
    <w:p>
      <w:pPr>
        <w:ind w:left="460" w:right="160" w:hanging="161"/>
        <w:spacing w:after="0" w:line="30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b w:val="1"/>
          <w:bCs w:val="1"/>
          <w:color w:val="000000"/>
        </w:rPr>
        <w:t>What if I have additional questions?</w:t>
      </w:r>
      <w:r>
        <w:rPr>
          <w:rFonts w:ascii="Arial" w:cs="Arial" w:eastAsia="Arial" w:hAnsi="Arial"/>
          <w:sz w:val="16"/>
          <w:szCs w:val="16"/>
          <w:color w:val="00A1DF"/>
        </w:rPr>
        <w:t xml:space="preserve"> </w:t>
      </w:r>
      <w:r>
        <w:rPr>
          <w:rFonts w:ascii="Arial" w:cs="Arial" w:eastAsia="Arial" w:hAnsi="Arial"/>
          <w:sz w:val="16"/>
          <w:szCs w:val="16"/>
          <w:color w:val="000000"/>
        </w:rPr>
        <w:t>You may contact GM Shareholder Relations at</w:t>
      </w:r>
      <w:r>
        <w:rPr>
          <w:rFonts w:ascii="Arial" w:cs="Arial" w:eastAsia="Arial" w:hAnsi="Arial"/>
          <w:sz w:val="16"/>
          <w:szCs w:val="16"/>
          <w:color w:val="00A1DF"/>
        </w:rPr>
        <w:t xml:space="preserve"> </w:t>
      </w:r>
      <w:r>
        <w:rPr>
          <w:rFonts w:ascii="Arial" w:cs="Arial" w:eastAsia="Arial" w:hAnsi="Arial"/>
          <w:sz w:val="16"/>
          <w:szCs w:val="16"/>
          <w:i w:val="1"/>
          <w:iCs w:val="1"/>
          <w:color w:val="000000"/>
        </w:rPr>
        <w:t>shareholder.relations@gm.com</w:t>
      </w:r>
      <w:r>
        <w:rPr>
          <w:rFonts w:ascii="Arial" w:cs="Arial" w:eastAsia="Arial" w:hAnsi="Arial"/>
          <w:sz w:val="16"/>
          <w:szCs w:val="16"/>
          <w:color w:val="00A1DF"/>
        </w:rPr>
        <w:t xml:space="preserve"> </w:t>
      </w:r>
      <w:r>
        <w:rPr>
          <w:rFonts w:ascii="Arial" w:cs="Arial" w:eastAsia="Arial" w:hAnsi="Arial"/>
          <w:sz w:val="16"/>
          <w:szCs w:val="16"/>
          <w:color w:val="000000"/>
        </w:rPr>
        <w:t>or (313) 667-1432 for</w:t>
      </w:r>
      <w:r>
        <w:rPr>
          <w:rFonts w:ascii="Arial" w:cs="Arial" w:eastAsia="Arial" w:hAnsi="Arial"/>
          <w:sz w:val="16"/>
          <w:szCs w:val="16"/>
          <w:color w:val="00A1DF"/>
        </w:rPr>
        <w:t xml:space="preserve"> </w:t>
      </w:r>
      <w:r>
        <w:rPr>
          <w:rFonts w:ascii="Arial" w:cs="Arial" w:eastAsia="Arial" w:hAnsi="Arial"/>
          <w:sz w:val="16"/>
          <w:szCs w:val="16"/>
          <w:color w:val="000000"/>
        </w:rPr>
        <w:t>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358775</wp:posOffset>
            </wp:positionV>
            <wp:extent cx="68529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iii</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34"/>
          <w:szCs w:val="34"/>
          <w:color w:val="0033A0"/>
        </w:rPr>
        <w:t>Table of Contents</w:t>
      </w: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680" w:type="dxa"/>
            <w:vAlign w:val="bottom"/>
            <w:gridSpan w:val="8"/>
          </w:tcPr>
          <w:p>
            <w:pPr>
              <w:spacing w:after="0"/>
              <w:rPr>
                <w:rFonts w:ascii="Arial" w:cs="Arial" w:eastAsia="Arial" w:hAnsi="Arial"/>
                <w:sz w:val="20"/>
                <w:szCs w:val="20"/>
                <w:b w:val="1"/>
                <w:bCs w:val="1"/>
                <w:color w:val="0000EE"/>
              </w:rPr>
            </w:pPr>
            <w:hyperlink w:anchor="page9">
              <w:r>
                <w:rPr>
                  <w:rFonts w:ascii="Arial" w:cs="Arial" w:eastAsia="Arial" w:hAnsi="Arial"/>
                  <w:sz w:val="20"/>
                  <w:szCs w:val="20"/>
                  <w:b w:val="1"/>
                  <w:bCs w:val="1"/>
                  <w:color w:val="0000EE"/>
                </w:rPr>
                <w:t>PROXY STATEMENT SUMMARY</w:t>
              </w:r>
            </w:hyperlink>
          </w:p>
        </w:tc>
        <w:tc>
          <w:tcPr>
            <w:tcW w:w="1580" w:type="dxa"/>
            <w:vAlign w:val="bottom"/>
          </w:tcPr>
          <w:p>
            <w:pPr>
              <w:jc w:val="right"/>
              <w:spacing w:after="0"/>
              <w:rPr>
                <w:sz w:val="20"/>
                <w:szCs w:val="20"/>
                <w:color w:val="auto"/>
              </w:rPr>
            </w:pPr>
            <w:r>
              <w:rPr>
                <w:rFonts w:ascii="Arial" w:cs="Arial" w:eastAsia="Arial" w:hAnsi="Arial"/>
                <w:sz w:val="20"/>
                <w:szCs w:val="20"/>
                <w:b w:val="1"/>
                <w:bCs w:val="1"/>
                <w:color w:val="00A1DF"/>
              </w:rPr>
              <w:t>1</w:t>
            </w:r>
          </w:p>
        </w:tc>
      </w:tr>
      <w:tr>
        <w:trPr>
          <w:trHeight w:val="20"/>
        </w:trPr>
        <w:tc>
          <w:tcPr>
            <w:tcW w:w="134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0"/>
        </w:trPr>
        <w:tc>
          <w:tcPr>
            <w:tcW w:w="368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Agenda and Voting Recommendations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2"/>
        </w:trPr>
        <w:tc>
          <w:tcPr>
            <w:tcW w:w="13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Board Nominees</w:t>
              </w:r>
            </w:hyperlink>
          </w:p>
        </w:tc>
        <w:tc>
          <w:tcPr>
            <w:tcW w:w="1720" w:type="dxa"/>
            <w:vAlign w:val="bottom"/>
            <w:tcBorders>
              <w:top w:val="single" w:sz="8" w:color="0000EE"/>
            </w:tcBorders>
            <w:gridSpan w:val="6"/>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2"/>
        </w:trPr>
        <w:tc>
          <w:tcPr>
            <w:tcW w:w="18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Governance Highlights</w:t>
              </w:r>
            </w:hyperlink>
          </w:p>
        </w:tc>
        <w:tc>
          <w:tcPr>
            <w:tcW w:w="1860" w:type="dxa"/>
            <w:vAlign w:val="bottom"/>
            <w:gridSpan w:val="6"/>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2"/>
        </w:trPr>
        <w:tc>
          <w:tcPr>
            <w:tcW w:w="3680" w:type="dxa"/>
            <w:vAlign w:val="bottom"/>
            <w:gridSpan w:val="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2018 Performance Snapshot</w:t>
              </w:r>
            </w:hyperlink>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2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2"/>
        </w:trPr>
        <w:tc>
          <w:tcPr>
            <w:tcW w:w="3680" w:type="dxa"/>
            <w:vAlign w:val="bottom"/>
            <w:gridSpan w:val="8"/>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Our Capital Allocation Framework</w:t>
              </w:r>
            </w:hyperlink>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6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2"/>
        </w:trPr>
        <w:tc>
          <w:tcPr>
            <w:tcW w:w="3680" w:type="dxa"/>
            <w:vAlign w:val="bottom"/>
            <w:gridSpan w:val="8"/>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Executive Compensation Highlights</w:t>
              </w:r>
            </w:hyperlink>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820" w:type="dxa"/>
            <w:vAlign w:val="bottom"/>
            <w:gridSpan w:val="5"/>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2"/>
        </w:trPr>
        <w:tc>
          <w:tcPr>
            <w:tcW w:w="36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Environmental and Sustainability Performance</w:t>
              </w:r>
            </w:hyperlink>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bl>
    <w:p>
      <w:pPr>
        <w:spacing w:after="0" w:line="53"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820" w:type="dxa"/>
            <w:vAlign w:val="bottom"/>
            <w:gridSpan w:val="8"/>
          </w:tcPr>
          <w:p>
            <w:pPr>
              <w:spacing w:after="0"/>
              <w:rPr>
                <w:rFonts w:ascii="Arial" w:cs="Arial" w:eastAsia="Arial" w:hAnsi="Arial"/>
                <w:sz w:val="20"/>
                <w:szCs w:val="20"/>
                <w:b w:val="1"/>
                <w:bCs w:val="1"/>
                <w:color w:val="0000EE"/>
              </w:rPr>
            </w:pPr>
            <w:hyperlink w:anchor="page16">
              <w:r>
                <w:rPr>
                  <w:rFonts w:ascii="Arial" w:cs="Arial" w:eastAsia="Arial" w:hAnsi="Arial"/>
                  <w:sz w:val="20"/>
                  <w:szCs w:val="20"/>
                  <w:b w:val="1"/>
                  <w:bCs w:val="1"/>
                  <w:color w:val="0000EE"/>
                </w:rPr>
                <w:t>ITEM NO. 1 –   ELECTION OF DIRECTORS</w:t>
              </w:r>
            </w:hyperlink>
          </w:p>
        </w:tc>
        <w:tc>
          <w:tcPr>
            <w:tcW w:w="440" w:type="dxa"/>
            <w:vAlign w:val="bottom"/>
          </w:tcPr>
          <w:p>
            <w:pPr>
              <w:jc w:val="right"/>
              <w:spacing w:after="0"/>
              <w:rPr>
                <w:sz w:val="20"/>
                <w:szCs w:val="20"/>
                <w:color w:val="auto"/>
              </w:rPr>
            </w:pPr>
            <w:r>
              <w:rPr>
                <w:rFonts w:ascii="Arial" w:cs="Arial" w:eastAsia="Arial" w:hAnsi="Arial"/>
                <w:sz w:val="20"/>
                <w:szCs w:val="20"/>
                <w:b w:val="1"/>
                <w:bCs w:val="1"/>
                <w:color w:val="00A1DF"/>
              </w:rPr>
              <w:t>8</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8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0"/>
        </w:trPr>
        <w:tc>
          <w:tcPr>
            <w:tcW w:w="4820" w:type="dxa"/>
            <w:vAlign w:val="bottom"/>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Overview of Your Board Nominees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4820" w:type="dxa"/>
            <w:vAlign w:val="bottom"/>
            <w:gridSpan w:val="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Board Membership Criteria, Refreshment, and Succession</w:t>
              </w:r>
            </w:hyperlink>
          </w:p>
        </w:tc>
        <w:tc>
          <w:tcPr>
            <w:tcW w:w="440" w:type="dxa"/>
            <w:vAlign w:val="bottom"/>
          </w:tcPr>
          <w:p>
            <w:pPr>
              <w:spacing w:after="0"/>
              <w:rPr>
                <w:sz w:val="15"/>
                <w:szCs w:val="15"/>
                <w:color w:val="auto"/>
              </w:rPr>
            </w:pPr>
          </w:p>
        </w:tc>
      </w:tr>
      <w:tr>
        <w:trPr>
          <w:trHeight w:val="182"/>
        </w:trPr>
        <w:tc>
          <w:tcPr>
            <w:tcW w:w="180" w:type="dxa"/>
            <w:vAlign w:val="bottom"/>
            <w:tcBorders>
              <w:top w:val="single" w:sz="8" w:color="0000EE"/>
            </w:tcBorders>
          </w:tcPr>
          <w:p>
            <w:pPr>
              <w:spacing w:after="0"/>
              <w:rPr>
                <w:sz w:val="15"/>
                <w:szCs w:val="15"/>
                <w:color w:val="auto"/>
              </w:rPr>
            </w:pPr>
          </w:p>
        </w:tc>
        <w:tc>
          <w:tcPr>
            <w:tcW w:w="7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Planning</w:t>
              </w:r>
            </w:hyperlink>
          </w:p>
        </w:tc>
        <w:tc>
          <w:tcPr>
            <w:tcW w:w="3760" w:type="dxa"/>
            <w:vAlign w:val="bottom"/>
            <w:tcBorders>
              <w:top w:val="single" w:sz="8" w:color="0000EE"/>
            </w:tcBorders>
            <w:gridSpan w:val="5"/>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2"/>
        </w:trPr>
        <w:tc>
          <w:tcPr>
            <w:tcW w:w="282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Your Board’s Nominees for Director</w:t>
              </w:r>
            </w:hyperlink>
          </w:p>
        </w:tc>
        <w:tc>
          <w:tcPr>
            <w:tcW w:w="2000" w:type="dxa"/>
            <w:vAlign w:val="bottom"/>
            <w:gridSpan w:val="4"/>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2"/>
        </w:trPr>
        <w:tc>
          <w:tcPr>
            <w:tcW w:w="30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Non-Employee Director Compensation</w:t>
              </w:r>
            </w:hyperlink>
          </w:p>
        </w:tc>
        <w:tc>
          <w:tcPr>
            <w:tcW w:w="1740" w:type="dxa"/>
            <w:vAlign w:val="bottom"/>
            <w:gridSpan w:val="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bl>
    <w:p>
      <w:pPr>
        <w:spacing w:after="0" w:line="53"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260" w:type="dxa"/>
            <w:vAlign w:val="bottom"/>
            <w:gridSpan w:val="23"/>
          </w:tcPr>
          <w:p>
            <w:pPr>
              <w:spacing w:after="0"/>
              <w:rPr>
                <w:rFonts w:ascii="Arial" w:cs="Arial" w:eastAsia="Arial" w:hAnsi="Arial"/>
                <w:sz w:val="20"/>
                <w:szCs w:val="20"/>
                <w:b w:val="1"/>
                <w:bCs w:val="1"/>
                <w:color w:val="0000EE"/>
              </w:rPr>
            </w:pPr>
            <w:hyperlink w:anchor="page29">
              <w:r>
                <w:rPr>
                  <w:rFonts w:ascii="Arial" w:cs="Arial" w:eastAsia="Arial" w:hAnsi="Arial"/>
                  <w:sz w:val="20"/>
                  <w:szCs w:val="20"/>
                  <w:b w:val="1"/>
                  <w:bCs w:val="1"/>
                  <w:color w:val="0000EE"/>
                </w:rPr>
                <w:t>CORPORATE GOVERNANCE</w:t>
              </w:r>
            </w:hyperlink>
          </w:p>
        </w:tc>
        <w:tc>
          <w:tcPr>
            <w:tcW w:w="1000" w:type="dxa"/>
            <w:vAlign w:val="bottom"/>
          </w:tcPr>
          <w:p>
            <w:pPr>
              <w:jc w:val="right"/>
              <w:spacing w:after="0"/>
              <w:rPr>
                <w:sz w:val="20"/>
                <w:szCs w:val="20"/>
                <w:color w:val="auto"/>
              </w:rPr>
            </w:pPr>
            <w:r>
              <w:rPr>
                <w:rFonts w:ascii="Arial" w:cs="Arial" w:eastAsia="Arial" w:hAnsi="Arial"/>
                <w:sz w:val="20"/>
                <w:szCs w:val="20"/>
                <w:b w:val="1"/>
                <w:bCs w:val="1"/>
                <w:color w:val="00A1DF"/>
              </w:rPr>
              <w:t>21</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426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Role of the Board of Directors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82"/>
        </w:trPr>
        <w:tc>
          <w:tcPr>
            <w:tcW w:w="9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Board Size</w:t>
              </w:r>
            </w:hyperlink>
          </w:p>
        </w:tc>
        <w:tc>
          <w:tcPr>
            <w:tcW w:w="1460" w:type="dxa"/>
            <w:vAlign w:val="bottom"/>
            <w:tcBorders>
              <w:top w:val="single" w:sz="8" w:color="0000EE"/>
            </w:tcBorders>
            <w:gridSpan w:val="11"/>
          </w:tcPr>
          <w:p>
            <w:pPr>
              <w:spacing w:after="0"/>
              <w:rPr>
                <w:sz w:val="15"/>
                <w:szCs w:val="15"/>
                <w:color w:val="auto"/>
              </w:rPr>
            </w:pPr>
          </w:p>
        </w:tc>
        <w:tc>
          <w:tcPr>
            <w:tcW w:w="1900" w:type="dxa"/>
            <w:vAlign w:val="bottom"/>
            <w:gridSpan w:val="9"/>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2"/>
        </w:trPr>
        <w:tc>
          <w:tcPr>
            <w:tcW w:w="42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Code of Business Conduct and Ethics: “Winning with</w:t>
              </w:r>
            </w:hyperlink>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7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Integrity”</w:t>
              </w:r>
            </w:hyperlink>
          </w:p>
        </w:tc>
        <w:tc>
          <w:tcPr>
            <w:tcW w:w="3380" w:type="dxa"/>
            <w:vAlign w:val="bottom"/>
            <w:gridSpan w:val="21"/>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Corporate Governance Guidelines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2"/>
        </w:trPr>
        <w:tc>
          <w:tcPr>
            <w:tcW w:w="18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Director Independence</w:t>
              </w:r>
            </w:hyperlink>
          </w:p>
        </w:tc>
        <w:tc>
          <w:tcPr>
            <w:tcW w:w="900" w:type="dxa"/>
            <w:vAlign w:val="bottom"/>
            <w:tcBorders>
              <w:top w:val="single" w:sz="8" w:color="0000EE"/>
            </w:tcBorders>
            <w:gridSpan w:val="6"/>
          </w:tcPr>
          <w:p>
            <w:pPr>
              <w:spacing w:after="0"/>
              <w:rPr>
                <w:sz w:val="15"/>
                <w:szCs w:val="15"/>
                <w:color w:val="auto"/>
              </w:rPr>
            </w:pPr>
          </w:p>
        </w:tc>
        <w:tc>
          <w:tcPr>
            <w:tcW w:w="1540" w:type="dxa"/>
            <w:vAlign w:val="bottom"/>
            <w:gridSpan w:val="8"/>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2"/>
        </w:trPr>
        <w:tc>
          <w:tcPr>
            <w:tcW w:w="22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Board Leadership Structure</w:t>
              </w:r>
            </w:hyperlink>
          </w:p>
        </w:tc>
        <w:tc>
          <w:tcPr>
            <w:tcW w:w="2060" w:type="dxa"/>
            <w:vAlign w:val="bottom"/>
            <w:gridSpan w:val="10"/>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2"/>
        </w:trPr>
        <w:tc>
          <w:tcPr>
            <w:tcW w:w="156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Executive Sessions</w:t>
              </w:r>
            </w:hyperlink>
          </w:p>
        </w:tc>
        <w:tc>
          <w:tcPr>
            <w:tcW w:w="2700" w:type="dxa"/>
            <w:vAlign w:val="bottom"/>
            <w:gridSpan w:val="16"/>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Board Committees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Access to Outside Advisors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386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Board and Committee Meetings and Attendance</w:t>
              </w:r>
            </w:hyperlink>
          </w:p>
        </w:tc>
        <w:tc>
          <w:tcPr>
            <w:tcW w:w="400" w:type="dxa"/>
            <w:vAlign w:val="bottom"/>
            <w:gridSpan w:val="3"/>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Board and Committee Oversight of Risk</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2"/>
        </w:trPr>
        <w:tc>
          <w:tcPr>
            <w:tcW w:w="31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People Development</w:t>
              </w:r>
            </w:hyperlink>
          </w:p>
        </w:tc>
        <w:tc>
          <w:tcPr>
            <w:tcW w:w="1100" w:type="dxa"/>
            <w:vAlign w:val="bottom"/>
            <w:gridSpan w:val="7"/>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CEO Succession Planning</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tcBorders>
              <w:left w:val="single" w:sz="8" w:color="0000EE"/>
            </w:tcBorders>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Board and Committee Evaluations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2"/>
        </w:trPr>
        <w:tc>
          <w:tcPr>
            <w:tcW w:w="27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Annual Evaluation of CEO</w:t>
              </w:r>
            </w:hyperlink>
          </w:p>
        </w:tc>
        <w:tc>
          <w:tcPr>
            <w:tcW w:w="1540" w:type="dxa"/>
            <w:vAlign w:val="bottom"/>
            <w:gridSpan w:val="8"/>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Director Orientation and Continuing Education</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Director Service on Other Public Company Boards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2"/>
        </w:trPr>
        <w:tc>
          <w:tcPr>
            <w:tcW w:w="384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Compensation Committee Interlocks and Insider</w:t>
              </w:r>
            </w:hyperlink>
          </w:p>
        </w:tc>
        <w:tc>
          <w:tcPr>
            <w:tcW w:w="160" w:type="dxa"/>
            <w:vAlign w:val="bottom"/>
            <w:tcBorders>
              <w:top w:val="single" w:sz="8" w:color="0000EE"/>
            </w:tcBorders>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4080" w:type="dxa"/>
            <w:vAlign w:val="bottom"/>
            <w:gridSpan w:val="22"/>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Participation</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Shareholder Engagement</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2"/>
        </w:trPr>
        <w:tc>
          <w:tcPr>
            <w:tcW w:w="20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Shareholder Protections</w:t>
              </w:r>
            </w:hyperlink>
          </w:p>
        </w:tc>
        <w:tc>
          <w:tcPr>
            <w:tcW w:w="2180" w:type="dxa"/>
            <w:vAlign w:val="bottom"/>
            <w:gridSpan w:val="12"/>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20"/>
        </w:trPr>
        <w:tc>
          <w:tcPr>
            <w:tcW w:w="122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gridSpan w:val="23"/>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Corporate Political Contributions and Lobbying</w:t>
              </w:r>
            </w:hyperlink>
          </w:p>
        </w:tc>
        <w:tc>
          <w:tcPr>
            <w:tcW w:w="1000" w:type="dxa"/>
            <w:vAlign w:val="bottom"/>
          </w:tcPr>
          <w:p>
            <w:pPr>
              <w:spacing w:after="0"/>
              <w:rPr>
                <w:sz w:val="15"/>
                <w:szCs w:val="15"/>
                <w:color w:val="auto"/>
              </w:rPr>
            </w:pPr>
          </w:p>
        </w:tc>
      </w:tr>
      <w:tr>
        <w:trPr>
          <w:trHeight w:val="182"/>
        </w:trPr>
        <w:tc>
          <w:tcPr>
            <w:tcW w:w="180" w:type="dxa"/>
            <w:vAlign w:val="bottom"/>
            <w:tcBorders>
              <w:top w:val="single" w:sz="8" w:color="0000EE"/>
            </w:tcBorders>
          </w:tcPr>
          <w:p>
            <w:pPr>
              <w:spacing w:after="0"/>
              <w:rPr>
                <w:sz w:val="15"/>
                <w:szCs w:val="15"/>
                <w:color w:val="auto"/>
              </w:rPr>
            </w:pPr>
          </w:p>
        </w:tc>
        <w:tc>
          <w:tcPr>
            <w:tcW w:w="35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Expenditures</w:t>
              </w:r>
            </w:hyperlink>
          </w:p>
        </w:tc>
        <w:tc>
          <w:tcPr>
            <w:tcW w:w="560" w:type="dxa"/>
            <w:vAlign w:val="bottom"/>
            <w:gridSpan w:val="5"/>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2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Certain Relationships and Related Party Transactions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37"/>
          </w:tcPr>
          <w:p>
            <w:pPr>
              <w:spacing w:after="0"/>
              <w:rPr>
                <w:rFonts w:ascii="Arial" w:cs="Arial" w:eastAsia="Arial" w:hAnsi="Arial"/>
                <w:sz w:val="20"/>
                <w:szCs w:val="20"/>
                <w:b w:val="1"/>
                <w:bCs w:val="1"/>
                <w:color w:val="0000EE"/>
              </w:rPr>
            </w:pPr>
            <w:hyperlink w:anchor="page45">
              <w:r>
                <w:rPr>
                  <w:rFonts w:ascii="Arial" w:cs="Arial" w:eastAsia="Arial" w:hAnsi="Arial"/>
                  <w:sz w:val="20"/>
                  <w:szCs w:val="20"/>
                  <w:b w:val="1"/>
                  <w:bCs w:val="1"/>
                  <w:color w:val="0000EE"/>
                </w:rPr>
                <w:t>EXECUTIVE COMPENSATION</w:t>
              </w:r>
            </w:hyperlink>
          </w:p>
        </w:tc>
        <w:tc>
          <w:tcPr>
            <w:tcW w:w="460" w:type="dxa"/>
            <w:vAlign w:val="bottom"/>
          </w:tcPr>
          <w:p>
            <w:pPr>
              <w:jc w:val="right"/>
              <w:spacing w:after="0"/>
              <w:rPr>
                <w:sz w:val="20"/>
                <w:szCs w:val="20"/>
                <w:color w:val="auto"/>
              </w:rPr>
            </w:pPr>
            <w:r>
              <w:rPr>
                <w:rFonts w:ascii="Arial" w:cs="Arial" w:eastAsia="Arial" w:hAnsi="Arial"/>
                <w:sz w:val="20"/>
                <w:szCs w:val="20"/>
                <w:b w:val="1"/>
                <w:bCs w:val="1"/>
                <w:color w:val="00A1DF"/>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3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Compensation Overview</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Compensation Principles</w:t>
              </w:r>
            </w:hyperlink>
          </w:p>
        </w:tc>
        <w:tc>
          <w:tcPr>
            <w:tcW w:w="2940" w:type="dxa"/>
            <w:vAlign w:val="bottom"/>
            <w:gridSpan w:val="26"/>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2"/>
        </w:trPr>
        <w:tc>
          <w:tcPr>
            <w:tcW w:w="4940" w:type="dxa"/>
            <w:vAlign w:val="bottom"/>
            <w:gridSpan w:val="37"/>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Elements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2"/>
        </w:trPr>
        <w:tc>
          <w:tcPr>
            <w:tcW w:w="188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Performance Measures</w:t>
              </w:r>
            </w:hyperlink>
          </w:p>
        </w:tc>
        <w:tc>
          <w:tcPr>
            <w:tcW w:w="40" w:type="dxa"/>
            <w:vAlign w:val="bottom"/>
            <w:tcBorders>
              <w:top w:val="single" w:sz="8" w:color="0000EE"/>
            </w:tcBorders>
          </w:tcPr>
          <w:p>
            <w:pPr>
              <w:spacing w:after="0"/>
              <w:rPr>
                <w:sz w:val="15"/>
                <w:szCs w:val="15"/>
                <w:color w:val="auto"/>
              </w:rPr>
            </w:pPr>
          </w:p>
        </w:tc>
        <w:tc>
          <w:tcPr>
            <w:tcW w:w="3020" w:type="dxa"/>
            <w:vAlign w:val="bottom"/>
            <w:gridSpan w:val="27"/>
          </w:tcPr>
          <w:p>
            <w:pPr>
              <w:spacing w:after="0"/>
              <w:rPr>
                <w:sz w:val="15"/>
                <w:szCs w:val="15"/>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Performance Results and Compensation Decisions</w:t>
              </w:r>
            </w:hyperlink>
          </w:p>
        </w:tc>
        <w:tc>
          <w:tcPr>
            <w:tcW w:w="860" w:type="dxa"/>
            <w:vAlign w:val="bottom"/>
            <w:gridSpan w:val="14"/>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940" w:type="dxa"/>
            <w:vAlign w:val="bottom"/>
            <w:gridSpan w:val="37"/>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Compensation Policies and Governance Practices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68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Compensation Committee Report</w:t>
              </w:r>
            </w:hyperlink>
          </w:p>
        </w:tc>
        <w:tc>
          <w:tcPr>
            <w:tcW w:w="1320" w:type="dxa"/>
            <w:vAlign w:val="bottom"/>
            <w:tcBorders>
              <w:top w:val="single" w:sz="8" w:color="0000EE"/>
            </w:tcBorders>
            <w:gridSpan w:val="7"/>
          </w:tcPr>
          <w:p>
            <w:pPr>
              <w:spacing w:after="0"/>
              <w:rPr>
                <w:sz w:val="17"/>
                <w:szCs w:val="17"/>
                <w:color w:val="auto"/>
              </w:rPr>
            </w:pPr>
          </w:p>
        </w:tc>
        <w:tc>
          <w:tcPr>
            <w:tcW w:w="940" w:type="dxa"/>
            <w:vAlign w:val="bottom"/>
            <w:gridSpan w:val="15"/>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940" w:type="dxa"/>
            <w:vAlign w:val="bottom"/>
            <w:gridSpan w:val="37"/>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 Tables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Equity Compensation Plan Information</w:t>
              </w:r>
            </w:hyperlink>
          </w:p>
        </w:tc>
        <w:tc>
          <w:tcPr>
            <w:tcW w:w="1860" w:type="dxa"/>
            <w:vAlign w:val="bottom"/>
            <w:gridSpan w:val="20"/>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17"/>
        </w:trPr>
        <w:tc>
          <w:tcPr>
            <w:tcW w:w="1500" w:type="dxa"/>
            <w:vAlign w:val="bottom"/>
            <w:gridSpan w:val="8"/>
          </w:tcPr>
          <w:p>
            <w:pPr>
              <w:spacing w:after="0"/>
              <w:rPr>
                <w:rFonts w:ascii="Arial" w:cs="Arial" w:eastAsia="Arial" w:hAnsi="Arial"/>
                <w:sz w:val="20"/>
                <w:szCs w:val="20"/>
                <w:b w:val="1"/>
                <w:bCs w:val="1"/>
                <w:color w:val="0000EE"/>
              </w:rPr>
            </w:pPr>
            <w:hyperlink w:anchor="page77">
              <w:r>
                <w:rPr>
                  <w:rFonts w:ascii="Arial" w:cs="Arial" w:eastAsia="Arial" w:hAnsi="Arial"/>
                  <w:sz w:val="20"/>
                  <w:szCs w:val="20"/>
                  <w:b w:val="1"/>
                  <w:bCs w:val="1"/>
                  <w:color w:val="0000EE"/>
                </w:rPr>
                <w:t>ITEM NO. 2 –</w:t>
              </w:r>
            </w:hyperlink>
          </w:p>
        </w:tc>
        <w:tc>
          <w:tcPr>
            <w:tcW w:w="3440" w:type="dxa"/>
            <w:vAlign w:val="bottom"/>
            <w:gridSpan w:val="29"/>
          </w:tcPr>
          <w:p>
            <w:pPr>
              <w:spacing w:after="0"/>
              <w:rPr>
                <w:rFonts w:ascii="Arial" w:cs="Arial" w:eastAsia="Arial" w:hAnsi="Arial"/>
                <w:sz w:val="20"/>
                <w:szCs w:val="20"/>
                <w:b w:val="1"/>
                <w:bCs w:val="1"/>
                <w:color w:val="0000EE"/>
              </w:rPr>
            </w:pPr>
            <w:hyperlink w:anchor="page77">
              <w:r>
                <w:rPr>
                  <w:rFonts w:ascii="Arial" w:cs="Arial" w:eastAsia="Arial" w:hAnsi="Arial"/>
                  <w:sz w:val="20"/>
                  <w:szCs w:val="20"/>
                  <w:b w:val="1"/>
                  <w:bCs w:val="1"/>
                  <w:color w:val="0000EE"/>
                </w:rPr>
                <w:t>Board Proposal to Approve, on an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2"/>
          </w:tcPr>
          <w:p>
            <w:pPr>
              <w:spacing w:after="0" w:line="196" w:lineRule="exact"/>
              <w:rPr>
                <w:rFonts w:ascii="Arial" w:cs="Arial" w:eastAsia="Arial" w:hAnsi="Arial"/>
                <w:sz w:val="20"/>
                <w:szCs w:val="20"/>
                <w:b w:val="1"/>
                <w:bCs w:val="1"/>
                <w:color w:val="0000EE"/>
                <w:w w:val="98"/>
              </w:rPr>
            </w:pPr>
            <w:hyperlink w:anchor="page77">
              <w:r>
                <w:rPr>
                  <w:rFonts w:ascii="Arial" w:cs="Arial" w:eastAsia="Arial" w:hAnsi="Arial"/>
                  <w:sz w:val="20"/>
                  <w:szCs w:val="20"/>
                  <w:b w:val="1"/>
                  <w:bCs w:val="1"/>
                  <w:color w:val="0000EE"/>
                  <w:w w:val="98"/>
                </w:rPr>
                <w:t>Advisory Basis, Named</w:t>
              </w:r>
            </w:hyperlink>
          </w:p>
        </w:tc>
        <w:tc>
          <w:tcPr>
            <w:tcW w:w="1000" w:type="dxa"/>
            <w:vAlign w:val="bottom"/>
            <w:tcBorders>
              <w:top w:val="single" w:sz="8" w:color="0000EE"/>
            </w:tcBorders>
            <w:gridSpan w:val="13"/>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9"/>
          </w:tcPr>
          <w:p>
            <w:pPr>
              <w:spacing w:after="0" w:line="196" w:lineRule="exact"/>
              <w:rPr>
                <w:rFonts w:ascii="Arial" w:cs="Arial" w:eastAsia="Arial" w:hAnsi="Arial"/>
                <w:sz w:val="20"/>
                <w:szCs w:val="20"/>
                <w:b w:val="1"/>
                <w:bCs w:val="1"/>
                <w:color w:val="0000EE"/>
              </w:rPr>
            </w:pPr>
            <w:hyperlink w:anchor="page77">
              <w:r>
                <w:rPr>
                  <w:rFonts w:ascii="Arial" w:cs="Arial" w:eastAsia="Arial" w:hAnsi="Arial"/>
                  <w:sz w:val="20"/>
                  <w:szCs w:val="20"/>
                  <w:b w:val="1"/>
                  <w:bCs w:val="1"/>
                  <w:color w:val="0000EE"/>
                </w:rPr>
                <w:t>Executive Officer Compensation</w:t>
              </w:r>
            </w:hyperlink>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8"/>
          </w:tcPr>
          <w:p>
            <w:pPr>
              <w:spacing w:after="0"/>
              <w:rPr>
                <w:rFonts w:ascii="Arial" w:cs="Arial" w:eastAsia="Arial" w:hAnsi="Arial"/>
                <w:sz w:val="20"/>
                <w:szCs w:val="20"/>
                <w:b w:val="1"/>
                <w:bCs w:val="1"/>
                <w:color w:val="0000EE"/>
              </w:rPr>
            </w:pPr>
            <w:hyperlink w:anchor="page78">
              <w:r>
                <w:rPr>
                  <w:rFonts w:ascii="Arial" w:cs="Arial" w:eastAsia="Arial" w:hAnsi="Arial"/>
                  <w:sz w:val="20"/>
                  <w:szCs w:val="20"/>
                  <w:b w:val="1"/>
                  <w:bCs w:val="1"/>
                  <w:color w:val="0000EE"/>
                </w:rPr>
                <w:t>ITEM NO. 3 –</w:t>
              </w:r>
            </w:hyperlink>
          </w:p>
        </w:tc>
        <w:tc>
          <w:tcPr>
            <w:tcW w:w="3440" w:type="dxa"/>
            <w:vAlign w:val="bottom"/>
            <w:gridSpan w:val="29"/>
          </w:tcPr>
          <w:p>
            <w:pPr>
              <w:spacing w:after="0"/>
              <w:rPr>
                <w:rFonts w:ascii="Arial" w:cs="Arial" w:eastAsia="Arial" w:hAnsi="Arial"/>
                <w:sz w:val="20"/>
                <w:szCs w:val="20"/>
                <w:b w:val="1"/>
                <w:bCs w:val="1"/>
                <w:color w:val="0000EE"/>
              </w:rPr>
            </w:pPr>
            <w:hyperlink w:anchor="page78">
              <w:r>
                <w:rPr>
                  <w:rFonts w:ascii="Arial" w:cs="Arial" w:eastAsia="Arial" w:hAnsi="Arial"/>
                  <w:sz w:val="20"/>
                  <w:szCs w:val="20"/>
                  <w:b w:val="1"/>
                  <w:bCs w:val="1"/>
                  <w:color w:val="0000EE"/>
                </w:rPr>
                <w:t>Board Proposal to Ratify the</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20"/>
                <w:szCs w:val="20"/>
                <w:b w:val="1"/>
                <w:bCs w:val="1"/>
                <w:color w:val="0000EE"/>
              </w:rPr>
            </w:pPr>
            <w:hyperlink w:anchor="page78">
              <w:r>
                <w:rPr>
                  <w:rFonts w:ascii="Arial" w:cs="Arial" w:eastAsia="Arial" w:hAnsi="Arial"/>
                  <w:sz w:val="20"/>
                  <w:szCs w:val="20"/>
                  <w:b w:val="1"/>
                  <w:bCs w:val="1"/>
                  <w:color w:val="0000EE"/>
                </w:rPr>
                <w:t>Selection of Ernst &amp; Young</w:t>
              </w:r>
            </w:hyperlink>
          </w:p>
        </w:tc>
        <w:tc>
          <w:tcPr>
            <w:tcW w:w="780" w:type="dxa"/>
            <w:vAlign w:val="bottom"/>
            <w:gridSpan w:val="12"/>
          </w:tcPr>
          <w:p>
            <w:pPr>
              <w:jc w:val="right"/>
              <w:ind w:right="160"/>
              <w:spacing w:after="0" w:line="196" w:lineRule="exact"/>
              <w:rPr>
                <w:rFonts w:ascii="Arial" w:cs="Arial" w:eastAsia="Arial" w:hAnsi="Arial"/>
                <w:sz w:val="20"/>
                <w:szCs w:val="20"/>
                <w:b w:val="1"/>
                <w:bCs w:val="1"/>
                <w:color w:val="0000EE"/>
                <w:w w:val="91"/>
              </w:rPr>
            </w:pPr>
            <w:hyperlink w:anchor="page78">
              <w:r>
                <w:rPr>
                  <w:rFonts w:ascii="Arial" w:cs="Arial" w:eastAsia="Arial" w:hAnsi="Arial"/>
                  <w:sz w:val="20"/>
                  <w:szCs w:val="20"/>
                  <w:b w:val="1"/>
                  <w:bCs w:val="1"/>
                  <w:color w:val="0000EE"/>
                  <w:w w:val="91"/>
                </w:rPr>
                <w:t>LLP as</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top w:val="single" w:sz="8" w:color="0000EE"/>
            </w:tcBorders>
            <w:gridSpan w:val="27"/>
          </w:tcPr>
          <w:p>
            <w:pPr>
              <w:spacing w:after="0" w:line="196" w:lineRule="exact"/>
              <w:rPr>
                <w:rFonts w:ascii="Arial" w:cs="Arial" w:eastAsia="Arial" w:hAnsi="Arial"/>
                <w:sz w:val="20"/>
                <w:szCs w:val="20"/>
                <w:b w:val="1"/>
                <w:bCs w:val="1"/>
                <w:color w:val="0000EE"/>
              </w:rPr>
            </w:pPr>
            <w:hyperlink w:anchor="page78">
              <w:r>
                <w:rPr>
                  <w:rFonts w:ascii="Arial" w:cs="Arial" w:eastAsia="Arial" w:hAnsi="Arial"/>
                  <w:sz w:val="20"/>
                  <w:szCs w:val="20"/>
                  <w:b w:val="1"/>
                  <w:bCs w:val="1"/>
                  <w:color w:val="0000EE"/>
                </w:rPr>
                <w:t>the Company’s Independent</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tcBorders>
            <w:gridSpan w:val="16"/>
          </w:tcPr>
          <w:p>
            <w:pPr>
              <w:spacing w:after="0" w:line="196" w:lineRule="exact"/>
              <w:rPr>
                <w:rFonts w:ascii="Arial" w:cs="Arial" w:eastAsia="Arial" w:hAnsi="Arial"/>
                <w:sz w:val="20"/>
                <w:szCs w:val="20"/>
                <w:b w:val="1"/>
                <w:bCs w:val="1"/>
                <w:color w:val="0000EE"/>
                <w:w w:val="92"/>
              </w:rPr>
            </w:pPr>
            <w:hyperlink w:anchor="page78">
              <w:r>
                <w:rPr>
                  <w:rFonts w:ascii="Arial" w:cs="Arial" w:eastAsia="Arial" w:hAnsi="Arial"/>
                  <w:sz w:val="20"/>
                  <w:szCs w:val="20"/>
                  <w:b w:val="1"/>
                  <w:bCs w:val="1"/>
                  <w:color w:val="0000EE"/>
                  <w:w w:val="92"/>
                </w:rPr>
                <w:t>Registered Public Accounting</w:t>
              </w:r>
            </w:hyperlink>
          </w:p>
        </w:tc>
        <w:tc>
          <w:tcPr>
            <w:tcW w:w="120" w:type="dxa"/>
            <w:vAlign w:val="bottom"/>
            <w:gridSpan w:val="2"/>
          </w:tcPr>
          <w:p>
            <w:pPr>
              <w:spacing w:after="0"/>
              <w:rPr>
                <w:sz w:val="17"/>
                <w:szCs w:val="17"/>
                <w:color w:val="auto"/>
              </w:rPr>
            </w:pPr>
          </w:p>
        </w:tc>
        <w:tc>
          <w:tcPr>
            <w:tcW w:w="680" w:type="dxa"/>
            <w:vAlign w:val="bottom"/>
            <w:gridSpan w:val="11"/>
          </w:tcPr>
          <w:p>
            <w:pPr>
              <w:jc w:val="right"/>
              <w:ind w:right="160"/>
              <w:spacing w:after="0" w:line="196" w:lineRule="exact"/>
              <w:rPr>
                <w:rFonts w:ascii="Arial" w:cs="Arial" w:eastAsia="Arial" w:hAnsi="Arial"/>
                <w:sz w:val="20"/>
                <w:szCs w:val="20"/>
                <w:b w:val="1"/>
                <w:bCs w:val="1"/>
                <w:color w:val="0000EE"/>
              </w:rPr>
            </w:pPr>
            <w:hyperlink w:anchor="page78">
              <w:r>
                <w:rPr>
                  <w:rFonts w:ascii="Arial" w:cs="Arial" w:eastAsia="Arial" w:hAnsi="Arial"/>
                  <w:sz w:val="20"/>
                  <w:szCs w:val="20"/>
                  <w:b w:val="1"/>
                  <w:bCs w:val="1"/>
                  <w:color w:val="0000EE"/>
                </w:rPr>
                <w:t>Firm</w:t>
              </w:r>
            </w:hyperlink>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tcBorders>
            <w:gridSpan w:val="28"/>
          </w:tcPr>
          <w:p>
            <w:pPr>
              <w:spacing w:after="0" w:line="196" w:lineRule="exact"/>
              <w:rPr>
                <w:rFonts w:ascii="Arial" w:cs="Arial" w:eastAsia="Arial" w:hAnsi="Arial"/>
                <w:sz w:val="20"/>
                <w:szCs w:val="20"/>
                <w:b w:val="1"/>
                <w:bCs w:val="1"/>
                <w:color w:val="0000EE"/>
              </w:rPr>
            </w:pPr>
            <w:hyperlink w:anchor="page78">
              <w:r>
                <w:rPr>
                  <w:rFonts w:ascii="Arial" w:cs="Arial" w:eastAsia="Arial" w:hAnsi="Arial"/>
                  <w:sz w:val="20"/>
                  <w:szCs w:val="20"/>
                  <w:b w:val="1"/>
                  <w:bCs w:val="1"/>
                  <w:color w:val="0000EE"/>
                </w:rPr>
                <w:t>for 2019</w:t>
              </w:r>
            </w:hyperlink>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3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Audit Committee Report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3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Fees Paid to Independent Registered Public Accounting</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Firm</w:t>
              </w:r>
            </w:hyperlink>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00" w:type="dxa"/>
            <w:vAlign w:val="bottom"/>
            <w:gridSpan w:val="8"/>
          </w:tcPr>
          <w:p>
            <w:pPr>
              <w:spacing w:after="0"/>
              <w:rPr>
                <w:rFonts w:ascii="Arial" w:cs="Arial" w:eastAsia="Arial" w:hAnsi="Arial"/>
                <w:sz w:val="20"/>
                <w:szCs w:val="20"/>
                <w:b w:val="1"/>
                <w:bCs w:val="1"/>
                <w:color w:val="0000EE"/>
              </w:rPr>
            </w:pPr>
            <w:hyperlink w:anchor="page81">
              <w:r>
                <w:rPr>
                  <w:rFonts w:ascii="Arial" w:cs="Arial" w:eastAsia="Arial" w:hAnsi="Arial"/>
                  <w:sz w:val="20"/>
                  <w:szCs w:val="20"/>
                  <w:b w:val="1"/>
                  <w:bCs w:val="1"/>
                  <w:color w:val="0000EE"/>
                </w:rPr>
                <w:t>ITEM NO. 4 –</w:t>
              </w:r>
            </w:hyperlink>
          </w:p>
        </w:tc>
        <w:tc>
          <w:tcPr>
            <w:tcW w:w="3440" w:type="dxa"/>
            <w:vAlign w:val="bottom"/>
            <w:gridSpan w:val="29"/>
          </w:tcPr>
          <w:p>
            <w:pPr>
              <w:spacing w:after="0"/>
              <w:rPr>
                <w:rFonts w:ascii="Arial" w:cs="Arial" w:eastAsia="Arial" w:hAnsi="Arial"/>
                <w:sz w:val="20"/>
                <w:szCs w:val="20"/>
                <w:b w:val="1"/>
                <w:bCs w:val="1"/>
                <w:color w:val="0000EE"/>
              </w:rPr>
            </w:pPr>
            <w:hyperlink w:anchor="page81">
              <w:r>
                <w:rPr>
                  <w:rFonts w:ascii="Arial" w:cs="Arial" w:eastAsia="Arial" w:hAnsi="Arial"/>
                  <w:sz w:val="20"/>
                  <w:szCs w:val="20"/>
                  <w:b w:val="1"/>
                  <w:bCs w:val="1"/>
                  <w:color w:val="0000EE"/>
                </w:rPr>
                <w:t>Shareholder Proposal Regarding</w:t>
              </w:r>
            </w:hyperlink>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73</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20"/>
                <w:szCs w:val="20"/>
                <w:b w:val="1"/>
                <w:bCs w:val="1"/>
                <w:color w:val="0000EE"/>
              </w:rPr>
            </w:pPr>
            <w:hyperlink w:anchor="page81">
              <w:r>
                <w:rPr>
                  <w:rFonts w:ascii="Arial" w:cs="Arial" w:eastAsia="Arial" w:hAnsi="Arial"/>
                  <w:sz w:val="20"/>
                  <w:szCs w:val="20"/>
                  <w:b w:val="1"/>
                  <w:bCs w:val="1"/>
                  <w:color w:val="0000EE"/>
                </w:rPr>
                <w:t>Independent Board Chairman</w:t>
              </w:r>
            </w:hyperlink>
          </w:p>
        </w:tc>
        <w:tc>
          <w:tcPr>
            <w:tcW w:w="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gridSpan w:val="8"/>
          </w:tcPr>
          <w:p>
            <w:pPr>
              <w:spacing w:after="0"/>
              <w:rPr>
                <w:rFonts w:ascii="Arial" w:cs="Arial" w:eastAsia="Arial" w:hAnsi="Arial"/>
                <w:sz w:val="20"/>
                <w:szCs w:val="20"/>
                <w:b w:val="1"/>
                <w:bCs w:val="1"/>
                <w:color w:val="0000EE"/>
              </w:rPr>
            </w:pPr>
            <w:hyperlink w:anchor="page84">
              <w:r>
                <w:rPr>
                  <w:rFonts w:ascii="Arial" w:cs="Arial" w:eastAsia="Arial" w:hAnsi="Arial"/>
                  <w:sz w:val="20"/>
                  <w:szCs w:val="20"/>
                  <w:b w:val="1"/>
                  <w:bCs w:val="1"/>
                  <w:color w:val="0000EE"/>
                </w:rPr>
                <w:t>ITEM NO. 5 –</w:t>
              </w:r>
            </w:hyperlink>
          </w:p>
        </w:tc>
        <w:tc>
          <w:tcPr>
            <w:tcW w:w="3440" w:type="dxa"/>
            <w:vAlign w:val="bottom"/>
            <w:gridSpan w:val="29"/>
          </w:tcPr>
          <w:p>
            <w:pPr>
              <w:spacing w:after="0"/>
              <w:rPr>
                <w:rFonts w:ascii="Arial" w:cs="Arial" w:eastAsia="Arial" w:hAnsi="Arial"/>
                <w:sz w:val="20"/>
                <w:szCs w:val="20"/>
                <w:b w:val="1"/>
                <w:bCs w:val="1"/>
                <w:color w:val="0000EE"/>
              </w:rPr>
            </w:pPr>
            <w:hyperlink w:anchor="page84">
              <w:r>
                <w:rPr>
                  <w:rFonts w:ascii="Arial" w:cs="Arial" w:eastAsia="Arial" w:hAnsi="Arial"/>
                  <w:sz w:val="20"/>
                  <w:szCs w:val="20"/>
                  <w:b w:val="1"/>
                  <w:bCs w:val="1"/>
                  <w:color w:val="0000EE"/>
                </w:rPr>
                <w:t>Shareholder Proposal Regarding</w:t>
              </w:r>
            </w:hyperlink>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1"/>
          </w:tcPr>
          <w:p>
            <w:pPr>
              <w:spacing w:after="0" w:line="196" w:lineRule="exact"/>
              <w:rPr>
                <w:rFonts w:ascii="Arial" w:cs="Arial" w:eastAsia="Arial" w:hAnsi="Arial"/>
                <w:sz w:val="20"/>
                <w:szCs w:val="20"/>
                <w:b w:val="1"/>
                <w:bCs w:val="1"/>
                <w:color w:val="0000EE"/>
                <w:w w:val="97"/>
              </w:rPr>
            </w:pPr>
            <w:hyperlink w:anchor="page84">
              <w:r>
                <w:rPr>
                  <w:rFonts w:ascii="Arial" w:cs="Arial" w:eastAsia="Arial" w:hAnsi="Arial"/>
                  <w:sz w:val="20"/>
                  <w:szCs w:val="20"/>
                  <w:b w:val="1"/>
                  <w:bCs w:val="1"/>
                  <w:color w:val="0000EE"/>
                  <w:w w:val="97"/>
                </w:rPr>
                <w:t>Report on Lobbying</w:t>
              </w:r>
            </w:hyperlink>
          </w:p>
        </w:tc>
        <w:tc>
          <w:tcPr>
            <w:tcW w:w="1200" w:type="dxa"/>
            <w:vAlign w:val="bottom"/>
            <w:tcBorders>
              <w:top w:val="single" w:sz="8" w:color="0000EE"/>
            </w:tcBorders>
            <w:gridSpan w:val="12"/>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9"/>
          </w:tcPr>
          <w:p>
            <w:pPr>
              <w:spacing w:after="0" w:line="196" w:lineRule="exact"/>
              <w:rPr>
                <w:rFonts w:ascii="Arial" w:cs="Arial" w:eastAsia="Arial" w:hAnsi="Arial"/>
                <w:sz w:val="20"/>
                <w:szCs w:val="20"/>
                <w:b w:val="1"/>
                <w:bCs w:val="1"/>
                <w:color w:val="0000EE"/>
              </w:rPr>
            </w:pPr>
            <w:hyperlink w:anchor="page84">
              <w:r>
                <w:rPr>
                  <w:rFonts w:ascii="Arial" w:cs="Arial" w:eastAsia="Arial" w:hAnsi="Arial"/>
                  <w:sz w:val="20"/>
                  <w:szCs w:val="20"/>
                  <w:b w:val="1"/>
                  <w:bCs w:val="1"/>
                  <w:color w:val="0000EE"/>
                </w:rPr>
                <w:t>Communications and Activities</w:t>
              </w:r>
            </w:hyperlink>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40" w:type="dxa"/>
            <w:vAlign w:val="bottom"/>
            <w:gridSpan w:val="37"/>
          </w:tcPr>
          <w:p>
            <w:pPr>
              <w:spacing w:after="0"/>
              <w:rPr>
                <w:rFonts w:ascii="Arial" w:cs="Arial" w:eastAsia="Arial" w:hAnsi="Arial"/>
                <w:sz w:val="20"/>
                <w:szCs w:val="20"/>
                <w:b w:val="1"/>
                <w:bCs w:val="1"/>
                <w:color w:val="0000EE"/>
              </w:rPr>
            </w:pPr>
            <w:hyperlink w:anchor="page86">
              <w:r>
                <w:rPr>
                  <w:rFonts w:ascii="Arial" w:cs="Arial" w:eastAsia="Arial" w:hAnsi="Arial"/>
                  <w:sz w:val="20"/>
                  <w:szCs w:val="20"/>
                  <w:b w:val="1"/>
                  <w:bCs w:val="1"/>
                  <w:color w:val="0000EE"/>
                </w:rPr>
                <w:t>GENERAL INFORMATION ABOUT</w:t>
              </w:r>
            </w:hyperlink>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78</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tcBorders>
            <w:gridSpan w:val="18"/>
          </w:tcPr>
          <w:p>
            <w:pPr>
              <w:spacing w:after="0" w:line="183" w:lineRule="exact"/>
              <w:rPr>
                <w:rFonts w:ascii="Arial" w:cs="Arial" w:eastAsia="Arial" w:hAnsi="Arial"/>
                <w:sz w:val="20"/>
                <w:szCs w:val="20"/>
                <w:b w:val="1"/>
                <w:bCs w:val="1"/>
                <w:color w:val="0000EE"/>
              </w:rPr>
            </w:pPr>
            <w:hyperlink w:anchor="page86">
              <w:r>
                <w:rPr>
                  <w:rFonts w:ascii="Arial" w:cs="Arial" w:eastAsia="Arial" w:hAnsi="Arial"/>
                  <w:sz w:val="20"/>
                  <w:szCs w:val="20"/>
                  <w:b w:val="1"/>
                  <w:bCs w:val="1"/>
                  <w:color w:val="0000EE"/>
                </w:rPr>
                <w:t>THE ANNUAL MEETING</w:t>
              </w:r>
            </w:hyperlink>
          </w:p>
        </w:tc>
        <w:tc>
          <w:tcPr>
            <w:tcW w:w="660" w:type="dxa"/>
            <w:vAlign w:val="bottom"/>
            <w:gridSpan w:val="3"/>
          </w:tcPr>
          <w:p>
            <w:pPr>
              <w:spacing w:after="0"/>
              <w:rPr>
                <w:sz w:val="17"/>
                <w:szCs w:val="17"/>
                <w:color w:val="auto"/>
              </w:rPr>
            </w:pPr>
          </w:p>
        </w:tc>
        <w:tc>
          <w:tcPr>
            <w:tcW w:w="580" w:type="dxa"/>
            <w:vAlign w:val="bottom"/>
            <w:gridSpan w:val="6"/>
          </w:tcPr>
          <w:p>
            <w:pPr>
              <w:spacing w:after="0"/>
              <w:rPr>
                <w:sz w:val="17"/>
                <w:szCs w:val="17"/>
                <w:color w:val="auto"/>
              </w:rPr>
            </w:pPr>
          </w:p>
        </w:tc>
        <w:tc>
          <w:tcPr>
            <w:tcW w:w="240" w:type="dxa"/>
            <w:vAlign w:val="bottom"/>
            <w:gridSpan w:val="5"/>
          </w:tcPr>
          <w:p>
            <w:pPr>
              <w:spacing w:after="0"/>
              <w:rPr>
                <w:sz w:val="17"/>
                <w:szCs w:val="17"/>
                <w:color w:val="auto"/>
              </w:rPr>
            </w:pPr>
          </w:p>
        </w:tc>
        <w:tc>
          <w:tcPr>
            <w:tcW w:w="120" w:type="dxa"/>
            <w:vAlign w:val="bottom"/>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500" w:type="dxa"/>
            <w:vAlign w:val="bottom"/>
            <w:gridSpan w:val="8"/>
          </w:tcPr>
          <w:p>
            <w:pPr>
              <w:spacing w:after="0"/>
              <w:rPr>
                <w:rFonts w:ascii="Arial" w:cs="Arial" w:eastAsia="Arial" w:hAnsi="Arial"/>
                <w:sz w:val="20"/>
                <w:szCs w:val="20"/>
                <w:b w:val="1"/>
                <w:bCs w:val="1"/>
                <w:color w:val="0000EE"/>
              </w:rPr>
            </w:pPr>
            <w:hyperlink w:anchor="page90">
              <w:r>
                <w:rPr>
                  <w:rFonts w:ascii="Arial" w:cs="Arial" w:eastAsia="Arial" w:hAnsi="Arial"/>
                  <w:sz w:val="20"/>
                  <w:szCs w:val="20"/>
                  <w:b w:val="1"/>
                  <w:bCs w:val="1"/>
                  <w:color w:val="0000EE"/>
                </w:rPr>
                <w:t>APPENDIX A –</w:t>
              </w:r>
            </w:hyperlink>
          </w:p>
        </w:tc>
        <w:tc>
          <w:tcPr>
            <w:tcW w:w="3440" w:type="dxa"/>
            <w:vAlign w:val="bottom"/>
            <w:gridSpan w:val="29"/>
          </w:tcPr>
          <w:p>
            <w:pPr>
              <w:spacing w:after="0"/>
              <w:rPr>
                <w:rFonts w:ascii="Arial" w:cs="Arial" w:eastAsia="Arial" w:hAnsi="Arial"/>
                <w:sz w:val="20"/>
                <w:szCs w:val="20"/>
                <w:b w:val="1"/>
                <w:bCs w:val="1"/>
                <w:color w:val="0000EE"/>
              </w:rPr>
            </w:pPr>
            <w:hyperlink w:anchor="page90">
              <w:r>
                <w:rPr>
                  <w:rFonts w:ascii="Arial" w:cs="Arial" w:eastAsia="Arial" w:hAnsi="Arial"/>
                  <w:sz w:val="20"/>
                  <w:szCs w:val="20"/>
                  <w:b w:val="1"/>
                  <w:bCs w:val="1"/>
                  <w:color w:val="0000EE"/>
                </w:rPr>
                <w:t>Non-GAAP Financial Measures</w:t>
              </w:r>
            </w:hyperlink>
          </w:p>
        </w:tc>
        <w:tc>
          <w:tcPr>
            <w:tcW w:w="460" w:type="dxa"/>
            <w:vAlign w:val="bottom"/>
          </w:tcPr>
          <w:p>
            <w:pPr>
              <w:jc w:val="right"/>
              <w:spacing w:after="0"/>
              <w:rPr>
                <w:sz w:val="20"/>
                <w:szCs w:val="20"/>
                <w:color w:val="auto"/>
              </w:rPr>
            </w:pPr>
            <w:r>
              <w:rPr>
                <w:rFonts w:ascii="Arial" w:cs="Arial" w:eastAsia="Arial" w:hAnsi="Arial"/>
                <w:sz w:val="20"/>
                <w:szCs w:val="20"/>
                <w:b w:val="1"/>
                <w:bCs w:val="1"/>
                <w:color w:val="00A1DF"/>
              </w:rPr>
              <w:t>A-</w:t>
            </w:r>
          </w:p>
        </w:tc>
        <w:tc>
          <w:tcPr>
            <w:tcW w:w="0" w:type="dxa"/>
            <w:vAlign w:val="bottom"/>
          </w:tcPr>
          <w:p>
            <w:pPr>
              <w:spacing w:after="0"/>
              <w:rPr>
                <w:sz w:val="1"/>
                <w:szCs w:val="1"/>
                <w:color w:val="auto"/>
              </w:rPr>
            </w:pPr>
          </w:p>
        </w:tc>
      </w:tr>
      <w:tr>
        <w:trPr>
          <w:trHeight w:val="223"/>
        </w:trPr>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bottom w:val="single" w:sz="8" w:color="auto"/>
            </w:tcBorders>
          </w:tcPr>
          <w:p>
            <w:pPr>
              <w:spacing w:after="0"/>
              <w:rPr>
                <w:sz w:val="19"/>
                <w:szCs w:val="19"/>
                <w:color w:val="auto"/>
              </w:rPr>
            </w:pPr>
          </w:p>
        </w:tc>
        <w:tc>
          <w:tcPr>
            <w:tcW w:w="360" w:type="dxa"/>
            <w:vAlign w:val="bottom"/>
            <w:tcBorders>
              <w:top w:val="single" w:sz="8" w:color="0000EE"/>
              <w:bottom w:val="single" w:sz="8" w:color="auto"/>
            </w:tcBorders>
          </w:tcPr>
          <w:p>
            <w:pPr>
              <w:spacing w:after="0"/>
              <w:rPr>
                <w:sz w:val="19"/>
                <w:szCs w:val="19"/>
                <w:color w:val="auto"/>
              </w:rPr>
            </w:pPr>
          </w:p>
        </w:tc>
        <w:tc>
          <w:tcPr>
            <w:tcW w:w="680" w:type="dxa"/>
            <w:vAlign w:val="bottom"/>
            <w:tcBorders>
              <w:top w:val="single" w:sz="8" w:color="0000EE"/>
              <w:bottom w:val="single" w:sz="8" w:color="auto"/>
            </w:tcBorders>
          </w:tcPr>
          <w:p>
            <w:pPr>
              <w:spacing w:after="0"/>
              <w:rPr>
                <w:sz w:val="19"/>
                <w:szCs w:val="19"/>
                <w:color w:val="auto"/>
              </w:rPr>
            </w:pPr>
          </w:p>
        </w:tc>
        <w:tc>
          <w:tcPr>
            <w:tcW w:w="6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24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300" w:type="dxa"/>
            <w:vAlign w:val="bottom"/>
            <w:tcBorders>
              <w:top w:val="single" w:sz="8" w:color="0000EE"/>
              <w:bottom w:val="single" w:sz="8" w:color="auto"/>
            </w:tcBorders>
          </w:tcPr>
          <w:p>
            <w:pPr>
              <w:spacing w:after="0"/>
              <w:rPr>
                <w:sz w:val="19"/>
                <w:szCs w:val="19"/>
                <w:color w:val="auto"/>
              </w:rPr>
            </w:pPr>
          </w:p>
        </w:tc>
        <w:tc>
          <w:tcPr>
            <w:tcW w:w="120" w:type="dxa"/>
            <w:vAlign w:val="bottom"/>
            <w:tcBorders>
              <w:top w:val="single" w:sz="8" w:color="0000EE"/>
              <w:bottom w:val="single" w:sz="8" w:color="auto"/>
            </w:tcBorders>
          </w:tcPr>
          <w:p>
            <w:pPr>
              <w:spacing w:after="0"/>
              <w:rPr>
                <w:sz w:val="19"/>
                <w:szCs w:val="19"/>
                <w:color w:val="auto"/>
              </w:rPr>
            </w:pPr>
          </w:p>
        </w:tc>
        <w:tc>
          <w:tcPr>
            <w:tcW w:w="100" w:type="dxa"/>
            <w:vAlign w:val="bottom"/>
            <w:tcBorders>
              <w:top w:val="single" w:sz="8" w:color="0000EE"/>
              <w:bottom w:val="single" w:sz="8" w:color="auto"/>
            </w:tcBorders>
          </w:tcPr>
          <w:p>
            <w:pPr>
              <w:spacing w:after="0"/>
              <w:rPr>
                <w:sz w:val="19"/>
                <w:szCs w:val="19"/>
                <w:color w:val="auto"/>
              </w:rPr>
            </w:pPr>
          </w:p>
        </w:tc>
        <w:tc>
          <w:tcPr>
            <w:tcW w:w="30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220" w:type="dxa"/>
            <w:vAlign w:val="bottom"/>
            <w:tcBorders>
              <w:top w:val="single" w:sz="8" w:color="0000EE"/>
              <w:bottom w:val="single" w:sz="8" w:color="auto"/>
            </w:tcBorders>
          </w:tcPr>
          <w:p>
            <w:pPr>
              <w:spacing w:after="0"/>
              <w:rPr>
                <w:sz w:val="19"/>
                <w:szCs w:val="19"/>
                <w:color w:val="auto"/>
              </w:rPr>
            </w:pPr>
          </w:p>
        </w:tc>
        <w:tc>
          <w:tcPr>
            <w:tcW w:w="320" w:type="dxa"/>
            <w:vAlign w:val="bottom"/>
            <w:tcBorders>
              <w:top w:val="single" w:sz="8" w:color="0000EE"/>
              <w:bottom w:val="single" w:sz="8" w:color="auto"/>
            </w:tcBorders>
          </w:tcPr>
          <w:p>
            <w:pPr>
              <w:spacing w:after="0"/>
              <w:rPr>
                <w:sz w:val="19"/>
                <w:szCs w:val="19"/>
                <w:color w:val="auto"/>
              </w:rPr>
            </w:pPr>
          </w:p>
        </w:tc>
        <w:tc>
          <w:tcPr>
            <w:tcW w:w="120" w:type="dxa"/>
            <w:vAlign w:val="bottom"/>
            <w:tcBorders>
              <w:top w:val="single" w:sz="8" w:color="0000EE"/>
              <w:bottom w:val="single" w:sz="8" w:color="auto"/>
            </w:tcBorders>
          </w:tcPr>
          <w:p>
            <w:pPr>
              <w:spacing w:after="0"/>
              <w:rPr>
                <w:sz w:val="19"/>
                <w:szCs w:val="19"/>
                <w:color w:val="auto"/>
              </w:rPr>
            </w:pPr>
          </w:p>
        </w:tc>
        <w:tc>
          <w:tcPr>
            <w:tcW w:w="18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100" w:type="dxa"/>
            <w:vAlign w:val="bottom"/>
            <w:tcBorders>
              <w:top w:val="single" w:sz="8" w:color="0000EE"/>
              <w:bottom w:val="single" w:sz="8" w:color="auto"/>
            </w:tcBorders>
          </w:tcPr>
          <w:p>
            <w:pPr>
              <w:spacing w:after="0"/>
              <w:rPr>
                <w:sz w:val="19"/>
                <w:szCs w:val="19"/>
                <w:color w:val="auto"/>
              </w:rPr>
            </w:pPr>
          </w:p>
        </w:tc>
        <w:tc>
          <w:tcPr>
            <w:tcW w:w="140" w:type="dxa"/>
            <w:vAlign w:val="bottom"/>
            <w:tcBorders>
              <w:top w:val="single" w:sz="8" w:color="0000EE"/>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00A1DF"/>
              </w:rPr>
              <w:t>1</w:t>
            </w:r>
          </w:p>
        </w:tc>
        <w:tc>
          <w:tcPr>
            <w:tcW w:w="0" w:type="dxa"/>
            <w:vAlign w:val="bottom"/>
          </w:tcPr>
          <w:p>
            <w:pPr>
              <w:spacing w:after="0"/>
              <w:rPr>
                <w:sz w:val="1"/>
                <w:szCs w:val="1"/>
                <w:color w:val="auto"/>
              </w:rPr>
            </w:pPr>
          </w:p>
        </w:tc>
      </w:tr>
      <w:tr>
        <w:trPr>
          <w:trHeight w:val="250"/>
        </w:trPr>
        <w:tc>
          <w:tcPr>
            <w:tcW w:w="1500" w:type="dxa"/>
            <w:vAlign w:val="bottom"/>
            <w:gridSpan w:val="8"/>
          </w:tcPr>
          <w:p>
            <w:pPr>
              <w:spacing w:after="0"/>
              <w:rPr>
                <w:rFonts w:ascii="Arial" w:cs="Arial" w:eastAsia="Arial" w:hAnsi="Arial"/>
                <w:sz w:val="20"/>
                <w:szCs w:val="20"/>
                <w:b w:val="1"/>
                <w:bCs w:val="1"/>
                <w:color w:val="0000EE"/>
              </w:rPr>
            </w:pPr>
            <w:hyperlink w:anchor="page92">
              <w:r>
                <w:rPr>
                  <w:rFonts w:ascii="Arial" w:cs="Arial" w:eastAsia="Arial" w:hAnsi="Arial"/>
                  <w:sz w:val="20"/>
                  <w:szCs w:val="20"/>
                  <w:b w:val="1"/>
                  <w:bCs w:val="1"/>
                  <w:color w:val="0000EE"/>
                </w:rPr>
                <w:t>APPENDIX B –</w:t>
              </w:r>
            </w:hyperlink>
          </w:p>
        </w:tc>
        <w:tc>
          <w:tcPr>
            <w:tcW w:w="3440" w:type="dxa"/>
            <w:vAlign w:val="bottom"/>
            <w:gridSpan w:val="29"/>
          </w:tcPr>
          <w:p>
            <w:pPr>
              <w:spacing w:after="0"/>
              <w:rPr>
                <w:rFonts w:ascii="Arial" w:cs="Arial" w:eastAsia="Arial" w:hAnsi="Arial"/>
                <w:sz w:val="20"/>
                <w:szCs w:val="20"/>
                <w:b w:val="1"/>
                <w:bCs w:val="1"/>
                <w:color w:val="0000EE"/>
              </w:rPr>
            </w:pPr>
            <w:hyperlink w:anchor="page92">
              <w:r>
                <w:rPr>
                  <w:rFonts w:ascii="Arial" w:cs="Arial" w:eastAsia="Arial" w:hAnsi="Arial"/>
                  <w:sz w:val="20"/>
                  <w:szCs w:val="20"/>
                  <w:b w:val="1"/>
                  <w:bCs w:val="1"/>
                  <w:color w:val="0000EE"/>
                </w:rPr>
                <w:t>Additional Information Regarding</w:t>
              </w:r>
            </w:hyperlink>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B-</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24"/>
          </w:tcPr>
          <w:p>
            <w:pPr>
              <w:spacing w:after="0" w:line="196" w:lineRule="exact"/>
              <w:rPr>
                <w:rFonts w:ascii="Arial" w:cs="Arial" w:eastAsia="Arial" w:hAnsi="Arial"/>
                <w:sz w:val="20"/>
                <w:szCs w:val="20"/>
                <w:b w:val="1"/>
                <w:bCs w:val="1"/>
                <w:color w:val="0000EE"/>
                <w:w w:val="94"/>
              </w:rPr>
            </w:pPr>
            <w:hyperlink w:anchor="page92">
              <w:r>
                <w:rPr>
                  <w:rFonts w:ascii="Arial" w:cs="Arial" w:eastAsia="Arial" w:hAnsi="Arial"/>
                  <w:sz w:val="20"/>
                  <w:szCs w:val="20"/>
                  <w:b w:val="1"/>
                  <w:bCs w:val="1"/>
                  <w:color w:val="0000EE"/>
                  <w:w w:val="94"/>
                </w:rPr>
                <w:t>Change of Independent Registered</w:t>
              </w:r>
            </w:hyperlink>
          </w:p>
        </w:tc>
        <w:tc>
          <w:tcPr>
            <w:tcW w:w="120" w:type="dxa"/>
            <w:vAlign w:val="bottom"/>
            <w:tcBorders>
              <w:bottom w:val="single" w:sz="8" w:color="0000EE"/>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26"/>
          </w:tcPr>
          <w:p>
            <w:pPr>
              <w:spacing w:after="0" w:line="196" w:lineRule="exact"/>
              <w:rPr>
                <w:rFonts w:ascii="Arial" w:cs="Arial" w:eastAsia="Arial" w:hAnsi="Arial"/>
                <w:sz w:val="20"/>
                <w:szCs w:val="20"/>
                <w:b w:val="1"/>
                <w:bCs w:val="1"/>
                <w:color w:val="0000EE"/>
              </w:rPr>
            </w:pPr>
            <w:hyperlink w:anchor="page92">
              <w:r>
                <w:rPr>
                  <w:rFonts w:ascii="Arial" w:cs="Arial" w:eastAsia="Arial" w:hAnsi="Arial"/>
                  <w:sz w:val="20"/>
                  <w:szCs w:val="20"/>
                  <w:b w:val="1"/>
                  <w:bCs w:val="1"/>
                  <w:color w:val="0000EE"/>
                </w:rPr>
                <w:t>Public Accounting Firms</w:t>
              </w:r>
            </w:hyperlink>
          </w:p>
        </w:tc>
        <w:tc>
          <w:tcPr>
            <w:tcW w:w="18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20"/>
                <w:szCs w:val="20"/>
                <w:b w:val="1"/>
                <w:bCs w:val="1"/>
                <w:color w:val="00A1D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-6081395</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tbl>
      <w:tblPr>
        <w:tblLayout w:type="fixed"/>
        <w:tblInd w:w="220" w:type="dxa"/>
        <w:tblCellMar>
          <w:top w:w="0" w:type="dxa"/>
          <w:left w:w="0" w:type="dxa"/>
          <w:bottom w:w="0" w:type="dxa"/>
          <w:right w:w="0" w:type="dxa"/>
        </w:tblCellMar>
      </w:tblPr>
      <w:tr>
        <w:trPr>
          <w:trHeight w:val="230"/>
        </w:trPr>
        <w:tc>
          <w:tcPr>
            <w:tcW w:w="4860" w:type="dxa"/>
            <w:vAlign w:val="bottom"/>
            <w:gridSpan w:val="6"/>
          </w:tcPr>
          <w:p>
            <w:pPr>
              <w:spacing w:after="0"/>
              <w:rPr>
                <w:rFonts w:ascii="Arial" w:cs="Arial" w:eastAsia="Arial" w:hAnsi="Arial"/>
                <w:sz w:val="20"/>
                <w:szCs w:val="20"/>
                <w:b w:val="1"/>
                <w:bCs w:val="1"/>
                <w:color w:val="0000EE"/>
              </w:rPr>
            </w:pPr>
            <w:hyperlink w:anchor="page43">
              <w:r>
                <w:rPr>
                  <w:rFonts w:ascii="Arial" w:cs="Arial" w:eastAsia="Arial" w:hAnsi="Arial"/>
                  <w:sz w:val="20"/>
                  <w:szCs w:val="20"/>
                  <w:b w:val="1"/>
                  <w:bCs w:val="1"/>
                  <w:color w:val="0000EE"/>
                </w:rPr>
                <w:t>SECURITY OWNERSHIP INFORMATION</w:t>
              </w:r>
            </w:hyperlink>
          </w:p>
        </w:tc>
        <w:tc>
          <w:tcPr>
            <w:tcW w:w="400" w:type="dxa"/>
            <w:vAlign w:val="bottom"/>
          </w:tcPr>
          <w:p>
            <w:pPr>
              <w:jc w:val="right"/>
              <w:spacing w:after="0"/>
              <w:rPr>
                <w:sz w:val="20"/>
                <w:szCs w:val="20"/>
                <w:color w:val="auto"/>
              </w:rPr>
            </w:pPr>
            <w:r>
              <w:rPr>
                <w:rFonts w:ascii="Arial" w:cs="Arial" w:eastAsia="Arial" w:hAnsi="Arial"/>
                <w:sz w:val="20"/>
                <w:szCs w:val="20"/>
                <w:b w:val="1"/>
                <w:bCs w:val="1"/>
                <w:color w:val="00A1DF"/>
              </w:rPr>
              <w:t>35</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292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10"/>
        </w:trPr>
        <w:tc>
          <w:tcPr>
            <w:tcW w:w="4860" w:type="dxa"/>
            <w:vAlign w:val="bottom"/>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Security Ownership of Directors, Named Executive Officers,</w:t>
              </w:r>
            </w:hyperlink>
          </w:p>
        </w:tc>
        <w:tc>
          <w:tcPr>
            <w:tcW w:w="400" w:type="dxa"/>
            <w:vAlign w:val="bottom"/>
          </w:tcPr>
          <w:p>
            <w:pPr>
              <w:spacing w:after="0"/>
              <w:rPr>
                <w:sz w:val="18"/>
                <w:szCs w:val="18"/>
                <w:color w:val="auto"/>
              </w:rPr>
            </w:pPr>
          </w:p>
        </w:tc>
      </w:tr>
      <w:tr>
        <w:trPr>
          <w:trHeight w:val="182"/>
        </w:trPr>
        <w:tc>
          <w:tcPr>
            <w:tcW w:w="180" w:type="dxa"/>
            <w:vAlign w:val="bottom"/>
            <w:tcBorders>
              <w:top w:val="single" w:sz="8" w:color="0000EE"/>
            </w:tcBorders>
          </w:tcPr>
          <w:p>
            <w:pPr>
              <w:spacing w:after="0"/>
              <w:rPr>
                <w:sz w:val="15"/>
                <w:szCs w:val="15"/>
                <w:color w:val="auto"/>
              </w:rPr>
            </w:pPr>
          </w:p>
        </w:tc>
        <w:tc>
          <w:tcPr>
            <w:tcW w:w="456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and Certain Other Beneficial Owners</w:t>
              </w:r>
            </w:hyperlink>
          </w:p>
        </w:tc>
        <w:tc>
          <w:tcPr>
            <w:tcW w:w="12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18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4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Section 16(a) Beneficial Ownership Reporting Compliance</w:t>
              </w:r>
            </w:hyperlink>
          </w:p>
        </w:tc>
        <w:tc>
          <w:tcPr>
            <w:tcW w:w="22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240030</wp:posOffset>
            </wp:positionV>
            <wp:extent cx="6989445" cy="702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9445" cy="7023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300" w:right="160"/>
        <w:spacing w:after="0" w:line="256" w:lineRule="auto"/>
        <w:rPr>
          <w:sz w:val="20"/>
          <w:szCs w:val="20"/>
          <w:color w:val="auto"/>
        </w:rPr>
      </w:pPr>
      <w:r>
        <w:rPr>
          <w:rFonts w:ascii="Arial" w:cs="Arial" w:eastAsia="Arial" w:hAnsi="Arial"/>
          <w:sz w:val="16"/>
          <w:szCs w:val="16"/>
          <w:b w:val="1"/>
          <w:bCs w:val="1"/>
          <w:i w:val="1"/>
          <w:iCs w:val="1"/>
          <w:color w:val="0033A0"/>
        </w:rPr>
        <w:t xml:space="preserve">Cautionary Note on Forward-Looking Statements: </w:t>
      </w:r>
      <w:r>
        <w:rPr>
          <w:rFonts w:ascii="Arial" w:cs="Arial" w:eastAsia="Arial" w:hAnsi="Arial"/>
          <w:sz w:val="16"/>
          <w:szCs w:val="16"/>
          <w:color w:val="0033A0"/>
        </w:rPr>
        <w:t>This Proxy Statement contains “forward-looking” statements regarding GM’s current</w:t>
      </w:r>
      <w:r>
        <w:rPr>
          <w:rFonts w:ascii="Arial" w:cs="Arial" w:eastAsia="Arial" w:hAnsi="Arial"/>
          <w:sz w:val="16"/>
          <w:szCs w:val="16"/>
          <w:b w:val="1"/>
          <w:bCs w:val="1"/>
          <w:i w:val="1"/>
          <w:iCs w:val="1"/>
          <w:color w:val="0033A0"/>
        </w:rPr>
        <w:t xml:space="preserve"> </w:t>
      </w:r>
      <w:r>
        <w:rPr>
          <w:rFonts w:ascii="Arial" w:cs="Arial" w:eastAsia="Arial" w:hAnsi="Arial"/>
          <w:sz w:val="16"/>
          <w:szCs w:val="16"/>
          <w:color w:val="0033A0"/>
        </w:rPr>
        <w:t>expectations within the meaning of the applicable securities laws and regulations. These statements are subject to a variety of risks and uncertainties that could cause actual results to differ materially from expectations. These risks and uncertainties include, but are not limited to, the risks detailed in GM’s filings with the Securities and Exchange Commission, including the “Risk Factors” section of GM’s Annual Report on Form 10-K for the fiscal year ended December 31, 2018. We assume no obligation to update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39370</wp:posOffset>
            </wp:positionV>
            <wp:extent cx="6989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142240</wp:posOffset>
            </wp:positionV>
            <wp:extent cx="67583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0033A0"/>
        </w:rPr>
        <w:t>iv</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38"/>
          <w:szCs w:val="38"/>
          <w:color w:val="0033A0"/>
        </w:rPr>
        <w:t>PROXY STATEMENT SUMMARY</w:t>
      </w:r>
    </w:p>
    <w:p>
      <w:pPr>
        <w:spacing w:after="0" w:line="217"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the information that you should consider. Please read the entire Proxy Statement carefully before voting.</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Agenda and Voting Recommendations</w:t>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780" w:type="dxa"/>
            <w:vAlign w:val="bottom"/>
            <w:tcBorders>
              <w:top w:val="single" w:sz="8" w:color="00A1DF"/>
              <w:bottom w:val="single" w:sz="8" w:color="00A1DF"/>
            </w:tcBorders>
            <w:gridSpan w:val="9"/>
          </w:tcPr>
          <w:p>
            <w:pPr>
              <w:ind w:left="80"/>
              <w:spacing w:after="0"/>
              <w:rPr>
                <w:sz w:val="20"/>
                <w:szCs w:val="20"/>
                <w:color w:val="auto"/>
              </w:rPr>
            </w:pPr>
            <w:r>
              <w:rPr>
                <w:rFonts w:ascii="Arial" w:cs="Arial" w:eastAsia="Arial" w:hAnsi="Arial"/>
                <w:sz w:val="16"/>
                <w:szCs w:val="16"/>
                <w:b w:val="1"/>
                <w:bCs w:val="1"/>
                <w:color w:val="00A1DF"/>
              </w:rPr>
              <w:t>Proposal</w:t>
            </w:r>
          </w:p>
        </w:tc>
        <w:tc>
          <w:tcPr>
            <w:tcW w:w="3920" w:type="dxa"/>
            <w:vAlign w:val="bottom"/>
            <w:tcBorders>
              <w:top w:val="single" w:sz="8" w:color="00A1DF"/>
              <w:bottom w:val="single" w:sz="8" w:color="00A1DF"/>
            </w:tcBorders>
          </w:tcPr>
          <w:p>
            <w:pPr>
              <w:jc w:val="center"/>
              <w:ind w:left="839"/>
              <w:spacing w:after="0"/>
              <w:rPr>
                <w:sz w:val="20"/>
                <w:szCs w:val="20"/>
                <w:color w:val="auto"/>
              </w:rPr>
            </w:pPr>
            <w:r>
              <w:rPr>
                <w:rFonts w:ascii="Arial" w:cs="Arial" w:eastAsia="Arial" w:hAnsi="Arial"/>
                <w:sz w:val="16"/>
                <w:szCs w:val="16"/>
                <w:b w:val="1"/>
                <w:bCs w:val="1"/>
                <w:color w:val="00A1DF"/>
                <w:w w:val="99"/>
              </w:rPr>
              <w:t>Board Vote Recommendation</w:t>
            </w:r>
          </w:p>
        </w:tc>
        <w:tc>
          <w:tcPr>
            <w:tcW w:w="230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6"/>
                <w:szCs w:val="16"/>
                <w:b w:val="1"/>
                <w:bCs w:val="1"/>
                <w:color w:val="00A1DF"/>
              </w:rPr>
              <w:t>Page Reference</w:t>
            </w:r>
          </w:p>
        </w:tc>
        <w:tc>
          <w:tcPr>
            <w:tcW w:w="0" w:type="dxa"/>
            <w:vAlign w:val="bottom"/>
          </w:tcPr>
          <w:p>
            <w:pPr>
              <w:spacing w:after="0"/>
              <w:rPr>
                <w:sz w:val="1"/>
                <w:szCs w:val="1"/>
                <w:color w:val="auto"/>
              </w:rPr>
            </w:pPr>
          </w:p>
        </w:tc>
      </w:tr>
      <w:tr>
        <w:trPr>
          <w:trHeight w:val="250"/>
        </w:trPr>
        <w:tc>
          <w:tcPr>
            <w:tcW w:w="4780" w:type="dxa"/>
            <w:vAlign w:val="bottom"/>
            <w:gridSpan w:val="9"/>
            <w:shd w:val="clear" w:color="auto" w:fill="E5F5FB"/>
          </w:tcPr>
          <w:p>
            <w:pPr>
              <w:ind w:left="80"/>
              <w:spacing w:after="0"/>
              <w:rPr>
                <w:sz w:val="20"/>
                <w:szCs w:val="20"/>
                <w:color w:val="auto"/>
              </w:rPr>
            </w:pPr>
            <w:r>
              <w:rPr>
                <w:rFonts w:ascii="Arial" w:cs="Arial" w:eastAsia="Arial" w:hAnsi="Arial"/>
                <w:sz w:val="16"/>
                <w:szCs w:val="16"/>
                <w:b w:val="1"/>
                <w:bCs w:val="1"/>
                <w:color w:val="auto"/>
              </w:rPr>
              <w:t>BOARD PROPOSALS:</w:t>
            </w:r>
          </w:p>
        </w:tc>
        <w:tc>
          <w:tcPr>
            <w:tcW w:w="3920" w:type="dxa"/>
            <w:vAlign w:val="bottom"/>
            <w:shd w:val="clear" w:color="auto" w:fill="E5F5FB"/>
          </w:tcPr>
          <w:p>
            <w:pPr>
              <w:spacing w:after="0"/>
              <w:rPr>
                <w:sz w:val="21"/>
                <w:szCs w:val="21"/>
                <w:color w:val="auto"/>
              </w:rPr>
            </w:pPr>
          </w:p>
        </w:tc>
        <w:tc>
          <w:tcPr>
            <w:tcW w:w="2300" w:type="dxa"/>
            <w:vAlign w:val="bottom"/>
            <w:shd w:val="clear" w:color="auto" w:fill="E5F5F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780" w:type="dxa"/>
            <w:vAlign w:val="bottom"/>
            <w:gridSpan w:val="9"/>
          </w:tcPr>
          <w:p>
            <w:pPr>
              <w:ind w:left="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No. 1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hyperlink w:anchor="page16">
              <w:r>
                <w:rPr>
                  <w:rFonts w:ascii="Arial" w:cs="Arial" w:eastAsia="Arial" w:hAnsi="Arial"/>
                  <w:sz w:val="16"/>
                  <w:szCs w:val="16"/>
                  <w:color w:val="0000EE"/>
                </w:rPr>
                <w:t>Election of Directors</w:t>
              </w:r>
            </w:hyperlink>
          </w:p>
        </w:tc>
        <w:tc>
          <w:tcPr>
            <w:tcW w:w="3920" w:type="dxa"/>
            <w:vAlign w:val="bottom"/>
          </w:tcPr>
          <w:p>
            <w:pPr>
              <w:jc w:val="center"/>
              <w:ind w:left="839"/>
              <w:spacing w:after="0"/>
              <w:rPr>
                <w:sz w:val="20"/>
                <w:szCs w:val="20"/>
                <w:color w:val="auto"/>
              </w:rPr>
            </w:pPr>
            <w:r>
              <w:rPr>
                <w:rFonts w:ascii="Arial" w:cs="Arial" w:eastAsia="Arial" w:hAnsi="Arial"/>
                <w:sz w:val="16"/>
                <w:szCs w:val="16"/>
                <w:b w:val="1"/>
                <w:bCs w:val="1"/>
                <w:color w:val="0033A0"/>
              </w:rPr>
              <w:t>FOR</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0" w:type="dxa"/>
            <w:vAlign w:val="bottom"/>
          </w:tcPr>
          <w:p>
            <w:pPr>
              <w:spacing w:after="0"/>
              <w:rPr>
                <w:sz w:val="1"/>
                <w:szCs w:val="1"/>
                <w:color w:val="auto"/>
              </w:rPr>
            </w:pPr>
          </w:p>
        </w:tc>
      </w:tr>
      <w:tr>
        <w:trPr>
          <w:trHeight w:val="34"/>
        </w:trPr>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top w:val="single" w:sz="8" w:color="0000EE"/>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gridSpan w:val="9"/>
          </w:tcPr>
          <w:p>
            <w:pPr>
              <w:ind w:left="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No. 2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hyperlink w:anchor="page77">
              <w:r>
                <w:rPr>
                  <w:rFonts w:ascii="Arial" w:cs="Arial" w:eastAsia="Arial" w:hAnsi="Arial"/>
                  <w:sz w:val="16"/>
                  <w:szCs w:val="16"/>
                  <w:color w:val="0000EE"/>
                </w:rPr>
                <w:t>Approval of, on an Advisory Basis,</w:t>
              </w:r>
            </w:hyperlink>
          </w:p>
        </w:tc>
        <w:tc>
          <w:tcPr>
            <w:tcW w:w="3920" w:type="dxa"/>
            <w:vAlign w:val="bottom"/>
            <w:vMerge w:val="restart"/>
          </w:tcPr>
          <w:p>
            <w:pPr>
              <w:jc w:val="center"/>
              <w:ind w:left="839"/>
              <w:spacing w:after="0"/>
              <w:rPr>
                <w:sz w:val="20"/>
                <w:szCs w:val="20"/>
                <w:color w:val="auto"/>
              </w:rPr>
            </w:pPr>
            <w:r>
              <w:rPr>
                <w:rFonts w:ascii="Arial" w:cs="Arial" w:eastAsia="Arial" w:hAnsi="Arial"/>
                <w:sz w:val="16"/>
                <w:szCs w:val="16"/>
                <w:b w:val="1"/>
                <w:bCs w:val="1"/>
                <w:color w:val="0033A0"/>
              </w:rPr>
              <w:t>FOR</w:t>
            </w:r>
          </w:p>
        </w:tc>
        <w:tc>
          <w:tcPr>
            <w:tcW w:w="23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vMerge w:val="continue"/>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restart"/>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Named Executive Officer Compensation</w:t>
              </w:r>
            </w:hyperlink>
          </w:p>
        </w:tc>
        <w:tc>
          <w:tcPr>
            <w:tcW w:w="392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continue"/>
          </w:tcPr>
          <w:p>
            <w:pPr>
              <w:spacing w:after="0"/>
              <w:rPr>
                <w:sz w:val="6"/>
                <w:szCs w:val="6"/>
                <w:color w:val="auto"/>
              </w:rPr>
            </w:pPr>
          </w:p>
        </w:tc>
        <w:tc>
          <w:tcPr>
            <w:tcW w:w="39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gridSpan w:val="9"/>
          </w:tcPr>
          <w:p>
            <w:pPr>
              <w:ind w:left="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No. 3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hyperlink w:anchor="page78">
              <w:r>
                <w:rPr>
                  <w:rFonts w:ascii="Arial" w:cs="Arial" w:eastAsia="Arial" w:hAnsi="Arial"/>
                  <w:sz w:val="16"/>
                  <w:szCs w:val="16"/>
                  <w:color w:val="0000EE"/>
                </w:rPr>
                <w:t>Ratification of the Selection of</w:t>
              </w:r>
            </w:hyperlink>
          </w:p>
        </w:tc>
        <w:tc>
          <w:tcPr>
            <w:tcW w:w="39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4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tcBorders>
              <w:bottom w:val="single" w:sz="8" w:color="0000EE"/>
            </w:tcBorders>
            <w:gridSpan w:val="6"/>
          </w:tcPr>
          <w:p>
            <w:pPr>
              <w:spacing w:after="0" w:line="155" w:lineRule="exact"/>
              <w:rPr>
                <w:rFonts w:ascii="Arial" w:cs="Arial" w:eastAsia="Arial" w:hAnsi="Arial"/>
                <w:sz w:val="16"/>
                <w:szCs w:val="16"/>
                <w:color w:val="0000EE"/>
                <w:w w:val="99"/>
              </w:rPr>
            </w:pPr>
            <w:hyperlink w:anchor="page78">
              <w:r>
                <w:rPr>
                  <w:rFonts w:ascii="Arial" w:cs="Arial" w:eastAsia="Arial" w:hAnsi="Arial"/>
                  <w:sz w:val="16"/>
                  <w:szCs w:val="16"/>
                  <w:color w:val="0000EE"/>
                  <w:w w:val="99"/>
                </w:rPr>
                <w:t>Ernst &amp; Young LLP as the Company’s Independent</w:t>
              </w:r>
            </w:hyperlink>
          </w:p>
        </w:tc>
        <w:tc>
          <w:tcPr>
            <w:tcW w:w="20" w:type="dxa"/>
            <w:vAlign w:val="bottom"/>
          </w:tcPr>
          <w:p>
            <w:pPr>
              <w:spacing w:after="0"/>
              <w:rPr>
                <w:sz w:val="14"/>
                <w:szCs w:val="14"/>
                <w:color w:val="auto"/>
              </w:rPr>
            </w:pPr>
          </w:p>
        </w:tc>
        <w:tc>
          <w:tcPr>
            <w:tcW w:w="3920" w:type="dxa"/>
            <w:vAlign w:val="bottom"/>
            <w:vMerge w:val="restart"/>
          </w:tcPr>
          <w:p>
            <w:pPr>
              <w:jc w:val="center"/>
              <w:ind w:left="839"/>
              <w:spacing w:after="0"/>
              <w:rPr>
                <w:sz w:val="20"/>
                <w:szCs w:val="20"/>
                <w:color w:val="auto"/>
              </w:rPr>
            </w:pPr>
            <w:r>
              <w:rPr>
                <w:rFonts w:ascii="Arial" w:cs="Arial" w:eastAsia="Arial" w:hAnsi="Arial"/>
                <w:sz w:val="16"/>
                <w:szCs w:val="16"/>
                <w:b w:val="1"/>
                <w:bCs w:val="1"/>
                <w:color w:val="0033A0"/>
              </w:rPr>
              <w:t>FOR</w:t>
            </w:r>
          </w:p>
        </w:tc>
        <w:tc>
          <w:tcPr>
            <w:tcW w:w="23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gridSpan w:val="7"/>
            <w:vMerge w:val="restart"/>
          </w:tcPr>
          <w:p>
            <w:pPr>
              <w:spacing w:after="0" w:line="169" w:lineRule="exact"/>
              <w:rPr>
                <w:rFonts w:ascii="Arial" w:cs="Arial" w:eastAsia="Arial" w:hAnsi="Arial"/>
                <w:sz w:val="16"/>
                <w:szCs w:val="16"/>
                <w:color w:val="0000EE"/>
              </w:rPr>
            </w:pPr>
            <w:hyperlink w:anchor="page78">
              <w:r>
                <w:rPr>
                  <w:rFonts w:ascii="Arial" w:cs="Arial" w:eastAsia="Arial" w:hAnsi="Arial"/>
                  <w:sz w:val="16"/>
                  <w:szCs w:val="16"/>
                  <w:color w:val="0000EE"/>
                </w:rPr>
                <w:t>Registered Public Accounting Firm for 2019</w:t>
              </w:r>
            </w:hyperlink>
          </w:p>
        </w:tc>
        <w:tc>
          <w:tcPr>
            <w:tcW w:w="3920" w:type="dxa"/>
            <w:vAlign w:val="bottom"/>
            <w:vMerge w:val="continue"/>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3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40" w:type="dxa"/>
            <w:vAlign w:val="bottom"/>
            <w:tcBorders>
              <w:bottom w:val="single" w:sz="8" w:color="00A1DF"/>
            </w:tcBorders>
          </w:tcPr>
          <w:p>
            <w:pPr>
              <w:spacing w:after="0"/>
              <w:rPr>
                <w:sz w:val="12"/>
                <w:szCs w:val="12"/>
                <w:color w:val="auto"/>
              </w:rPr>
            </w:pPr>
          </w:p>
        </w:tc>
        <w:tc>
          <w:tcPr>
            <w:tcW w:w="80" w:type="dxa"/>
            <w:vAlign w:val="bottom"/>
            <w:tcBorders>
              <w:bottom w:val="single" w:sz="8" w:color="00A1DF"/>
            </w:tcBorders>
          </w:tcPr>
          <w:p>
            <w:pPr>
              <w:spacing w:after="0"/>
              <w:rPr>
                <w:sz w:val="12"/>
                <w:szCs w:val="12"/>
                <w:color w:val="auto"/>
              </w:rPr>
            </w:pPr>
          </w:p>
        </w:tc>
        <w:tc>
          <w:tcPr>
            <w:tcW w:w="1460" w:type="dxa"/>
            <w:vAlign w:val="bottom"/>
            <w:tcBorders>
              <w:top w:val="single" w:sz="8" w:color="0000EE"/>
              <w:bottom w:val="single" w:sz="8" w:color="00A1DF"/>
            </w:tcBorders>
          </w:tcPr>
          <w:p>
            <w:pPr>
              <w:spacing w:after="0"/>
              <w:rPr>
                <w:sz w:val="12"/>
                <w:szCs w:val="12"/>
                <w:color w:val="auto"/>
              </w:rPr>
            </w:pPr>
          </w:p>
        </w:tc>
        <w:tc>
          <w:tcPr>
            <w:tcW w:w="680" w:type="dxa"/>
            <w:vAlign w:val="bottom"/>
            <w:tcBorders>
              <w:top w:val="single" w:sz="8" w:color="0000EE"/>
              <w:bottom w:val="single" w:sz="8" w:color="00A1DF"/>
            </w:tcBorders>
          </w:tcPr>
          <w:p>
            <w:pPr>
              <w:spacing w:after="0"/>
              <w:rPr>
                <w:sz w:val="12"/>
                <w:szCs w:val="12"/>
                <w:color w:val="auto"/>
              </w:rPr>
            </w:pPr>
          </w:p>
        </w:tc>
        <w:tc>
          <w:tcPr>
            <w:tcW w:w="320" w:type="dxa"/>
            <w:vAlign w:val="bottom"/>
            <w:tcBorders>
              <w:top w:val="single" w:sz="8" w:color="0000EE"/>
              <w:bottom w:val="single" w:sz="8" w:color="00A1DF"/>
            </w:tcBorders>
          </w:tcPr>
          <w:p>
            <w:pPr>
              <w:spacing w:after="0"/>
              <w:rPr>
                <w:sz w:val="12"/>
                <w:szCs w:val="12"/>
                <w:color w:val="auto"/>
              </w:rPr>
            </w:pPr>
          </w:p>
        </w:tc>
        <w:tc>
          <w:tcPr>
            <w:tcW w:w="420" w:type="dxa"/>
            <w:vAlign w:val="bottom"/>
            <w:tcBorders>
              <w:top w:val="single" w:sz="8" w:color="0000EE"/>
              <w:bottom w:val="single" w:sz="8" w:color="00A1DF"/>
            </w:tcBorders>
          </w:tcPr>
          <w:p>
            <w:pPr>
              <w:spacing w:after="0"/>
              <w:rPr>
                <w:sz w:val="12"/>
                <w:szCs w:val="12"/>
                <w:color w:val="auto"/>
              </w:rPr>
            </w:pPr>
          </w:p>
        </w:tc>
        <w:tc>
          <w:tcPr>
            <w:tcW w:w="240" w:type="dxa"/>
            <w:vAlign w:val="bottom"/>
            <w:tcBorders>
              <w:top w:val="single" w:sz="8" w:color="0000EE"/>
              <w:bottom w:val="single" w:sz="8" w:color="00A1DF"/>
            </w:tcBorders>
          </w:tcPr>
          <w:p>
            <w:pPr>
              <w:spacing w:after="0"/>
              <w:rPr>
                <w:sz w:val="12"/>
                <w:szCs w:val="12"/>
                <w:color w:val="auto"/>
              </w:rPr>
            </w:pPr>
          </w:p>
        </w:tc>
        <w:tc>
          <w:tcPr>
            <w:tcW w:w="520" w:type="dxa"/>
            <w:vAlign w:val="bottom"/>
            <w:tcBorders>
              <w:bottom w:val="single" w:sz="8" w:color="00A1DF"/>
            </w:tcBorders>
          </w:tcPr>
          <w:p>
            <w:pPr>
              <w:spacing w:after="0"/>
              <w:rPr>
                <w:sz w:val="12"/>
                <w:szCs w:val="12"/>
                <w:color w:val="auto"/>
              </w:rPr>
            </w:pPr>
          </w:p>
        </w:tc>
        <w:tc>
          <w:tcPr>
            <w:tcW w:w="20" w:type="dxa"/>
            <w:vAlign w:val="bottom"/>
            <w:tcBorders>
              <w:bottom w:val="single" w:sz="8" w:color="00A1DF"/>
            </w:tcBorders>
          </w:tcPr>
          <w:p>
            <w:pPr>
              <w:spacing w:after="0"/>
              <w:rPr>
                <w:sz w:val="12"/>
                <w:szCs w:val="12"/>
                <w:color w:val="auto"/>
              </w:rPr>
            </w:pPr>
          </w:p>
        </w:tc>
        <w:tc>
          <w:tcPr>
            <w:tcW w:w="3920" w:type="dxa"/>
            <w:vAlign w:val="bottom"/>
            <w:tcBorders>
              <w:bottom w:val="single" w:sz="8" w:color="00A1DF"/>
            </w:tcBorders>
          </w:tcPr>
          <w:p>
            <w:pPr>
              <w:spacing w:after="0"/>
              <w:rPr>
                <w:sz w:val="12"/>
                <w:szCs w:val="12"/>
                <w:color w:val="auto"/>
              </w:rPr>
            </w:pPr>
          </w:p>
        </w:tc>
        <w:tc>
          <w:tcPr>
            <w:tcW w:w="2300" w:type="dxa"/>
            <w:vAlign w:val="bottom"/>
            <w:tcBorders>
              <w:bottom w:val="single" w:sz="8" w:color="00A1DF"/>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780" w:type="dxa"/>
            <w:vAlign w:val="bottom"/>
            <w:gridSpan w:val="9"/>
            <w:shd w:val="clear" w:color="auto" w:fill="E5F5FB"/>
          </w:tcPr>
          <w:p>
            <w:pPr>
              <w:ind w:left="80"/>
              <w:spacing w:after="0"/>
              <w:rPr>
                <w:sz w:val="20"/>
                <w:szCs w:val="20"/>
                <w:color w:val="auto"/>
              </w:rPr>
            </w:pPr>
            <w:r>
              <w:rPr>
                <w:rFonts w:ascii="Arial" w:cs="Arial" w:eastAsia="Arial" w:hAnsi="Arial"/>
                <w:sz w:val="16"/>
                <w:szCs w:val="16"/>
                <w:b w:val="1"/>
                <w:bCs w:val="1"/>
                <w:color w:val="auto"/>
              </w:rPr>
              <w:t>SHAREHOLDER PROPOSALS:</w:t>
            </w:r>
          </w:p>
        </w:tc>
        <w:tc>
          <w:tcPr>
            <w:tcW w:w="3920" w:type="dxa"/>
            <w:vAlign w:val="bottom"/>
            <w:shd w:val="clear" w:color="auto" w:fill="E5F5FB"/>
          </w:tcPr>
          <w:p>
            <w:pPr>
              <w:spacing w:after="0"/>
              <w:rPr>
                <w:sz w:val="21"/>
                <w:szCs w:val="21"/>
                <w:color w:val="auto"/>
              </w:rPr>
            </w:pPr>
          </w:p>
        </w:tc>
        <w:tc>
          <w:tcPr>
            <w:tcW w:w="2300" w:type="dxa"/>
            <w:vAlign w:val="bottom"/>
            <w:shd w:val="clear" w:color="auto" w:fill="E5F5F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780" w:type="dxa"/>
            <w:vAlign w:val="bottom"/>
            <w:gridSpan w:val="9"/>
          </w:tcPr>
          <w:p>
            <w:pPr>
              <w:ind w:left="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No. 4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hyperlink w:anchor="page81">
              <w:r>
                <w:rPr>
                  <w:rFonts w:ascii="Arial" w:cs="Arial" w:eastAsia="Arial" w:hAnsi="Arial"/>
                  <w:sz w:val="16"/>
                  <w:szCs w:val="16"/>
                  <w:color w:val="0000EE"/>
                </w:rPr>
                <w:t>Independent Board Chairman</w:t>
              </w:r>
            </w:hyperlink>
          </w:p>
        </w:tc>
        <w:tc>
          <w:tcPr>
            <w:tcW w:w="3920" w:type="dxa"/>
            <w:vAlign w:val="bottom"/>
          </w:tcPr>
          <w:p>
            <w:pPr>
              <w:jc w:val="center"/>
              <w:ind w:left="839"/>
              <w:spacing w:after="0"/>
              <w:rPr>
                <w:sz w:val="20"/>
                <w:szCs w:val="20"/>
                <w:color w:val="auto"/>
              </w:rPr>
            </w:pPr>
            <w:r>
              <w:rPr>
                <w:rFonts w:ascii="Arial" w:cs="Arial" w:eastAsia="Arial" w:hAnsi="Arial"/>
                <w:sz w:val="16"/>
                <w:szCs w:val="16"/>
                <w:b w:val="1"/>
                <w:bCs w:val="1"/>
                <w:color w:val="0033A0"/>
                <w:w w:val="99"/>
              </w:rPr>
              <w:t>AGAINST</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34"/>
        </w:trPr>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gridSpan w:val="9"/>
          </w:tcPr>
          <w:p>
            <w:pPr>
              <w:ind w:left="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No. 5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hyperlink w:anchor="page84">
              <w:r>
                <w:rPr>
                  <w:rFonts w:ascii="Arial" w:cs="Arial" w:eastAsia="Arial" w:hAnsi="Arial"/>
                  <w:sz w:val="16"/>
                  <w:szCs w:val="16"/>
                  <w:color w:val="0000EE"/>
                </w:rPr>
                <w:t>Report on Lobbying Communications and Activities</w:t>
              </w:r>
            </w:hyperlink>
          </w:p>
        </w:tc>
        <w:tc>
          <w:tcPr>
            <w:tcW w:w="3920" w:type="dxa"/>
            <w:vAlign w:val="bottom"/>
          </w:tcPr>
          <w:p>
            <w:pPr>
              <w:jc w:val="center"/>
              <w:ind w:left="839"/>
              <w:spacing w:after="0"/>
              <w:rPr>
                <w:sz w:val="20"/>
                <w:szCs w:val="20"/>
                <w:color w:val="auto"/>
              </w:rPr>
            </w:pPr>
            <w:r>
              <w:rPr>
                <w:rFonts w:ascii="Arial" w:cs="Arial" w:eastAsia="Arial" w:hAnsi="Arial"/>
                <w:sz w:val="16"/>
                <w:szCs w:val="16"/>
                <w:b w:val="1"/>
                <w:bCs w:val="1"/>
                <w:color w:val="0033A0"/>
                <w:w w:val="99"/>
              </w:rPr>
              <w:t>AGAINST</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34"/>
        </w:trPr>
        <w:tc>
          <w:tcPr>
            <w:tcW w:w="104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5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322580</wp:posOffset>
            </wp:positionV>
            <wp:extent cx="6167120" cy="1816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67120" cy="181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33A0"/>
        </w:rPr>
        <w:t>Composition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245745</wp:posOffset>
            </wp:positionV>
            <wp:extent cx="6758305" cy="1696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58305" cy="169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20"/>
        <w:spacing w:after="0"/>
        <w:rPr>
          <w:sz w:val="20"/>
          <w:szCs w:val="20"/>
          <w:color w:val="auto"/>
        </w:rPr>
      </w:pPr>
      <w:r>
        <w:rPr>
          <w:rFonts w:ascii="Arial" w:cs="Arial" w:eastAsia="Arial" w:hAnsi="Arial"/>
          <w:sz w:val="14"/>
          <w:szCs w:val="14"/>
          <w:color w:val="0033A0"/>
        </w:rPr>
        <w:t>1</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8"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following table provides summary information about each director nominee. For more detailed information about our directors, please see “Item No. 1 —Election of Directors—Your Board’s Nominees for Director” on page 11.</w:t>
      </w:r>
    </w:p>
    <w:p>
      <w:pPr>
        <w:spacing w:after="0" w:line="321"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1700" w:type="dxa"/>
            <w:vAlign w:val="bottom"/>
            <w:tcBorders>
              <w:top w:val="single" w:sz="8" w:color="00A1DF"/>
            </w:tcBorders>
          </w:tcPr>
          <w:p>
            <w:pPr>
              <w:spacing w:after="0"/>
              <w:rPr>
                <w:sz w:val="17"/>
                <w:szCs w:val="17"/>
                <w:color w:val="auto"/>
              </w:rPr>
            </w:pPr>
          </w:p>
        </w:tc>
        <w:tc>
          <w:tcPr>
            <w:tcW w:w="620" w:type="dxa"/>
            <w:vAlign w:val="bottom"/>
            <w:tcBorders>
              <w:top w:val="single" w:sz="8" w:color="00A1DF"/>
            </w:tcBorders>
          </w:tcPr>
          <w:p>
            <w:pPr>
              <w:spacing w:after="0"/>
              <w:rPr>
                <w:sz w:val="17"/>
                <w:szCs w:val="17"/>
                <w:color w:val="auto"/>
              </w:rPr>
            </w:pPr>
          </w:p>
        </w:tc>
        <w:tc>
          <w:tcPr>
            <w:tcW w:w="960" w:type="dxa"/>
            <w:vAlign w:val="bottom"/>
            <w:tcBorders>
              <w:top w:val="single" w:sz="8" w:color="00A1DF"/>
            </w:tcBorders>
          </w:tcPr>
          <w:p>
            <w:pPr>
              <w:jc w:val="center"/>
              <w:spacing w:after="0"/>
              <w:rPr>
                <w:sz w:val="20"/>
                <w:szCs w:val="20"/>
                <w:color w:val="auto"/>
              </w:rPr>
            </w:pPr>
            <w:r>
              <w:rPr>
                <w:rFonts w:ascii="Arial" w:cs="Arial" w:eastAsia="Arial" w:hAnsi="Arial"/>
                <w:sz w:val="16"/>
                <w:szCs w:val="16"/>
                <w:b w:val="1"/>
                <w:bCs w:val="1"/>
                <w:color w:val="00A1DF"/>
              </w:rPr>
              <w:t>Director</w:t>
            </w:r>
          </w:p>
        </w:tc>
        <w:tc>
          <w:tcPr>
            <w:tcW w:w="3420" w:type="dxa"/>
            <w:vAlign w:val="bottom"/>
            <w:tcBorders>
              <w:top w:val="single" w:sz="8" w:color="00A1DF"/>
            </w:tcBorders>
          </w:tcPr>
          <w:p>
            <w:pPr>
              <w:spacing w:after="0"/>
              <w:rPr>
                <w:sz w:val="17"/>
                <w:szCs w:val="17"/>
                <w:color w:val="auto"/>
              </w:rPr>
            </w:pPr>
          </w:p>
        </w:tc>
        <w:tc>
          <w:tcPr>
            <w:tcW w:w="1500" w:type="dxa"/>
            <w:vAlign w:val="bottom"/>
            <w:tcBorders>
              <w:top w:val="single" w:sz="8" w:color="00A1DF"/>
            </w:tcBorders>
          </w:tcPr>
          <w:p>
            <w:pPr>
              <w:spacing w:after="0"/>
              <w:rPr>
                <w:sz w:val="17"/>
                <w:szCs w:val="17"/>
                <w:color w:val="auto"/>
              </w:rPr>
            </w:pPr>
          </w:p>
        </w:tc>
        <w:tc>
          <w:tcPr>
            <w:tcW w:w="2800" w:type="dxa"/>
            <w:vAlign w:val="bottom"/>
            <w:tcBorders>
              <w:top w:val="single" w:sz="8" w:color="00A1DF"/>
            </w:tcBorders>
          </w:tcPr>
          <w:p>
            <w:pPr>
              <w:ind w:left="1120"/>
              <w:spacing w:after="0"/>
              <w:rPr>
                <w:sz w:val="20"/>
                <w:szCs w:val="20"/>
                <w:color w:val="auto"/>
              </w:rPr>
            </w:pPr>
            <w:r>
              <w:rPr>
                <w:rFonts w:ascii="Arial" w:cs="Arial" w:eastAsia="Arial" w:hAnsi="Arial"/>
                <w:sz w:val="16"/>
                <w:szCs w:val="16"/>
                <w:b w:val="1"/>
                <w:bCs w:val="1"/>
                <w:color w:val="00A1DF"/>
              </w:rPr>
              <w:t>Committee</w:t>
            </w:r>
          </w:p>
        </w:tc>
        <w:tc>
          <w:tcPr>
            <w:tcW w:w="0" w:type="dxa"/>
            <w:vAlign w:val="bottom"/>
          </w:tcPr>
          <w:p>
            <w:pPr>
              <w:spacing w:after="0"/>
              <w:rPr>
                <w:sz w:val="1"/>
                <w:szCs w:val="1"/>
                <w:color w:val="auto"/>
              </w:rPr>
            </w:pPr>
          </w:p>
        </w:tc>
      </w:tr>
      <w:tr>
        <w:trPr>
          <w:trHeight w:val="207"/>
        </w:trPr>
        <w:tc>
          <w:tcPr>
            <w:tcW w:w="1700" w:type="dxa"/>
            <w:vAlign w:val="bottom"/>
            <w:tcBorders>
              <w:bottom w:val="single" w:sz="8" w:color="00A1DF"/>
            </w:tcBorders>
          </w:tcPr>
          <w:p>
            <w:pPr>
              <w:ind w:left="600"/>
              <w:spacing w:after="0"/>
              <w:rPr>
                <w:sz w:val="20"/>
                <w:szCs w:val="20"/>
                <w:color w:val="auto"/>
              </w:rPr>
            </w:pPr>
            <w:r>
              <w:rPr>
                <w:rFonts w:ascii="Arial" w:cs="Arial" w:eastAsia="Arial" w:hAnsi="Arial"/>
                <w:sz w:val="16"/>
                <w:szCs w:val="16"/>
                <w:b w:val="1"/>
                <w:bCs w:val="1"/>
                <w:color w:val="00A1DF"/>
              </w:rPr>
              <w:t>Name</w:t>
            </w:r>
          </w:p>
        </w:tc>
        <w:tc>
          <w:tcPr>
            <w:tcW w:w="620" w:type="dxa"/>
            <w:vAlign w:val="bottom"/>
            <w:tcBorders>
              <w:bottom w:val="single" w:sz="8" w:color="00A1DF"/>
            </w:tcBorders>
          </w:tcPr>
          <w:p>
            <w:pPr>
              <w:jc w:val="center"/>
              <w:spacing w:after="0"/>
              <w:rPr>
                <w:sz w:val="20"/>
                <w:szCs w:val="20"/>
                <w:color w:val="auto"/>
              </w:rPr>
            </w:pPr>
            <w:r>
              <w:rPr>
                <w:rFonts w:ascii="Arial" w:cs="Arial" w:eastAsia="Arial" w:hAnsi="Arial"/>
                <w:sz w:val="16"/>
                <w:szCs w:val="16"/>
                <w:b w:val="1"/>
                <w:bCs w:val="1"/>
                <w:color w:val="00A1DF"/>
                <w:w w:val="99"/>
              </w:rPr>
              <w:t>Age</w:t>
            </w:r>
          </w:p>
        </w:tc>
        <w:tc>
          <w:tcPr>
            <w:tcW w:w="960" w:type="dxa"/>
            <w:vAlign w:val="bottom"/>
            <w:tcBorders>
              <w:bottom w:val="single" w:sz="8" w:color="00A1DF"/>
            </w:tcBorders>
          </w:tcPr>
          <w:p>
            <w:pPr>
              <w:jc w:val="center"/>
              <w:spacing w:after="0"/>
              <w:rPr>
                <w:sz w:val="20"/>
                <w:szCs w:val="20"/>
                <w:color w:val="auto"/>
              </w:rPr>
            </w:pPr>
            <w:r>
              <w:rPr>
                <w:rFonts w:ascii="Arial" w:cs="Arial" w:eastAsia="Arial" w:hAnsi="Arial"/>
                <w:sz w:val="16"/>
                <w:szCs w:val="16"/>
                <w:b w:val="1"/>
                <w:bCs w:val="1"/>
                <w:color w:val="00A1DF"/>
              </w:rPr>
              <w:t>Since</w:t>
            </w:r>
          </w:p>
        </w:tc>
        <w:tc>
          <w:tcPr>
            <w:tcW w:w="3420" w:type="dxa"/>
            <w:vAlign w:val="bottom"/>
            <w:tcBorders>
              <w:bottom w:val="single" w:sz="8" w:color="00A1DF"/>
            </w:tcBorders>
          </w:tcPr>
          <w:p>
            <w:pPr>
              <w:ind w:left="1000"/>
              <w:spacing w:after="0"/>
              <w:rPr>
                <w:sz w:val="20"/>
                <w:szCs w:val="20"/>
                <w:color w:val="auto"/>
              </w:rPr>
            </w:pPr>
            <w:r>
              <w:rPr>
                <w:rFonts w:ascii="Arial" w:cs="Arial" w:eastAsia="Arial" w:hAnsi="Arial"/>
                <w:sz w:val="16"/>
                <w:szCs w:val="16"/>
                <w:b w:val="1"/>
                <w:bCs w:val="1"/>
                <w:color w:val="00A1DF"/>
              </w:rPr>
              <w:t>Principal Occupation</w:t>
            </w:r>
          </w:p>
        </w:tc>
        <w:tc>
          <w:tcPr>
            <w:tcW w:w="1500" w:type="dxa"/>
            <w:vAlign w:val="bottom"/>
            <w:tcBorders>
              <w:bottom w:val="single" w:sz="8" w:color="00A1DF"/>
            </w:tcBorders>
          </w:tcPr>
          <w:p>
            <w:pPr>
              <w:ind w:left="260"/>
              <w:spacing w:after="0"/>
              <w:rPr>
                <w:sz w:val="20"/>
                <w:szCs w:val="20"/>
                <w:color w:val="auto"/>
              </w:rPr>
            </w:pPr>
            <w:r>
              <w:rPr>
                <w:rFonts w:ascii="Arial" w:cs="Arial" w:eastAsia="Arial" w:hAnsi="Arial"/>
                <w:sz w:val="16"/>
                <w:szCs w:val="16"/>
                <w:b w:val="1"/>
                <w:bCs w:val="1"/>
                <w:color w:val="00A1DF"/>
              </w:rPr>
              <w:t>Independent</w:t>
            </w:r>
          </w:p>
        </w:tc>
        <w:tc>
          <w:tcPr>
            <w:tcW w:w="2800" w:type="dxa"/>
            <w:vAlign w:val="bottom"/>
            <w:tcBorders>
              <w:bottom w:val="single" w:sz="8" w:color="00A1DF"/>
            </w:tcBorders>
          </w:tcPr>
          <w:p>
            <w:pPr>
              <w:ind w:left="1020"/>
              <w:spacing w:after="0"/>
              <w:rPr>
                <w:sz w:val="20"/>
                <w:szCs w:val="20"/>
                <w:color w:val="auto"/>
              </w:rPr>
            </w:pPr>
            <w:r>
              <w:rPr>
                <w:rFonts w:ascii="Arial" w:cs="Arial" w:eastAsia="Arial" w:hAnsi="Arial"/>
                <w:sz w:val="16"/>
                <w:szCs w:val="16"/>
                <w:b w:val="1"/>
                <w:bCs w:val="1"/>
                <w:color w:val="00A1DF"/>
              </w:rPr>
              <w:t>Memberships</w:t>
            </w:r>
          </w:p>
        </w:tc>
        <w:tc>
          <w:tcPr>
            <w:tcW w:w="0" w:type="dxa"/>
            <w:vAlign w:val="bottom"/>
          </w:tcPr>
          <w:p>
            <w:pPr>
              <w:spacing w:after="0"/>
              <w:rPr>
                <w:sz w:val="1"/>
                <w:szCs w:val="1"/>
                <w:color w:val="auto"/>
              </w:rPr>
            </w:pPr>
          </w:p>
        </w:tc>
      </w:tr>
      <w:tr>
        <w:trPr>
          <w:trHeight w:val="252"/>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Mary T. Barra</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57</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2014</w:t>
            </w:r>
          </w:p>
        </w:tc>
        <w:tc>
          <w:tcPr>
            <w:tcW w:w="3420" w:type="dxa"/>
            <w:vAlign w:val="bottom"/>
          </w:tcPr>
          <w:p>
            <w:pPr>
              <w:ind w:left="160"/>
              <w:spacing w:after="0"/>
              <w:rPr>
                <w:sz w:val="20"/>
                <w:szCs w:val="20"/>
                <w:color w:val="auto"/>
              </w:rPr>
            </w:pPr>
            <w:r>
              <w:rPr>
                <w:rFonts w:ascii="Arial" w:cs="Arial" w:eastAsia="Arial" w:hAnsi="Arial"/>
                <w:sz w:val="16"/>
                <w:szCs w:val="16"/>
                <w:color w:val="auto"/>
              </w:rPr>
              <w:t>Chairman &amp;</w:t>
            </w:r>
          </w:p>
        </w:tc>
        <w:tc>
          <w:tcPr>
            <w:tcW w:w="1500" w:type="dxa"/>
            <w:vAlign w:val="bottom"/>
          </w:tcPr>
          <w:p>
            <w:pPr>
              <w:spacing w:after="0"/>
              <w:rPr>
                <w:sz w:val="21"/>
                <w:szCs w:val="21"/>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 xml:space="preserve">Executive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89"/>
        </w:trPr>
        <w:tc>
          <w:tcPr>
            <w:tcW w:w="1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20" w:type="dxa"/>
            <w:vAlign w:val="bottom"/>
          </w:tcPr>
          <w:p>
            <w:pPr>
              <w:ind w:left="160"/>
              <w:spacing w:after="0"/>
              <w:rPr>
                <w:sz w:val="20"/>
                <w:szCs w:val="20"/>
                <w:color w:val="auto"/>
              </w:rPr>
            </w:pPr>
            <w:r>
              <w:rPr>
                <w:rFonts w:ascii="Arial" w:cs="Arial" w:eastAsia="Arial" w:hAnsi="Arial"/>
                <w:sz w:val="16"/>
                <w:szCs w:val="16"/>
                <w:color w:val="auto"/>
              </w:rPr>
              <w:t>Chief Executive Officer,</w:t>
            </w:r>
          </w:p>
        </w:tc>
        <w:tc>
          <w:tcPr>
            <w:tcW w:w="15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General Motors Company</w:t>
            </w:r>
          </w:p>
        </w:tc>
        <w:tc>
          <w:tcPr>
            <w:tcW w:w="15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20" w:type="dxa"/>
            <w:vAlign w:val="bottom"/>
          </w:tcPr>
          <w:p>
            <w:pPr>
              <w:ind w:left="160"/>
              <w:spacing w:after="0"/>
              <w:rPr>
                <w:sz w:val="20"/>
                <w:szCs w:val="20"/>
                <w:color w:val="auto"/>
              </w:rPr>
            </w:pPr>
            <w:r>
              <w:rPr>
                <w:rFonts w:ascii="Arial" w:cs="Arial" w:eastAsia="Arial" w:hAnsi="Arial"/>
                <w:sz w:val="16"/>
                <w:szCs w:val="16"/>
                <w:color w:val="auto"/>
              </w:rPr>
              <w:t>Independent Lead Director,</w:t>
            </w:r>
          </w:p>
        </w:tc>
        <w:tc>
          <w:tcPr>
            <w:tcW w:w="15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Theodore M. Solso</w:t>
            </w:r>
          </w:p>
        </w:tc>
        <w:tc>
          <w:tcPr>
            <w:tcW w:w="620" w:type="dxa"/>
            <w:vAlign w:val="bottom"/>
          </w:tcPr>
          <w:p>
            <w:pPr>
              <w:jc w:val="center"/>
              <w:spacing w:after="0"/>
              <w:rPr>
                <w:sz w:val="20"/>
                <w:szCs w:val="20"/>
                <w:color w:val="auto"/>
              </w:rPr>
            </w:pPr>
            <w:r>
              <w:rPr>
                <w:rFonts w:ascii="Arial" w:cs="Arial" w:eastAsia="Arial" w:hAnsi="Arial"/>
                <w:sz w:val="16"/>
                <w:szCs w:val="16"/>
                <w:color w:val="auto"/>
              </w:rPr>
              <w:t>72</w:t>
            </w:r>
          </w:p>
        </w:tc>
        <w:tc>
          <w:tcPr>
            <w:tcW w:w="960" w:type="dxa"/>
            <w:vAlign w:val="bottom"/>
          </w:tcPr>
          <w:p>
            <w:pPr>
              <w:jc w:val="center"/>
              <w:spacing w:after="0"/>
              <w:rPr>
                <w:sz w:val="20"/>
                <w:szCs w:val="20"/>
                <w:color w:val="auto"/>
              </w:rPr>
            </w:pPr>
            <w:r>
              <w:rPr>
                <w:rFonts w:ascii="Arial" w:cs="Arial" w:eastAsia="Arial" w:hAnsi="Arial"/>
                <w:sz w:val="16"/>
                <w:szCs w:val="16"/>
                <w:color w:val="auto"/>
              </w:rPr>
              <w:t>2012</w:t>
            </w:r>
          </w:p>
        </w:tc>
        <w:tc>
          <w:tcPr>
            <w:tcW w:w="3420" w:type="dxa"/>
            <w:vAlign w:val="bottom"/>
          </w:tcPr>
          <w:p>
            <w:pPr>
              <w:ind w:left="160"/>
              <w:spacing w:after="0"/>
              <w:rPr>
                <w:sz w:val="20"/>
                <w:szCs w:val="20"/>
                <w:color w:val="auto"/>
              </w:rPr>
            </w:pPr>
            <w:r>
              <w:rPr>
                <w:rFonts w:ascii="Arial" w:cs="Arial" w:eastAsia="Arial" w:hAnsi="Arial"/>
                <w:sz w:val="16"/>
                <w:szCs w:val="16"/>
                <w:color w:val="auto"/>
              </w:rPr>
              <w:t>General Motors Company, and</w:t>
            </w:r>
          </w:p>
        </w:tc>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20" w:type="dxa"/>
            <w:vAlign w:val="bottom"/>
          </w:tcPr>
          <w:p>
            <w:pPr>
              <w:ind w:left="160"/>
              <w:spacing w:after="0" w:line="164" w:lineRule="exact"/>
              <w:rPr>
                <w:sz w:val="20"/>
                <w:szCs w:val="20"/>
                <w:color w:val="auto"/>
              </w:rPr>
            </w:pPr>
            <w:r>
              <w:rPr>
                <w:rFonts w:ascii="Arial" w:cs="Arial" w:eastAsia="Arial" w:hAnsi="Arial"/>
                <w:sz w:val="16"/>
                <w:szCs w:val="16"/>
                <w:color w:val="auto"/>
              </w:rPr>
              <w:t>Retired Chairman &amp; Chief</w:t>
            </w:r>
          </w:p>
        </w:tc>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Executive Officer, Cummins, Inc.</w:t>
            </w:r>
          </w:p>
        </w:tc>
        <w:tc>
          <w:tcPr>
            <w:tcW w:w="15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Wesley G. Bush</w:t>
            </w:r>
          </w:p>
        </w:tc>
        <w:tc>
          <w:tcPr>
            <w:tcW w:w="620" w:type="dxa"/>
            <w:vAlign w:val="bottom"/>
          </w:tcPr>
          <w:p>
            <w:pPr>
              <w:jc w:val="center"/>
              <w:spacing w:after="0"/>
              <w:rPr>
                <w:sz w:val="20"/>
                <w:szCs w:val="20"/>
                <w:color w:val="auto"/>
              </w:rPr>
            </w:pPr>
            <w:r>
              <w:rPr>
                <w:rFonts w:ascii="Arial" w:cs="Arial" w:eastAsia="Arial" w:hAnsi="Arial"/>
                <w:sz w:val="16"/>
                <w:szCs w:val="16"/>
                <w:color w:val="auto"/>
              </w:rPr>
              <w:t>58</w:t>
            </w:r>
          </w:p>
        </w:tc>
        <w:tc>
          <w:tcPr>
            <w:tcW w:w="960" w:type="dxa"/>
            <w:vAlign w:val="bottom"/>
          </w:tcPr>
          <w:p>
            <w:pPr>
              <w:jc w:val="center"/>
              <w:spacing w:after="0"/>
              <w:rPr>
                <w:sz w:val="20"/>
                <w:szCs w:val="20"/>
                <w:color w:val="auto"/>
              </w:rPr>
            </w:pPr>
            <w:r>
              <w:rPr>
                <w:rFonts w:ascii="Arial" w:cs="Arial" w:eastAsia="Arial" w:hAnsi="Arial"/>
                <w:sz w:val="16"/>
                <w:szCs w:val="16"/>
                <w:color w:val="auto"/>
              </w:rPr>
              <w:t>2019</w:t>
            </w:r>
          </w:p>
        </w:tc>
        <w:tc>
          <w:tcPr>
            <w:tcW w:w="3420" w:type="dxa"/>
            <w:vAlign w:val="bottom"/>
          </w:tcPr>
          <w:p>
            <w:pPr>
              <w:ind w:left="160"/>
              <w:spacing w:after="0"/>
              <w:rPr>
                <w:sz w:val="20"/>
                <w:szCs w:val="20"/>
                <w:color w:val="auto"/>
              </w:rPr>
            </w:pPr>
            <w:r>
              <w:rPr>
                <w:rFonts w:ascii="Arial" w:cs="Arial" w:eastAsia="Arial" w:hAnsi="Arial"/>
                <w:sz w:val="16"/>
                <w:szCs w:val="16"/>
                <w:color w:val="auto"/>
              </w:rPr>
              <w:t>Chairman, Northrop Grumman</w:t>
            </w:r>
          </w:p>
        </w:tc>
        <w:tc>
          <w:tcPr>
            <w:tcW w:w="1500" w:type="dxa"/>
            <w:vAlign w:val="bottom"/>
          </w:tcPr>
          <w:p>
            <w:pPr>
              <w:spacing w:after="0"/>
              <w:rPr>
                <w:sz w:val="22"/>
                <w:szCs w:val="22"/>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197"/>
        </w:trPr>
        <w:tc>
          <w:tcPr>
            <w:tcW w:w="1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Corporation</w:t>
            </w:r>
          </w:p>
        </w:tc>
        <w:tc>
          <w:tcPr>
            <w:tcW w:w="15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6"/>
                <w:szCs w:val="16"/>
                <w:color w:val="auto"/>
              </w:rPr>
              <w:t>Retired Executive Vice President,</w:t>
            </w:r>
          </w:p>
        </w:tc>
        <w:tc>
          <w:tcPr>
            <w:tcW w:w="1500" w:type="dxa"/>
            <w:vAlign w:val="bottom"/>
          </w:tcPr>
          <w:p>
            <w:pPr>
              <w:spacing w:after="0"/>
              <w:rPr>
                <w:sz w:val="20"/>
                <w:szCs w:val="20"/>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09"/>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Linda R. Gooden</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66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3420" w:type="dxa"/>
            <w:vAlign w:val="bottom"/>
          </w:tcPr>
          <w:p>
            <w:pPr>
              <w:ind w:left="160"/>
              <w:spacing w:after="0"/>
              <w:rPr>
                <w:sz w:val="20"/>
                <w:szCs w:val="20"/>
                <w:color w:val="auto"/>
              </w:rPr>
            </w:pPr>
            <w:r>
              <w:rPr>
                <w:rFonts w:ascii="Arial" w:cs="Arial" w:eastAsia="Arial" w:hAnsi="Arial"/>
                <w:sz w:val="16"/>
                <w:szCs w:val="16"/>
                <w:color w:val="auto"/>
              </w:rPr>
              <w:t>Information Systems &amp; Global</w:t>
            </w:r>
          </w:p>
        </w:tc>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 xml:space="preserve">Cybersecurity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Solutions, Lockheed Martin</w:t>
            </w:r>
          </w:p>
        </w:tc>
        <w:tc>
          <w:tcPr>
            <w:tcW w:w="1500" w:type="dxa"/>
            <w:vAlign w:val="bottom"/>
          </w:tcPr>
          <w:p>
            <w:pPr>
              <w:spacing w:after="0"/>
              <w:rPr>
                <w:sz w:val="6"/>
                <w:szCs w:val="6"/>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16"/>
        </w:trPr>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Corporation</w:t>
            </w:r>
          </w:p>
        </w:tc>
        <w:tc>
          <w:tcPr>
            <w:tcW w:w="15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Risk</w:t>
            </w:r>
          </w:p>
        </w:tc>
        <w:tc>
          <w:tcPr>
            <w:tcW w:w="0" w:type="dxa"/>
            <w:vAlign w:val="bottom"/>
          </w:tcPr>
          <w:p>
            <w:pPr>
              <w:spacing w:after="0"/>
              <w:rPr>
                <w:sz w:val="1"/>
                <w:szCs w:val="1"/>
                <w:color w:val="auto"/>
              </w:rPr>
            </w:pPr>
          </w:p>
        </w:tc>
      </w:tr>
      <w:tr>
        <w:trPr>
          <w:trHeight w:val="214"/>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Joseph Jimenez</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59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Retired Chief Executive Officer,</w:t>
            </w:r>
          </w:p>
        </w:tc>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66"/>
        </w:trPr>
        <w:tc>
          <w:tcPr>
            <w:tcW w:w="1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4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ind w:left="160"/>
              <w:spacing w:after="0" w:line="175" w:lineRule="exact"/>
              <w:rPr>
                <w:sz w:val="20"/>
                <w:szCs w:val="20"/>
                <w:color w:val="auto"/>
              </w:rPr>
            </w:pPr>
            <w:r>
              <w:rPr>
                <w:rFonts w:ascii="Arial" w:cs="Arial" w:eastAsia="Arial" w:hAnsi="Arial"/>
                <w:sz w:val="16"/>
                <w:szCs w:val="16"/>
                <w:color w:val="auto"/>
              </w:rPr>
              <w:t>Novartis AG</w:t>
            </w:r>
          </w:p>
        </w:tc>
        <w:tc>
          <w:tcPr>
            <w:tcW w:w="15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Jane L. Mendillo</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60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2016</w:t>
            </w:r>
          </w:p>
        </w:tc>
        <w:tc>
          <w:tcPr>
            <w:tcW w:w="3420" w:type="dxa"/>
            <w:vAlign w:val="bottom"/>
          </w:tcPr>
          <w:p>
            <w:pPr>
              <w:ind w:left="160"/>
              <w:spacing w:after="0"/>
              <w:rPr>
                <w:sz w:val="20"/>
                <w:szCs w:val="20"/>
                <w:color w:val="auto"/>
              </w:rPr>
            </w:pPr>
            <w:r>
              <w:rPr>
                <w:rFonts w:ascii="Arial" w:cs="Arial" w:eastAsia="Arial" w:hAnsi="Arial"/>
                <w:sz w:val="16"/>
                <w:szCs w:val="16"/>
                <w:color w:val="auto"/>
              </w:rPr>
              <w:t>Retired President &amp;</w:t>
            </w:r>
          </w:p>
        </w:tc>
        <w:tc>
          <w:tcPr>
            <w:tcW w:w="1500" w:type="dxa"/>
            <w:vAlign w:val="bottom"/>
          </w:tcPr>
          <w:p>
            <w:pPr>
              <w:spacing w:after="0"/>
              <w:rPr>
                <w:sz w:val="21"/>
                <w:szCs w:val="21"/>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Chief Executive Officer,</w:t>
            </w:r>
          </w:p>
        </w:tc>
        <w:tc>
          <w:tcPr>
            <w:tcW w:w="150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42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60"/>
        </w:trPr>
        <w:tc>
          <w:tcPr>
            <w:tcW w:w="1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Harvard Management Company</w:t>
            </w:r>
          </w:p>
        </w:tc>
        <w:tc>
          <w:tcPr>
            <w:tcW w:w="150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7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vMerge w:val="continue"/>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Judith A. Miscik</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60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2018</w:t>
            </w: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Chief Executive Officer &amp;</w:t>
            </w:r>
          </w:p>
        </w:tc>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Risk</w:t>
            </w:r>
          </w:p>
        </w:tc>
        <w:tc>
          <w:tcPr>
            <w:tcW w:w="0" w:type="dxa"/>
            <w:vAlign w:val="bottom"/>
          </w:tcPr>
          <w:p>
            <w:pPr>
              <w:spacing w:after="0"/>
              <w:rPr>
                <w:sz w:val="1"/>
                <w:szCs w:val="1"/>
                <w:color w:val="auto"/>
              </w:rPr>
            </w:pPr>
          </w:p>
        </w:tc>
      </w:tr>
      <w:tr>
        <w:trPr>
          <w:trHeight w:val="66"/>
        </w:trPr>
        <w:tc>
          <w:tcPr>
            <w:tcW w:w="1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4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ind w:left="160"/>
              <w:spacing w:after="0" w:line="175" w:lineRule="exact"/>
              <w:rPr>
                <w:sz w:val="20"/>
                <w:szCs w:val="20"/>
                <w:color w:val="auto"/>
              </w:rPr>
            </w:pPr>
            <w:r>
              <w:rPr>
                <w:rFonts w:ascii="Arial" w:cs="Arial" w:eastAsia="Arial" w:hAnsi="Arial"/>
                <w:sz w:val="16"/>
                <w:szCs w:val="16"/>
                <w:color w:val="auto"/>
              </w:rPr>
              <w:t>Vice Chairman, Kissinger Associates, Inc.</w:t>
            </w:r>
          </w:p>
        </w:tc>
        <w:tc>
          <w:tcPr>
            <w:tcW w:w="15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Chairman, Hewlett Packard</w:t>
            </w:r>
          </w:p>
        </w:tc>
        <w:tc>
          <w:tcPr>
            <w:tcW w:w="1500" w:type="dxa"/>
            <w:vAlign w:val="bottom"/>
          </w:tcPr>
          <w:p>
            <w:pPr>
              <w:spacing w:after="0"/>
              <w:rPr>
                <w:sz w:val="21"/>
                <w:szCs w:val="21"/>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214"/>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Patricia F. Russo</w:t>
            </w:r>
          </w:p>
        </w:tc>
        <w:tc>
          <w:tcPr>
            <w:tcW w:w="620" w:type="dxa"/>
            <w:vAlign w:val="bottom"/>
          </w:tcPr>
          <w:p>
            <w:pPr>
              <w:jc w:val="center"/>
              <w:spacing w:after="0"/>
              <w:rPr>
                <w:sz w:val="20"/>
                <w:szCs w:val="20"/>
                <w:color w:val="auto"/>
              </w:rPr>
            </w:pPr>
            <w:r>
              <w:rPr>
                <w:rFonts w:ascii="Arial" w:cs="Arial" w:eastAsia="Arial" w:hAnsi="Arial"/>
                <w:sz w:val="16"/>
                <w:szCs w:val="16"/>
                <w:color w:val="auto"/>
              </w:rPr>
              <w:t>66</w:t>
            </w:r>
          </w:p>
        </w:tc>
        <w:tc>
          <w:tcPr>
            <w:tcW w:w="960" w:type="dxa"/>
            <w:vAlign w:val="bottom"/>
          </w:tcPr>
          <w:p>
            <w:pPr>
              <w:jc w:val="center"/>
              <w:spacing w:after="0"/>
              <w:rPr>
                <w:sz w:val="20"/>
                <w:szCs w:val="20"/>
                <w:color w:val="auto"/>
              </w:rPr>
            </w:pPr>
            <w:r>
              <w:rPr>
                <w:rFonts w:ascii="Arial" w:cs="Arial" w:eastAsia="Arial" w:hAnsi="Arial"/>
                <w:sz w:val="16"/>
                <w:szCs w:val="16"/>
                <w:color w:val="auto"/>
              </w:rPr>
              <w:t>2009</w:t>
            </w:r>
          </w:p>
        </w:tc>
        <w:tc>
          <w:tcPr>
            <w:tcW w:w="34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ind w:left="160"/>
              <w:spacing w:after="0" w:line="144" w:lineRule="exact"/>
              <w:rPr>
                <w:sz w:val="20"/>
                <w:szCs w:val="20"/>
                <w:color w:val="auto"/>
              </w:rPr>
            </w:pPr>
            <w:r>
              <w:rPr>
                <w:rFonts w:ascii="Arial" w:cs="Arial" w:eastAsia="Arial" w:hAnsi="Arial"/>
                <w:sz w:val="16"/>
                <w:szCs w:val="16"/>
                <w:color w:val="auto"/>
              </w:rPr>
              <w:t>Enterprise Company</w:t>
            </w:r>
          </w:p>
        </w:tc>
        <w:tc>
          <w:tcPr>
            <w:tcW w:w="1500" w:type="dxa"/>
            <w:vAlign w:val="bottom"/>
          </w:tcPr>
          <w:p>
            <w:pPr>
              <w:spacing w:after="0"/>
              <w:rPr>
                <w:sz w:val="12"/>
                <w:szCs w:val="12"/>
                <w:color w:val="auto"/>
              </w:rPr>
            </w:pPr>
          </w:p>
        </w:tc>
        <w:tc>
          <w:tcPr>
            <w:tcW w:w="2800" w:type="dxa"/>
            <w:vAlign w:val="bottom"/>
          </w:tcPr>
          <w:p>
            <w:pPr>
              <w:ind w:left="280"/>
              <w:spacing w:after="0" w:line="144" w:lineRule="exact"/>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217"/>
        </w:trPr>
        <w:tc>
          <w:tcPr>
            <w:tcW w:w="1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Governance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Retired Executive Vice President</w:t>
            </w:r>
          </w:p>
        </w:tc>
        <w:tc>
          <w:tcPr>
            <w:tcW w:w="1500" w:type="dxa"/>
            <w:vAlign w:val="bottom"/>
          </w:tcPr>
          <w:p>
            <w:pPr>
              <w:spacing w:after="0"/>
              <w:rPr>
                <w:sz w:val="22"/>
                <w:szCs w:val="22"/>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 xml:space="preserve">Audit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62"/>
        </w:trPr>
        <w:tc>
          <w:tcPr>
            <w:tcW w:w="170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Thomas M.</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2800" w:type="dxa"/>
            <w:vAlign w:val="bottom"/>
          </w:tcPr>
          <w:p>
            <w:pPr>
              <w:ind w:left="280"/>
              <w:spacing w:after="0" w:line="162" w:lineRule="exact"/>
              <w:rPr>
                <w:sz w:val="20"/>
                <w:szCs w:val="20"/>
                <w:color w:val="auto"/>
              </w:rPr>
            </w:pPr>
            <w:r>
              <w:rPr>
                <w:rFonts w:ascii="Arial" w:cs="Arial" w:eastAsia="Arial" w:hAnsi="Arial"/>
                <w:sz w:val="16"/>
                <w:szCs w:val="16"/>
                <w:color w:val="auto"/>
              </w:rPr>
              <w:t>Cybersecurity</w:t>
            </w:r>
          </w:p>
        </w:tc>
        <w:tc>
          <w:tcPr>
            <w:tcW w:w="0" w:type="dxa"/>
            <w:vAlign w:val="bottom"/>
          </w:tcPr>
          <w:p>
            <w:pPr>
              <w:spacing w:after="0"/>
              <w:rPr>
                <w:sz w:val="1"/>
                <w:szCs w:val="1"/>
                <w:color w:val="auto"/>
              </w:rPr>
            </w:pPr>
          </w:p>
        </w:tc>
      </w:tr>
      <w:tr>
        <w:trPr>
          <w:trHeight w:val="241"/>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Schoewe</w:t>
            </w:r>
          </w:p>
        </w:tc>
        <w:tc>
          <w:tcPr>
            <w:tcW w:w="620" w:type="dxa"/>
            <w:vAlign w:val="bottom"/>
          </w:tcPr>
          <w:p>
            <w:pPr>
              <w:jc w:val="center"/>
              <w:spacing w:after="0"/>
              <w:rPr>
                <w:sz w:val="20"/>
                <w:szCs w:val="20"/>
                <w:color w:val="auto"/>
              </w:rPr>
            </w:pPr>
            <w:r>
              <w:rPr>
                <w:rFonts w:ascii="Arial" w:cs="Arial" w:eastAsia="Arial" w:hAnsi="Arial"/>
                <w:sz w:val="16"/>
                <w:szCs w:val="16"/>
                <w:color w:val="auto"/>
              </w:rPr>
              <w:t>66</w:t>
            </w:r>
          </w:p>
        </w:tc>
        <w:tc>
          <w:tcPr>
            <w:tcW w:w="960" w:type="dxa"/>
            <w:vAlign w:val="bottom"/>
          </w:tcPr>
          <w:p>
            <w:pPr>
              <w:jc w:val="center"/>
              <w:spacing w:after="0"/>
              <w:rPr>
                <w:sz w:val="20"/>
                <w:szCs w:val="20"/>
                <w:color w:val="auto"/>
              </w:rPr>
            </w:pPr>
            <w:r>
              <w:rPr>
                <w:rFonts w:ascii="Arial" w:cs="Arial" w:eastAsia="Arial" w:hAnsi="Arial"/>
                <w:sz w:val="16"/>
                <w:szCs w:val="16"/>
                <w:color w:val="auto"/>
              </w:rPr>
              <w:t>2011</w:t>
            </w:r>
          </w:p>
        </w:tc>
        <w:tc>
          <w:tcPr>
            <w:tcW w:w="3420" w:type="dxa"/>
            <w:vAlign w:val="bottom"/>
          </w:tcPr>
          <w:p>
            <w:pPr>
              <w:ind w:left="160"/>
              <w:spacing w:after="0"/>
              <w:rPr>
                <w:sz w:val="20"/>
                <w:szCs w:val="20"/>
                <w:color w:val="auto"/>
              </w:rPr>
            </w:pPr>
            <w:r>
              <w:rPr>
                <w:rFonts w:ascii="Arial" w:cs="Arial" w:eastAsia="Arial" w:hAnsi="Arial"/>
                <w:sz w:val="16"/>
                <w:szCs w:val="16"/>
                <w:color w:val="auto"/>
              </w:rPr>
              <w:t>&amp; Chief Financial Officer,</w:t>
            </w:r>
          </w:p>
        </w:tc>
        <w:tc>
          <w:tcPr>
            <w:tcW w:w="1500" w:type="dxa"/>
            <w:vAlign w:val="bottom"/>
          </w:tcPr>
          <w:p>
            <w:pPr>
              <w:spacing w:after="0"/>
              <w:rPr>
                <w:sz w:val="20"/>
                <w:szCs w:val="20"/>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20" w:type="dxa"/>
            <w:vAlign w:val="bottom"/>
          </w:tcPr>
          <w:p>
            <w:pPr>
              <w:ind w:left="160"/>
              <w:spacing w:after="0" w:line="164" w:lineRule="exact"/>
              <w:rPr>
                <w:sz w:val="20"/>
                <w:szCs w:val="20"/>
                <w:color w:val="auto"/>
              </w:rPr>
            </w:pPr>
            <w:r>
              <w:rPr>
                <w:rFonts w:ascii="Arial" w:cs="Arial" w:eastAsia="Arial" w:hAnsi="Arial"/>
                <w:sz w:val="16"/>
                <w:szCs w:val="16"/>
                <w:color w:val="auto"/>
              </w:rPr>
              <w:t>Wal-Mart Stores, Inc.</w:t>
            </w:r>
          </w:p>
        </w:tc>
        <w:tc>
          <w:tcPr>
            <w:tcW w:w="1500" w:type="dxa"/>
            <w:vAlign w:val="bottom"/>
          </w:tcPr>
          <w:p>
            <w:pPr>
              <w:spacing w:after="0"/>
              <w:rPr>
                <w:sz w:val="14"/>
                <w:szCs w:val="14"/>
                <w:color w:val="auto"/>
              </w:rPr>
            </w:pPr>
          </w:p>
        </w:tc>
        <w:tc>
          <w:tcPr>
            <w:tcW w:w="2800" w:type="dxa"/>
            <w:vAlign w:val="bottom"/>
          </w:tcPr>
          <w:p>
            <w:pPr>
              <w:ind w:left="280"/>
              <w:spacing w:after="0" w:line="164" w:lineRule="exact"/>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97"/>
        </w:trPr>
        <w:tc>
          <w:tcPr>
            <w:tcW w:w="1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Risk</w:t>
            </w:r>
          </w:p>
        </w:tc>
        <w:tc>
          <w:tcPr>
            <w:tcW w:w="0" w:type="dxa"/>
            <w:vAlign w:val="bottom"/>
          </w:tcPr>
          <w:p>
            <w:pPr>
              <w:spacing w:after="0"/>
              <w:rPr>
                <w:sz w:val="1"/>
                <w:szCs w:val="1"/>
                <w:color w:val="auto"/>
              </w:rPr>
            </w:pPr>
          </w:p>
        </w:tc>
      </w:tr>
      <w:tr>
        <w:trPr>
          <w:trHeight w:val="235"/>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Carol M.</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68</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2009</w:t>
            </w:r>
          </w:p>
        </w:tc>
        <w:tc>
          <w:tcPr>
            <w:tcW w:w="3420" w:type="dxa"/>
            <w:vAlign w:val="bottom"/>
          </w:tcPr>
          <w:p>
            <w:pPr>
              <w:ind w:left="160"/>
              <w:spacing w:after="0"/>
              <w:rPr>
                <w:sz w:val="20"/>
                <w:szCs w:val="20"/>
                <w:color w:val="auto"/>
              </w:rPr>
            </w:pPr>
            <w:r>
              <w:rPr>
                <w:rFonts w:ascii="Arial" w:cs="Arial" w:eastAsia="Arial" w:hAnsi="Arial"/>
                <w:sz w:val="16"/>
                <w:szCs w:val="16"/>
                <w:color w:val="auto"/>
              </w:rPr>
              <w:t>Retired Dean, Ivey Business</w:t>
            </w:r>
          </w:p>
        </w:tc>
        <w:tc>
          <w:tcPr>
            <w:tcW w:w="1500" w:type="dxa"/>
            <w:vAlign w:val="bottom"/>
          </w:tcPr>
          <w:p>
            <w:pPr>
              <w:spacing w:after="0"/>
              <w:rPr>
                <w:sz w:val="20"/>
                <w:szCs w:val="20"/>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209"/>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Stephenson</w:t>
            </w:r>
          </w:p>
        </w:tc>
        <w:tc>
          <w:tcPr>
            <w:tcW w:w="6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6"/>
                <w:szCs w:val="16"/>
                <w:color w:val="auto"/>
              </w:rPr>
              <w:t>School, The University of</w:t>
            </w:r>
          </w:p>
        </w:tc>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 xml:space="preserve">Executive Compensation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20" w:type="dxa"/>
            <w:vAlign w:val="bottom"/>
            <w:vMerge w:val="restart"/>
          </w:tcPr>
          <w:p>
            <w:pPr>
              <w:ind w:left="160"/>
              <w:spacing w:after="0"/>
              <w:rPr>
                <w:sz w:val="20"/>
                <w:szCs w:val="20"/>
                <w:color w:val="auto"/>
              </w:rPr>
            </w:pPr>
            <w:r>
              <w:rPr>
                <w:rFonts w:ascii="Arial" w:cs="Arial" w:eastAsia="Arial" w:hAnsi="Arial"/>
                <w:sz w:val="16"/>
                <w:szCs w:val="16"/>
                <w:color w:val="auto"/>
              </w:rPr>
              <w:t>Western Ontario</w:t>
            </w:r>
          </w:p>
        </w:tc>
        <w:tc>
          <w:tcPr>
            <w:tcW w:w="1500" w:type="dxa"/>
            <w:vAlign w:val="bottom"/>
          </w:tcPr>
          <w:p>
            <w:pPr>
              <w:spacing w:after="0"/>
              <w:rPr>
                <w:sz w:val="6"/>
                <w:szCs w:val="6"/>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124"/>
        </w:trPr>
        <w:tc>
          <w:tcPr>
            <w:tcW w:w="17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Devin N. Wenig</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52</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2018</w:t>
            </w:r>
          </w:p>
        </w:tc>
        <w:tc>
          <w:tcPr>
            <w:tcW w:w="3420" w:type="dxa"/>
            <w:vAlign w:val="bottom"/>
          </w:tcPr>
          <w:p>
            <w:pPr>
              <w:ind w:left="160"/>
              <w:spacing w:after="0"/>
              <w:rPr>
                <w:sz w:val="20"/>
                <w:szCs w:val="20"/>
                <w:color w:val="auto"/>
              </w:rPr>
            </w:pPr>
            <w:r>
              <w:rPr>
                <w:rFonts w:ascii="Arial" w:cs="Arial" w:eastAsia="Arial" w:hAnsi="Arial"/>
                <w:sz w:val="16"/>
                <w:szCs w:val="16"/>
                <w:color w:val="auto"/>
              </w:rPr>
              <w:t>President &amp;</w:t>
            </w:r>
          </w:p>
        </w:tc>
        <w:tc>
          <w:tcPr>
            <w:tcW w:w="1500" w:type="dxa"/>
            <w:vAlign w:val="bottom"/>
          </w:tcPr>
          <w:p>
            <w:pPr>
              <w:spacing w:after="0"/>
              <w:rPr>
                <w:sz w:val="22"/>
                <w:szCs w:val="22"/>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Risk</w:t>
            </w:r>
          </w:p>
        </w:tc>
        <w:tc>
          <w:tcPr>
            <w:tcW w:w="0" w:type="dxa"/>
            <w:vAlign w:val="bottom"/>
          </w:tcPr>
          <w:p>
            <w:pPr>
              <w:spacing w:after="0"/>
              <w:rPr>
                <w:sz w:val="1"/>
                <w:szCs w:val="1"/>
                <w:color w:val="auto"/>
              </w:rPr>
            </w:pPr>
          </w:p>
        </w:tc>
      </w:tr>
      <w:tr>
        <w:trPr>
          <w:trHeight w:val="189"/>
        </w:trPr>
        <w:tc>
          <w:tcPr>
            <w:tcW w:w="1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20" w:type="dxa"/>
            <w:vAlign w:val="bottom"/>
          </w:tcPr>
          <w:p>
            <w:pPr>
              <w:ind w:left="160"/>
              <w:spacing w:after="0"/>
              <w:rPr>
                <w:sz w:val="20"/>
                <w:szCs w:val="20"/>
                <w:color w:val="auto"/>
              </w:rPr>
            </w:pPr>
            <w:r>
              <w:rPr>
                <w:rFonts w:ascii="Arial" w:cs="Arial" w:eastAsia="Arial" w:hAnsi="Arial"/>
                <w:sz w:val="16"/>
                <w:szCs w:val="16"/>
                <w:color w:val="auto"/>
              </w:rPr>
              <w:t>Chief Executive Officer,</w:t>
            </w:r>
          </w:p>
        </w:tc>
        <w:tc>
          <w:tcPr>
            <w:tcW w:w="15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-4095115</wp:posOffset>
            </wp:positionV>
            <wp:extent cx="12827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-3675380</wp:posOffset>
            </wp:positionV>
            <wp:extent cx="12827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-3255645</wp:posOffset>
            </wp:positionV>
            <wp:extent cx="12827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-2835910</wp:posOffset>
            </wp:positionV>
            <wp:extent cx="12827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-2475865</wp:posOffset>
            </wp:positionV>
            <wp:extent cx="12827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-2116455</wp:posOffset>
            </wp:positionV>
            <wp:extent cx="12827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-1696720</wp:posOffset>
            </wp:positionV>
            <wp:extent cx="12827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-1097280</wp:posOffset>
            </wp:positionV>
            <wp:extent cx="12827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-557530</wp:posOffset>
            </wp:positionV>
            <wp:extent cx="12827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270" cy="1200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-137795</wp:posOffset>
            </wp:positionV>
            <wp:extent cx="12827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6"/>
          <w:szCs w:val="16"/>
          <w:color w:val="auto"/>
        </w:rPr>
        <w:t>eBay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10160</wp:posOffset>
            </wp:positionV>
            <wp:extent cx="6989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113030</wp:posOffset>
            </wp:positionV>
            <wp:extent cx="68529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2</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Governance Highlights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We recognize that strong corporate governance contributes to long-term shareholder value. We are committed to sound governance practices, including those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456565</wp:posOffset>
            </wp:positionV>
            <wp:extent cx="6758305" cy="64585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58305" cy="645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20"/>
        <w:spacing w:after="0"/>
        <w:rPr>
          <w:sz w:val="20"/>
          <w:szCs w:val="20"/>
          <w:color w:val="auto"/>
        </w:rPr>
      </w:pPr>
      <w:r>
        <w:rPr>
          <w:rFonts w:ascii="Arial" w:cs="Arial" w:eastAsia="Arial" w:hAnsi="Arial"/>
          <w:sz w:val="14"/>
          <w:szCs w:val="14"/>
          <w:color w:val="0033A0"/>
        </w:rPr>
        <w:t>3</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2018 Performance Snapshot</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0033A0"/>
        </w:rPr>
        <w:t>Full-Year 2018 Results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153670</wp:posOffset>
            </wp:positionV>
            <wp:extent cx="5088255" cy="1507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88255" cy="150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200" w:right="980"/>
        <w:spacing w:after="0" w:line="251" w:lineRule="auto"/>
        <w:rPr>
          <w:sz w:val="20"/>
          <w:szCs w:val="20"/>
          <w:color w:val="auto"/>
        </w:rPr>
      </w:pPr>
      <w:r>
        <w:rPr>
          <w:rFonts w:ascii="Arial" w:cs="Arial" w:eastAsia="Arial" w:hAnsi="Arial"/>
          <w:sz w:val="14"/>
          <w:szCs w:val="14"/>
          <w:b w:val="1"/>
          <w:bCs w:val="1"/>
          <w:i w:val="1"/>
          <w:iCs w:val="1"/>
          <w:color w:val="auto"/>
        </w:rPr>
        <w:t>Note: The financial information above and included in this Proxy Statement relates to our continuing operations and not our discontinued operations, which consist of the Opel and Vauxhall businesses and certain other assets in Europe and the European financing subsidiaries and branches that were sold in 2017. EBIT-adjusted, EBIT-adjusted margin and EPS-diluted-adjusted are non-GAAP financial measures. Appendix A includes a reconciliation of these non-GAAP financial measures to their most directly comparable measures reported under generally accepted accounting principles in the United States.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A0"/>
        </w:rPr>
        <w:t>Transformation Takes Shape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151765</wp:posOffset>
            </wp:positionV>
            <wp:extent cx="6989445" cy="1730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89445" cy="1730375"/>
                    </a:xfrm>
                    <a:prstGeom prst="rect">
                      <a:avLst/>
                    </a:prstGeom>
                    <a:noFill/>
                  </pic:spPr>
                </pic:pic>
              </a:graphicData>
            </a:graphic>
          </wp:anchor>
        </w:drawing>
      </w:r>
    </w:p>
    <w:p>
      <w:pPr>
        <w:spacing w:after="0" w:line="356" w:lineRule="exact"/>
        <w:rPr>
          <w:sz w:val="20"/>
          <w:szCs w:val="20"/>
          <w:color w:val="auto"/>
        </w:rPr>
      </w:pPr>
    </w:p>
    <w:p>
      <w:pPr>
        <w:ind w:left="860" w:right="140" w:hanging="326"/>
        <w:spacing w:after="0" w:line="277" w:lineRule="auto"/>
        <w:tabs>
          <w:tab w:leader="none" w:pos="789" w:val="left"/>
        </w:tabs>
        <w:numPr>
          <w:ilvl w:val="0"/>
          <w:numId w:val="5"/>
        </w:numPr>
        <w:rPr>
          <w:rFonts w:ascii="Arial" w:cs="Arial" w:eastAsia="Arial" w:hAnsi="Arial"/>
          <w:sz w:val="16"/>
          <w:szCs w:val="16"/>
          <w:color w:val="00A1DF"/>
        </w:rPr>
      </w:pPr>
      <w:r>
        <w:rPr>
          <w:rFonts w:ascii="Arial" w:cs="Arial" w:eastAsia="Arial" w:hAnsi="Arial"/>
          <w:sz w:val="16"/>
          <w:szCs w:val="16"/>
          <w:color w:val="auto"/>
        </w:rPr>
        <w:t>GM reported strong full-year 2018 earnings driven by strong pricing, surging crossover sales, successful execution of the Company’s light-duty full-size truck launch, growth of GM Financial earnings, and disciplined cost control.</w:t>
      </w:r>
    </w:p>
    <w:p>
      <w:pPr>
        <w:spacing w:after="0" w:line="87" w:lineRule="exact"/>
        <w:rPr>
          <w:rFonts w:ascii="Arial" w:cs="Arial" w:eastAsia="Arial" w:hAnsi="Arial"/>
          <w:sz w:val="16"/>
          <w:szCs w:val="16"/>
          <w:color w:val="00A1DF"/>
        </w:rPr>
      </w:pPr>
    </w:p>
    <w:p>
      <w:pPr>
        <w:ind w:left="860" w:right="140" w:hanging="326"/>
        <w:spacing w:after="0" w:line="277" w:lineRule="auto"/>
        <w:tabs>
          <w:tab w:leader="none" w:pos="789" w:val="left"/>
        </w:tabs>
        <w:numPr>
          <w:ilvl w:val="0"/>
          <w:numId w:val="5"/>
        </w:numPr>
        <w:rPr>
          <w:rFonts w:ascii="Arial" w:cs="Arial" w:eastAsia="Arial" w:hAnsi="Arial"/>
          <w:sz w:val="16"/>
          <w:szCs w:val="16"/>
          <w:color w:val="00A1DF"/>
        </w:rPr>
      </w:pPr>
      <w:r>
        <w:rPr>
          <w:rFonts w:ascii="Arial" w:cs="Arial" w:eastAsia="Arial" w:hAnsi="Arial"/>
          <w:sz w:val="16"/>
          <w:szCs w:val="16"/>
          <w:color w:val="auto"/>
        </w:rPr>
        <w:t>In November 2018, the Company announced steps to align its product portfolio and capacity in North America with changed consumer preferences and transform its workforce to position the Company for long-term success.</w:t>
      </w:r>
    </w:p>
    <w:p>
      <w:pPr>
        <w:spacing w:after="0" w:line="87" w:lineRule="exact"/>
        <w:rPr>
          <w:rFonts w:ascii="Arial" w:cs="Arial" w:eastAsia="Arial" w:hAnsi="Arial"/>
          <w:sz w:val="16"/>
          <w:szCs w:val="16"/>
          <w:color w:val="00A1DF"/>
        </w:rPr>
      </w:pPr>
    </w:p>
    <w:p>
      <w:pPr>
        <w:ind w:left="860" w:right="140" w:hanging="326"/>
        <w:spacing w:after="0" w:line="262" w:lineRule="auto"/>
        <w:tabs>
          <w:tab w:leader="none" w:pos="789" w:val="left"/>
        </w:tabs>
        <w:numPr>
          <w:ilvl w:val="0"/>
          <w:numId w:val="5"/>
        </w:numPr>
        <w:rPr>
          <w:rFonts w:ascii="Arial" w:cs="Arial" w:eastAsia="Arial" w:hAnsi="Arial"/>
          <w:sz w:val="16"/>
          <w:szCs w:val="16"/>
          <w:color w:val="00A1DF"/>
        </w:rPr>
      </w:pPr>
      <w:r>
        <w:rPr>
          <w:rFonts w:ascii="Arial" w:cs="Arial" w:eastAsia="Arial" w:hAnsi="Arial"/>
          <w:sz w:val="16"/>
          <w:szCs w:val="16"/>
          <w:color w:val="auto"/>
        </w:rPr>
        <w:t>GM introduced the first production-ready autonomous vehicle built to operate safely with no driver or manual controls. GM Cruise has secured commitments of more than $5 billion from external investors who are attracted to Cruise’s integrated approach to software and hardware development.</w:t>
      </w:r>
    </w:p>
    <w:p>
      <w:pPr>
        <w:spacing w:after="0" w:line="98" w:lineRule="exact"/>
        <w:rPr>
          <w:rFonts w:ascii="Arial" w:cs="Arial" w:eastAsia="Arial" w:hAnsi="Arial"/>
          <w:sz w:val="16"/>
          <w:szCs w:val="16"/>
          <w:color w:val="00A1DF"/>
        </w:rPr>
      </w:pPr>
    </w:p>
    <w:p>
      <w:pPr>
        <w:ind w:left="780" w:hanging="246"/>
        <w:spacing w:after="0"/>
        <w:tabs>
          <w:tab w:leader="none" w:pos="780" w:val="left"/>
        </w:tabs>
        <w:numPr>
          <w:ilvl w:val="0"/>
          <w:numId w:val="5"/>
        </w:numPr>
        <w:rPr>
          <w:rFonts w:ascii="Arial" w:cs="Arial" w:eastAsia="Arial" w:hAnsi="Arial"/>
          <w:sz w:val="16"/>
          <w:szCs w:val="16"/>
          <w:color w:val="00A1DF"/>
        </w:rPr>
      </w:pPr>
      <w:r>
        <w:rPr>
          <w:rFonts w:ascii="Arial" w:cs="Arial" w:eastAsia="Arial" w:hAnsi="Arial"/>
          <w:sz w:val="16"/>
          <w:szCs w:val="16"/>
          <w:color w:val="auto"/>
        </w:rPr>
        <w:t>GM Financial had record full-year earnings and revenue performance in 2018.</w:t>
      </w:r>
    </w:p>
    <w:p>
      <w:pPr>
        <w:spacing w:after="0" w:line="139" w:lineRule="exact"/>
        <w:rPr>
          <w:rFonts w:ascii="Arial" w:cs="Arial" w:eastAsia="Arial" w:hAnsi="Arial"/>
          <w:sz w:val="16"/>
          <w:szCs w:val="16"/>
          <w:color w:val="00A1DF"/>
        </w:rPr>
      </w:pPr>
    </w:p>
    <w:p>
      <w:pPr>
        <w:ind w:left="860" w:right="120" w:hanging="326"/>
        <w:spacing w:after="0" w:line="277" w:lineRule="auto"/>
        <w:tabs>
          <w:tab w:leader="none" w:pos="789" w:val="left"/>
        </w:tabs>
        <w:numPr>
          <w:ilvl w:val="0"/>
          <w:numId w:val="5"/>
        </w:numPr>
        <w:rPr>
          <w:rFonts w:ascii="Arial" w:cs="Arial" w:eastAsia="Arial" w:hAnsi="Arial"/>
          <w:sz w:val="16"/>
          <w:szCs w:val="16"/>
          <w:color w:val="00A1DF"/>
        </w:rPr>
      </w:pPr>
      <w:r>
        <w:rPr>
          <w:rFonts w:ascii="Arial" w:cs="Arial" w:eastAsia="Arial" w:hAnsi="Arial"/>
          <w:sz w:val="16"/>
          <w:szCs w:val="16"/>
          <w:color w:val="auto"/>
        </w:rPr>
        <w:t>In the U.S., GM delivered nearly 3 million vehicles, helped by crossover sales that topped 1 million for the year. Average transaction prices (“ATPs”) were a record of nearly $36,000, while incentives as a percent of ATPs fell 0.3% year over year.</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A0"/>
        </w:rPr>
        <w:t>COMPARISON OF CUMULATIVE TOTAL RETURN</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Cumulative Value of $100 Investment Through December 31, 2018</w:t>
      </w:r>
    </w:p>
    <w:p>
      <w:pPr>
        <w:spacing w:after="0" w:line="179" w:lineRule="exact"/>
        <w:rPr>
          <w:sz w:val="20"/>
          <w:szCs w:val="20"/>
          <w:color w:val="auto"/>
        </w:rPr>
      </w:pPr>
    </w:p>
    <w:p>
      <w:pPr>
        <w:jc w:val="both"/>
        <w:ind w:left="6820"/>
        <w:spacing w:after="0" w:line="237" w:lineRule="auto"/>
        <w:rPr>
          <w:sz w:val="20"/>
          <w:szCs w:val="20"/>
          <w:color w:val="auto"/>
        </w:rPr>
      </w:pPr>
      <w:r>
        <w:rPr>
          <w:rFonts w:ascii="Arial" w:cs="Arial" w:eastAsia="Arial" w:hAnsi="Arial"/>
          <w:sz w:val="22"/>
          <w:szCs w:val="22"/>
          <w:b w:val="1"/>
          <w:bCs w:val="1"/>
          <w:color w:val="0033A0"/>
        </w:rPr>
        <w:t>“GM delivered another strong year of earnings in a highly volatile environment in 2018. We will continue to make bold decisions to lead the transformation of this industry and drive significant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-930275</wp:posOffset>
            </wp:positionV>
            <wp:extent cx="3546475" cy="2261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6475" cy="2261235"/>
                    </a:xfrm>
                    <a:prstGeom prst="rect">
                      <a:avLst/>
                    </a:prstGeom>
                    <a:noFill/>
                  </pic:spPr>
                </pic:pic>
              </a:graphicData>
            </a:graphic>
          </wp:anchor>
        </w:drawing>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Mary Barra, 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1162050</wp:posOffset>
            </wp:positionV>
            <wp:extent cx="68529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4</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Our Capital Allocation Framework</w:t>
      </w:r>
    </w:p>
    <w:p>
      <w:pPr>
        <w:spacing w:after="0" w:line="187"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Your Board takes its role as the steward of your capital seriously. As a result, your Board has worked closely with management to establish a disciplined and transparent Capital Allocation Framework designed to drive long-term shareholder value. The Framework consists of the following three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122555</wp:posOffset>
            </wp:positionV>
            <wp:extent cx="6167120" cy="13963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67120" cy="139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33A0"/>
        </w:rPr>
        <w:t>Capital Allocation Oversight: Strategic Transformation</w:t>
      </w:r>
    </w:p>
    <w:p>
      <w:pPr>
        <w:spacing w:after="0" w:line="213"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Your Board, together with its Finance and Audit Committees, oversees GM’s critical capital allocation decisions, including establishing and maintaining the dividend rate, pursuing strategic investments, approving medium- and long-term capital plans, and maintaining GM’s overall liquidity. In November 2018, GM announced proactive steps to improve its overall business performance by driving cost efficiencies, lowering capital expenditures, and realigning manufacturing capacity with changed consumer preferences. These actions not only are expected to result in significantly improved adjusted automotive free cash flow by the end of 2020, but also will enable GM to allocate more resources to the future of mobility over the next two years. Your Board worked with management to ensure that this strategic transformation was undertaken in accordance with our Capital Allocation Framework, including by securing a $ 3 billion revolving credit facility to maintain liquidity and financial flexibility while funding immediate transformation costs. Your Board believes that over the long term, these bold decisions will enable GM to generate additional cash to fund reinvestment in higher-return growth opportunities, maintain a healthy balance sheet, and return additional cash to shareholders.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33A0"/>
        </w:rPr>
        <w:t>Reinvesting to Drive Growth and Returning Available Cash to Shareholders</w:t>
      </w:r>
    </w:p>
    <w:p>
      <w:pPr>
        <w:spacing w:after="0" w:line="20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Since 2011, GM has returned more than $25 billion to shareholders through dividends and share repurchases, while continuing to make investments in higher-return opportunities that have enhanced our ability to lead in the future of mobility and strengthened our core business. Key investments include GM’s 2016 decisions to invest in the ride-sharing company Lyft, Inc., (“Lyft”) and acquire Cruise Automation, Inc. The latter is now our subsidiary tasked with the development and commercialization of our AV technology. These strategic investments have been validated as our investment in Lyft has appreciated and Cruise has attracted $5 billion in external capital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86360</wp:posOffset>
            </wp:positionV>
            <wp:extent cx="6758305"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21" w:lineRule="exact"/>
        <w:rPr>
          <w:sz w:val="20"/>
          <w:szCs w:val="20"/>
          <w:color w:val="auto"/>
        </w:rPr>
      </w:pPr>
    </w:p>
    <w:p>
      <w:pPr>
        <w:ind w:left="11020"/>
        <w:spacing w:after="0"/>
        <w:rPr>
          <w:sz w:val="20"/>
          <w:szCs w:val="20"/>
          <w:color w:val="auto"/>
        </w:rPr>
      </w:pPr>
      <w:r>
        <w:rPr>
          <w:rFonts w:ascii="Arial" w:cs="Arial" w:eastAsia="Arial" w:hAnsi="Arial"/>
          <w:sz w:val="14"/>
          <w:szCs w:val="14"/>
          <w:color w:val="0033A0"/>
        </w:rPr>
        <w:t>5</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Executive Compensation Highlights</w:t>
      </w:r>
    </w:p>
    <w:p>
      <w:pPr>
        <w:spacing w:after="0" w:line="227"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We provide highlights of our compensation program below. Please review our Compensation Discussion and Analysis beginning on page 38 and the accompanying compensation tables beginning on page 58 of this Proxy Statement for a complete discussion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139700</wp:posOffset>
            </wp:positionV>
            <wp:extent cx="6167120" cy="1781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67120" cy="178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33A0"/>
        </w:rPr>
        <w:t>Performance-Based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168275</wp:posOffset>
            </wp:positionV>
            <wp:extent cx="5833110" cy="2827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3110" cy="282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33A0"/>
        </w:rPr>
        <w:t>2018 Summary Compensation Snapshot</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2220" w:type="dxa"/>
            <w:vAlign w:val="bottom"/>
            <w:tcBorders>
              <w:top w:val="single" w:sz="8" w:color="00A1DF"/>
            </w:tcBorders>
          </w:tcPr>
          <w:p>
            <w:pPr>
              <w:spacing w:after="0"/>
              <w:rPr>
                <w:sz w:val="14"/>
                <w:szCs w:val="14"/>
                <w:color w:val="auto"/>
              </w:rPr>
            </w:pPr>
          </w:p>
        </w:tc>
        <w:tc>
          <w:tcPr>
            <w:tcW w:w="1340" w:type="dxa"/>
            <w:vAlign w:val="bottom"/>
            <w:tcBorders>
              <w:top w:val="single" w:sz="8" w:color="00A1DF"/>
            </w:tcBorders>
          </w:tcPr>
          <w:p>
            <w:pPr>
              <w:spacing w:after="0"/>
              <w:rPr>
                <w:sz w:val="14"/>
                <w:szCs w:val="14"/>
                <w:color w:val="auto"/>
              </w:rPr>
            </w:pPr>
          </w:p>
        </w:tc>
        <w:tc>
          <w:tcPr>
            <w:tcW w:w="720" w:type="dxa"/>
            <w:vAlign w:val="bottom"/>
            <w:tcBorders>
              <w:top w:val="single" w:sz="8" w:color="00A1DF"/>
            </w:tcBorders>
          </w:tcPr>
          <w:p>
            <w:pPr>
              <w:spacing w:after="0"/>
              <w:rPr>
                <w:sz w:val="14"/>
                <w:szCs w:val="14"/>
                <w:color w:val="auto"/>
              </w:rPr>
            </w:pPr>
          </w:p>
        </w:tc>
        <w:tc>
          <w:tcPr>
            <w:tcW w:w="1020" w:type="dxa"/>
            <w:vAlign w:val="bottom"/>
            <w:tcBorders>
              <w:top w:val="single" w:sz="8" w:color="00A1DF"/>
            </w:tcBorders>
          </w:tcPr>
          <w:p>
            <w:pPr>
              <w:spacing w:after="0"/>
              <w:rPr>
                <w:sz w:val="14"/>
                <w:szCs w:val="14"/>
                <w:color w:val="auto"/>
              </w:rPr>
            </w:pPr>
          </w:p>
        </w:tc>
        <w:tc>
          <w:tcPr>
            <w:tcW w:w="920" w:type="dxa"/>
            <w:vAlign w:val="bottom"/>
            <w:tcBorders>
              <w:top w:val="single" w:sz="8" w:color="00A1DF"/>
            </w:tcBorders>
          </w:tcPr>
          <w:p>
            <w:pPr>
              <w:spacing w:after="0"/>
              <w:rPr>
                <w:sz w:val="14"/>
                <w:szCs w:val="14"/>
                <w:color w:val="auto"/>
              </w:rPr>
            </w:pPr>
          </w:p>
        </w:tc>
        <w:tc>
          <w:tcPr>
            <w:tcW w:w="1260" w:type="dxa"/>
            <w:vAlign w:val="bottom"/>
            <w:tcBorders>
              <w:top w:val="single" w:sz="8" w:color="00A1DF"/>
            </w:tcBorders>
          </w:tcPr>
          <w:p>
            <w:pPr>
              <w:spacing w:after="0"/>
              <w:rPr>
                <w:sz w:val="14"/>
                <w:szCs w:val="14"/>
                <w:color w:val="auto"/>
              </w:rPr>
            </w:pPr>
          </w:p>
        </w:tc>
        <w:tc>
          <w:tcPr>
            <w:tcW w:w="1280" w:type="dxa"/>
            <w:vAlign w:val="bottom"/>
            <w:tcBorders>
              <w:top w:val="single" w:sz="8" w:color="00A1DF"/>
            </w:tcBorders>
          </w:tcPr>
          <w:p>
            <w:pPr>
              <w:jc w:val="right"/>
              <w:ind w:right="24"/>
              <w:spacing w:after="0" w:line="167" w:lineRule="exact"/>
              <w:rPr>
                <w:sz w:val="20"/>
                <w:szCs w:val="20"/>
                <w:color w:val="auto"/>
              </w:rPr>
            </w:pPr>
            <w:r>
              <w:rPr>
                <w:rFonts w:ascii="Arial" w:cs="Arial" w:eastAsia="Arial" w:hAnsi="Arial"/>
                <w:sz w:val="15"/>
                <w:szCs w:val="15"/>
                <w:b w:val="1"/>
                <w:bCs w:val="1"/>
                <w:color w:val="00A1DF"/>
              </w:rPr>
              <w:t>Change in</w:t>
            </w:r>
          </w:p>
        </w:tc>
        <w:tc>
          <w:tcPr>
            <w:tcW w:w="1280" w:type="dxa"/>
            <w:vAlign w:val="bottom"/>
            <w:tcBorders>
              <w:top w:val="single" w:sz="8" w:color="00A1DF"/>
            </w:tcBorders>
          </w:tcPr>
          <w:p>
            <w:pPr>
              <w:spacing w:after="0"/>
              <w:rPr>
                <w:sz w:val="14"/>
                <w:szCs w:val="14"/>
                <w:color w:val="auto"/>
              </w:rPr>
            </w:pPr>
          </w:p>
        </w:tc>
        <w:tc>
          <w:tcPr>
            <w:tcW w:w="960" w:type="dxa"/>
            <w:vAlign w:val="bottom"/>
            <w:tcBorders>
              <w:top w:val="single" w:sz="8" w:color="00A1DF"/>
            </w:tcBorders>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Pension</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Value and</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Nonequity</w:t>
            </w: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NQ Deferred</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Stock</w:t>
            </w:r>
          </w:p>
        </w:tc>
        <w:tc>
          <w:tcPr>
            <w:tcW w:w="9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Option</w:t>
            </w:r>
          </w:p>
        </w:tc>
        <w:tc>
          <w:tcPr>
            <w:tcW w:w="126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Incentive Plan</w:t>
            </w: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Compensation</w:t>
            </w: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All Other</w:t>
            </w:r>
          </w:p>
        </w:tc>
        <w:tc>
          <w:tcPr>
            <w:tcW w:w="96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134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Salary</w:t>
            </w:r>
          </w:p>
        </w:tc>
        <w:tc>
          <w:tcPr>
            <w:tcW w:w="7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00A1DF"/>
              </w:rPr>
              <w:t>Bonus</w:t>
            </w:r>
          </w:p>
        </w:tc>
        <w:tc>
          <w:tcPr>
            <w:tcW w:w="102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Awards</w:t>
            </w:r>
          </w:p>
        </w:tc>
        <w:tc>
          <w:tcPr>
            <w:tcW w:w="9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Awards</w:t>
            </w:r>
          </w:p>
        </w:tc>
        <w:tc>
          <w:tcPr>
            <w:tcW w:w="126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Compensation</w:t>
            </w: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Earnings</w:t>
            </w: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Compensation</w:t>
            </w:r>
          </w:p>
        </w:tc>
        <w:tc>
          <w:tcPr>
            <w:tcW w:w="96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Total</w:t>
            </w:r>
          </w:p>
        </w:tc>
      </w:tr>
      <w:tr>
        <w:trPr>
          <w:trHeight w:val="197"/>
        </w:trPr>
        <w:tc>
          <w:tcPr>
            <w:tcW w:w="222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340" w:type="dxa"/>
            <w:vAlign w:val="bottom"/>
            <w:tcBorders>
              <w:bottom w:val="single" w:sz="8" w:color="00A1DF"/>
            </w:tcBorders>
          </w:tcPr>
          <w:p>
            <w:pPr>
              <w:jc w:val="right"/>
              <w:ind w:right="24"/>
              <w:spacing w:after="0"/>
              <w:rPr>
                <w:sz w:val="20"/>
                <w:szCs w:val="20"/>
                <w:color w:val="auto"/>
              </w:rPr>
            </w:pPr>
            <w:r>
              <w:rPr>
                <w:rFonts w:ascii="Arial" w:cs="Arial" w:eastAsia="Arial" w:hAnsi="Arial"/>
                <w:sz w:val="15"/>
                <w:szCs w:val="15"/>
                <w:b w:val="1"/>
                <w:bCs w:val="1"/>
                <w:color w:val="00A1DF"/>
              </w:rPr>
              <w:t>($)</w:t>
            </w:r>
          </w:p>
        </w:tc>
        <w:tc>
          <w:tcPr>
            <w:tcW w:w="720" w:type="dxa"/>
            <w:vAlign w:val="bottom"/>
            <w:tcBorders>
              <w:bottom w:val="single" w:sz="8" w:color="00A1DF"/>
            </w:tcBorders>
          </w:tcPr>
          <w:p>
            <w:pPr>
              <w:jc w:val="right"/>
              <w:ind w:right="64"/>
              <w:spacing w:after="0"/>
              <w:rPr>
                <w:sz w:val="20"/>
                <w:szCs w:val="20"/>
                <w:color w:val="auto"/>
              </w:rPr>
            </w:pPr>
            <w:r>
              <w:rPr>
                <w:rFonts w:ascii="Arial" w:cs="Arial" w:eastAsia="Arial" w:hAnsi="Arial"/>
                <w:sz w:val="15"/>
                <w:szCs w:val="15"/>
                <w:b w:val="1"/>
                <w:bCs w:val="1"/>
                <w:color w:val="00A1DF"/>
              </w:rPr>
              <w:t>($)</w:t>
            </w:r>
          </w:p>
        </w:tc>
        <w:tc>
          <w:tcPr>
            <w:tcW w:w="102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w:t>
            </w:r>
          </w:p>
        </w:tc>
        <w:tc>
          <w:tcPr>
            <w:tcW w:w="920" w:type="dxa"/>
            <w:vAlign w:val="bottom"/>
            <w:tcBorders>
              <w:bottom w:val="single" w:sz="8" w:color="00A1DF"/>
            </w:tcBorders>
          </w:tcPr>
          <w:p>
            <w:pPr>
              <w:jc w:val="right"/>
              <w:ind w:right="24"/>
              <w:spacing w:after="0"/>
              <w:rPr>
                <w:sz w:val="20"/>
                <w:szCs w:val="20"/>
                <w:color w:val="auto"/>
              </w:rPr>
            </w:pPr>
            <w:r>
              <w:rPr>
                <w:rFonts w:ascii="Arial" w:cs="Arial" w:eastAsia="Arial" w:hAnsi="Arial"/>
                <w:sz w:val="15"/>
                <w:szCs w:val="15"/>
                <w:b w:val="1"/>
                <w:bCs w:val="1"/>
                <w:color w:val="00A1DF"/>
              </w:rPr>
              <w:t>($)</w:t>
            </w:r>
          </w:p>
        </w:tc>
        <w:tc>
          <w:tcPr>
            <w:tcW w:w="1260" w:type="dxa"/>
            <w:vAlign w:val="bottom"/>
            <w:tcBorders>
              <w:bottom w:val="single" w:sz="8" w:color="00A1DF"/>
            </w:tcBorders>
          </w:tcPr>
          <w:p>
            <w:pPr>
              <w:jc w:val="right"/>
              <w:ind w:right="24"/>
              <w:spacing w:after="0"/>
              <w:rPr>
                <w:sz w:val="20"/>
                <w:szCs w:val="20"/>
                <w:color w:val="auto"/>
              </w:rPr>
            </w:pPr>
            <w:r>
              <w:rPr>
                <w:rFonts w:ascii="Arial" w:cs="Arial" w:eastAsia="Arial" w:hAnsi="Arial"/>
                <w:sz w:val="15"/>
                <w:szCs w:val="15"/>
                <w:b w:val="1"/>
                <w:bCs w:val="1"/>
                <w:color w:val="00A1DF"/>
              </w:rPr>
              <w:t>($)</w:t>
            </w:r>
          </w:p>
        </w:tc>
        <w:tc>
          <w:tcPr>
            <w:tcW w:w="1280" w:type="dxa"/>
            <w:vAlign w:val="bottom"/>
            <w:tcBorders>
              <w:bottom w:val="single" w:sz="8" w:color="00A1DF"/>
            </w:tcBorders>
          </w:tcPr>
          <w:p>
            <w:pPr>
              <w:jc w:val="right"/>
              <w:ind w:right="24"/>
              <w:spacing w:after="0"/>
              <w:rPr>
                <w:sz w:val="20"/>
                <w:szCs w:val="20"/>
                <w:color w:val="auto"/>
              </w:rPr>
            </w:pPr>
            <w:r>
              <w:rPr>
                <w:rFonts w:ascii="Arial" w:cs="Arial" w:eastAsia="Arial" w:hAnsi="Arial"/>
                <w:sz w:val="15"/>
                <w:szCs w:val="15"/>
                <w:b w:val="1"/>
                <w:bCs w:val="1"/>
                <w:color w:val="00A1DF"/>
              </w:rPr>
              <w:t>($)</w:t>
            </w:r>
          </w:p>
        </w:tc>
        <w:tc>
          <w:tcPr>
            <w:tcW w:w="128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w:t>
            </w:r>
          </w:p>
        </w:tc>
        <w:tc>
          <w:tcPr>
            <w:tcW w:w="96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w:t>
            </w:r>
          </w:p>
        </w:tc>
      </w:tr>
      <w:tr>
        <w:trPr>
          <w:trHeight w:val="223"/>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Mary T. Barra</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2,100,000</w:t>
            </w: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11,081,760</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3,425,006</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4,452,000</w:t>
            </w: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811,684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21,870,450</w:t>
            </w:r>
          </w:p>
        </w:tc>
      </w:tr>
      <w:tr>
        <w:trPr>
          <w:trHeight w:val="223"/>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Dhivya Suryadevara</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668,100</w:t>
            </w: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2,446,635</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796,263</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1,192,500</w:t>
            </w: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402,592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5,506,090</w:t>
            </w:r>
          </w:p>
        </w:tc>
      </w:tr>
      <w:tr>
        <w:trPr>
          <w:trHeight w:val="223"/>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Daniel Ammann</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1,450,000</w:t>
            </w: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3,993,891</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1,234,383</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1,921,300</w:t>
            </w: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372,307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8,971,881</w:t>
            </w:r>
          </w:p>
        </w:tc>
      </w:tr>
      <w:tr>
        <w:trPr>
          <w:trHeight w:val="223"/>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Mark L. Reuss</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1,200,000</w:t>
            </w: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3,276,007</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1,012,504</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1,590,000</w:t>
            </w: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277,579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7,356,090</w:t>
            </w:r>
          </w:p>
        </w:tc>
      </w:tr>
      <w:tr>
        <w:trPr>
          <w:trHeight w:val="223"/>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Alan S. Batey</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1,025,000</w:t>
            </w: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2,178,894</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673,429</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1,230,000</w:t>
            </w: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233,197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5,340,520</w:t>
            </w:r>
          </w:p>
        </w:tc>
      </w:tr>
      <w:tr>
        <w:trPr>
          <w:trHeight w:val="223"/>
        </w:trPr>
        <w:tc>
          <w:tcPr>
            <w:tcW w:w="22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auto"/>
              </w:rPr>
              <w:t>Charles K. Stevens, III</w:t>
            </w:r>
          </w:p>
        </w:tc>
        <w:tc>
          <w:tcPr>
            <w:tcW w:w="1340" w:type="dxa"/>
            <w:vAlign w:val="bottom"/>
            <w:tcBorders>
              <w:bottom w:val="single" w:sz="8" w:color="0033A0"/>
            </w:tcBorders>
          </w:tcPr>
          <w:p>
            <w:pPr>
              <w:jc w:val="right"/>
              <w:ind w:right="24"/>
              <w:spacing w:after="0"/>
              <w:rPr>
                <w:sz w:val="20"/>
                <w:szCs w:val="20"/>
                <w:color w:val="auto"/>
              </w:rPr>
            </w:pPr>
            <w:r>
              <w:rPr>
                <w:rFonts w:ascii="Arial" w:cs="Arial" w:eastAsia="Arial" w:hAnsi="Arial"/>
                <w:sz w:val="15"/>
                <w:szCs w:val="15"/>
                <w:color w:val="auto"/>
              </w:rPr>
              <w:t>1,100,000</w:t>
            </w:r>
          </w:p>
        </w:tc>
        <w:tc>
          <w:tcPr>
            <w:tcW w:w="720" w:type="dxa"/>
            <w:vAlign w:val="bottom"/>
            <w:tcBorders>
              <w:bottom w:val="single" w:sz="8" w:color="0033A0"/>
            </w:tcBorders>
          </w:tcPr>
          <w:p>
            <w:pPr>
              <w:jc w:val="right"/>
              <w:ind w:right="6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3,255,775</w:t>
            </w:r>
          </w:p>
        </w:tc>
        <w:tc>
          <w:tcPr>
            <w:tcW w:w="920" w:type="dxa"/>
            <w:vAlign w:val="bottom"/>
            <w:tcBorders>
              <w:bottom w:val="single" w:sz="8" w:color="0033A0"/>
            </w:tcBorders>
          </w:tcPr>
          <w:p>
            <w:pPr>
              <w:jc w:val="right"/>
              <w:ind w:right="24"/>
              <w:spacing w:after="0"/>
              <w:rPr>
                <w:sz w:val="20"/>
                <w:szCs w:val="20"/>
                <w:color w:val="auto"/>
              </w:rPr>
            </w:pPr>
            <w:r>
              <w:rPr>
                <w:rFonts w:ascii="Arial" w:cs="Arial" w:eastAsia="Arial" w:hAnsi="Arial"/>
                <w:sz w:val="15"/>
                <w:szCs w:val="15"/>
                <w:color w:val="auto"/>
              </w:rPr>
              <w:t>1,006,252</w:t>
            </w:r>
          </w:p>
        </w:tc>
        <w:tc>
          <w:tcPr>
            <w:tcW w:w="1260" w:type="dxa"/>
            <w:vAlign w:val="bottom"/>
            <w:tcBorders>
              <w:bottom w:val="single" w:sz="8" w:color="0033A0"/>
            </w:tcBorders>
          </w:tcPr>
          <w:p>
            <w:pPr>
              <w:jc w:val="right"/>
              <w:ind w:right="24"/>
              <w:spacing w:after="0"/>
              <w:rPr>
                <w:sz w:val="20"/>
                <w:szCs w:val="20"/>
                <w:color w:val="auto"/>
              </w:rPr>
            </w:pPr>
            <w:r>
              <w:rPr>
                <w:rFonts w:ascii="Arial" w:cs="Arial" w:eastAsia="Arial" w:hAnsi="Arial"/>
                <w:sz w:val="15"/>
                <w:szCs w:val="15"/>
                <w:color w:val="auto"/>
              </w:rPr>
              <w:t>1,320,000</w:t>
            </w:r>
          </w:p>
        </w:tc>
        <w:tc>
          <w:tcPr>
            <w:tcW w:w="1280" w:type="dxa"/>
            <w:vAlign w:val="bottom"/>
            <w:tcBorders>
              <w:bottom w:val="single" w:sz="8" w:color="0033A0"/>
            </w:tcBorders>
          </w:tcPr>
          <w:p>
            <w:pPr>
              <w:jc w:val="right"/>
              <w:ind w:right="2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257,153</w:t>
            </w:r>
          </w:p>
        </w:tc>
        <w:tc>
          <w:tcPr>
            <w:tcW w:w="96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6,939,180</w:t>
            </w:r>
          </w:p>
        </w:tc>
      </w:tr>
    </w:tbl>
    <w:p>
      <w:pPr>
        <w:spacing w:after="0" w:line="4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Note: For additional information on the table above, please see the Summary Compensation Table in “Executive Compensation” on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100965</wp:posOffset>
            </wp:positionV>
            <wp:extent cx="68529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6</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Environmental and Sustainability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160020</wp:posOffset>
            </wp:positionV>
            <wp:extent cx="6758305" cy="78289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58305" cy="782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020"/>
        <w:spacing w:after="0"/>
        <w:rPr>
          <w:sz w:val="20"/>
          <w:szCs w:val="20"/>
          <w:color w:val="auto"/>
        </w:rPr>
      </w:pPr>
      <w:r>
        <w:rPr>
          <w:rFonts w:ascii="Arial" w:cs="Arial" w:eastAsia="Arial" w:hAnsi="Arial"/>
          <w:sz w:val="14"/>
          <w:szCs w:val="14"/>
          <w:color w:val="0033A0"/>
        </w:rPr>
        <w:t>7</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20"/>
        <w:spacing w:after="0"/>
        <w:rPr>
          <w:sz w:val="20"/>
          <w:szCs w:val="20"/>
          <w:color w:val="auto"/>
        </w:rPr>
      </w:pPr>
      <w:r>
        <w:rPr>
          <w:rFonts w:ascii="Arial" w:cs="Arial" w:eastAsia="Arial" w:hAnsi="Arial"/>
          <w:sz w:val="37"/>
          <w:szCs w:val="37"/>
          <w:b w:val="1"/>
          <w:bCs w:val="1"/>
          <w:color w:val="00A1DF"/>
        </w:rPr>
        <w:t xml:space="preserve">ITEM NO. 1 </w:t>
      </w:r>
      <w:r>
        <w:rPr>
          <w:rFonts w:ascii="Arial" w:cs="Arial" w:eastAsia="Arial" w:hAnsi="Arial"/>
          <w:sz w:val="37"/>
          <w:szCs w:val="37"/>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191770</wp:posOffset>
            </wp:positionV>
            <wp:extent cx="7023735" cy="984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373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Overview of Your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322580</wp:posOffset>
            </wp:positionV>
            <wp:extent cx="6852920" cy="5876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2920" cy="587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8</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64585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89445" cy="645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020"/>
        <w:spacing w:after="0"/>
        <w:rPr>
          <w:sz w:val="20"/>
          <w:szCs w:val="20"/>
          <w:color w:val="auto"/>
        </w:rPr>
      </w:pPr>
      <w:r>
        <w:rPr>
          <w:rFonts w:ascii="Arial" w:cs="Arial" w:eastAsia="Arial" w:hAnsi="Arial"/>
          <w:sz w:val="14"/>
          <w:szCs w:val="14"/>
          <w:color w:val="0033A0"/>
        </w:rPr>
        <w:t>9</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33A0"/>
        </w:rPr>
        <w:t>Diversity of Skills, Qualifications, and Experience</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Your Board nominees offer a diverse range of skills and experience in relevant areas.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280" w:type="dxa"/>
            <w:vAlign w:val="bottom"/>
          </w:tcPr>
          <w:p>
            <w:pPr>
              <w:jc w:val="center"/>
              <w:spacing w:after="0"/>
              <w:rPr>
                <w:sz w:val="20"/>
                <w:szCs w:val="20"/>
                <w:color w:val="auto"/>
              </w:rPr>
            </w:pPr>
            <w:r>
              <w:rPr>
                <w:rFonts w:ascii="Arial" w:cs="Arial" w:eastAsia="Arial" w:hAnsi="Arial"/>
                <w:sz w:val="13"/>
                <w:szCs w:val="13"/>
                <w:b w:val="1"/>
                <w:bCs w:val="1"/>
                <w:color w:val="00A1DF"/>
                <w:w w:val="97"/>
              </w:rPr>
              <w:t>SKILL/</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7"/>
        </w:trPr>
        <w:tc>
          <w:tcPr>
            <w:tcW w:w="128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00A1DF"/>
                <w:w w:val="96"/>
              </w:rPr>
              <w:t>QUALIFICATION</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7"/>
              </w:rPr>
              <w:t>BARRA</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6"/>
              </w:rPr>
              <w:t>SOLSO</w:t>
            </w:r>
          </w:p>
        </w:tc>
        <w:tc>
          <w:tcPr>
            <w:tcW w:w="82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7"/>
              </w:rPr>
              <w:t>BUSH</w:t>
            </w:r>
          </w:p>
        </w:tc>
        <w:tc>
          <w:tcPr>
            <w:tcW w:w="92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6"/>
              </w:rPr>
              <w:t>GOODEN</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5"/>
              </w:rPr>
              <w:t>JIMENEZ</w:t>
            </w:r>
          </w:p>
        </w:tc>
        <w:tc>
          <w:tcPr>
            <w:tcW w:w="96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7"/>
              </w:rPr>
              <w:t>MENDILLO</w:t>
            </w:r>
          </w:p>
        </w:tc>
        <w:tc>
          <w:tcPr>
            <w:tcW w:w="82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6"/>
              </w:rPr>
              <w:t>MISCIK</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9"/>
              </w:rPr>
              <w:t>RUSSO</w:t>
            </w:r>
          </w:p>
        </w:tc>
        <w:tc>
          <w:tcPr>
            <w:tcW w:w="90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5"/>
              </w:rPr>
              <w:t>SCHOEWE</w:t>
            </w:r>
          </w:p>
        </w:tc>
        <w:tc>
          <w:tcPr>
            <w:tcW w:w="1120" w:type="dxa"/>
            <w:vAlign w:val="bottom"/>
            <w:tcBorders>
              <w:bottom w:val="single" w:sz="8" w:color="00A1DF"/>
            </w:tcBorders>
          </w:tcPr>
          <w:p>
            <w:pPr>
              <w:jc w:val="center"/>
              <w:ind w:right="25"/>
              <w:spacing w:after="0"/>
              <w:rPr>
                <w:sz w:val="20"/>
                <w:szCs w:val="20"/>
                <w:color w:val="auto"/>
              </w:rPr>
            </w:pPr>
            <w:r>
              <w:rPr>
                <w:rFonts w:ascii="Arial" w:cs="Arial" w:eastAsia="Arial" w:hAnsi="Arial"/>
                <w:sz w:val="13"/>
                <w:szCs w:val="13"/>
                <w:b w:val="1"/>
                <w:bCs w:val="1"/>
                <w:color w:val="auto"/>
                <w:w w:val="95"/>
              </w:rPr>
              <w:t>STEPHENSON</w:t>
            </w:r>
          </w:p>
        </w:tc>
        <w:tc>
          <w:tcPr>
            <w:tcW w:w="82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9"/>
              </w:rPr>
              <w:t>WENIG</w:t>
            </w:r>
          </w:p>
        </w:tc>
      </w:tr>
      <w:tr>
        <w:trPr>
          <w:trHeight w:val="343"/>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r>
      <w:tr>
        <w:trPr>
          <w:trHeight w:val="143"/>
        </w:trPr>
        <w:tc>
          <w:tcPr>
            <w:tcW w:w="1280" w:type="dxa"/>
            <w:vAlign w:val="bottom"/>
            <w:tcBorders>
              <w:bottom w:val="single" w:sz="8" w:color="auto"/>
            </w:tcBorders>
            <w:shd w:val="clear" w:color="auto" w:fill="E5F5FB"/>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24"/>
                <w:szCs w:val="24"/>
                <w:color w:val="auto"/>
              </w:rPr>
            </w:pP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24"/>
                <w:szCs w:val="24"/>
                <w:color w:val="auto"/>
              </w:rPr>
            </w:pPr>
          </w:p>
        </w:tc>
        <w:tc>
          <w:tcPr>
            <w:tcW w:w="1120" w:type="dxa"/>
            <w:vAlign w:val="bottom"/>
          </w:tcPr>
          <w:p>
            <w:pPr>
              <w:jc w:val="center"/>
              <w:ind w:right="25"/>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24"/>
                <w:szCs w:val="24"/>
                <w:color w:val="auto"/>
              </w:rPr>
            </w:pPr>
          </w:p>
        </w:tc>
      </w:tr>
      <w:tr>
        <w:trPr>
          <w:trHeight w:val="197"/>
        </w:trPr>
        <w:tc>
          <w:tcPr>
            <w:tcW w:w="1280" w:type="dxa"/>
            <w:vAlign w:val="bottom"/>
            <w:tcBorders>
              <w:bottom w:val="single" w:sz="8" w:color="0033A0"/>
            </w:tcBorders>
            <w:shd w:val="clear" w:color="auto" w:fill="E5F5FB"/>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c>
          <w:tcPr>
            <w:tcW w:w="820" w:type="dxa"/>
            <w:vAlign w:val="bottom"/>
            <w:tcBorders>
              <w:bottom w:val="single" w:sz="8" w:color="0033A0"/>
            </w:tcBorders>
          </w:tcPr>
          <w:p>
            <w:pPr>
              <w:spacing w:after="0"/>
              <w:rPr>
                <w:sz w:val="17"/>
                <w:szCs w:val="17"/>
                <w:color w:val="auto"/>
              </w:rPr>
            </w:pPr>
          </w:p>
        </w:tc>
        <w:tc>
          <w:tcPr>
            <w:tcW w:w="920" w:type="dxa"/>
            <w:vAlign w:val="bottom"/>
            <w:tcBorders>
              <w:bottom w:val="single" w:sz="8" w:color="0033A0"/>
            </w:tcBorders>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c>
          <w:tcPr>
            <w:tcW w:w="960" w:type="dxa"/>
            <w:vAlign w:val="bottom"/>
            <w:tcBorders>
              <w:bottom w:val="single" w:sz="8" w:color="0033A0"/>
            </w:tcBorders>
          </w:tcPr>
          <w:p>
            <w:pPr>
              <w:spacing w:after="0"/>
              <w:rPr>
                <w:sz w:val="17"/>
                <w:szCs w:val="17"/>
                <w:color w:val="auto"/>
              </w:rPr>
            </w:pPr>
          </w:p>
        </w:tc>
        <w:tc>
          <w:tcPr>
            <w:tcW w:w="820" w:type="dxa"/>
            <w:vAlign w:val="bottom"/>
            <w:tcBorders>
              <w:bottom w:val="single" w:sz="8" w:color="0033A0"/>
            </w:tcBorders>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c>
          <w:tcPr>
            <w:tcW w:w="900" w:type="dxa"/>
            <w:vAlign w:val="bottom"/>
            <w:tcBorders>
              <w:bottom w:val="single" w:sz="8" w:color="0033A0"/>
            </w:tcBorders>
          </w:tcPr>
          <w:p>
            <w:pPr>
              <w:spacing w:after="0"/>
              <w:rPr>
                <w:sz w:val="17"/>
                <w:szCs w:val="17"/>
                <w:color w:val="auto"/>
              </w:rPr>
            </w:pPr>
          </w:p>
        </w:tc>
        <w:tc>
          <w:tcPr>
            <w:tcW w:w="1120" w:type="dxa"/>
            <w:vAlign w:val="bottom"/>
            <w:tcBorders>
              <w:bottom w:val="single" w:sz="8" w:color="0033A0"/>
            </w:tcBorders>
          </w:tcPr>
          <w:p>
            <w:pPr>
              <w:spacing w:after="0"/>
              <w:rPr>
                <w:sz w:val="17"/>
                <w:szCs w:val="17"/>
                <w:color w:val="auto"/>
              </w:rPr>
            </w:pPr>
          </w:p>
        </w:tc>
        <w:tc>
          <w:tcPr>
            <w:tcW w:w="820" w:type="dxa"/>
            <w:vAlign w:val="bottom"/>
            <w:tcBorders>
              <w:bottom w:val="single" w:sz="8" w:color="0033A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-3340100</wp:posOffset>
            </wp:positionV>
            <wp:extent cx="70231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31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-2962910</wp:posOffset>
            </wp:positionV>
            <wp:extent cx="70231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31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-2586355</wp:posOffset>
            </wp:positionV>
            <wp:extent cx="70231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31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-2209165</wp:posOffset>
            </wp:positionV>
            <wp:extent cx="702310"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231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-1832610</wp:posOffset>
            </wp:positionV>
            <wp:extent cx="702310"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231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-1455420</wp:posOffset>
            </wp:positionV>
            <wp:extent cx="70231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31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-1078865</wp:posOffset>
            </wp:positionV>
            <wp:extent cx="70231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231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-325120</wp:posOffset>
            </wp:positionV>
            <wp:extent cx="70231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310" cy="308610"/>
                    </a:xfrm>
                    <a:prstGeom prst="rect">
                      <a:avLst/>
                    </a:prstGeom>
                    <a:noFill/>
                  </pic:spPr>
                </pic:pic>
              </a:graphicData>
            </a:graphic>
          </wp:anchor>
        </w:drawing>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Membership Criteria, Refreshment, and Succession Planning</w:t>
      </w:r>
    </w:p>
    <w:p>
      <w:pPr>
        <w:spacing w:after="0" w:line="20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selection of qualified directors is fundamental to the Board’s successful oversight of GM’s strategy and enterprise risks. Ensuring your Board is composed of directors who bring diverse viewpoints and perspectives, possess a variety of skills, professional experiences, and backgrounds, and effectively represent the long-term interests of shareholders is critical to your Board and the Governance Committee. The priorities for recruiting new directors are continually evolving based on the Company’s strategic needs and the skills composition of your Board at any particular time. These dynamic priorities ensure the Board remains a strategic asset capable of overseeing and helping management address the risks, trends, and opportunities that GM will face in the future.</w:t>
      </w:r>
    </w:p>
    <w:p>
      <w:pPr>
        <w:spacing w:after="0" w:line="96"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In evaluating potential director candidates, the Governance Committee considers, among other factors, the criteria shown above in the skills and qualifications matrix for current directors and any additional characteristics that it believes one or more directors should possess based on an assessment of the needs of the Board at that time. In every case, director candidates must be able to contribute significantly to your Board’s discussion and decision-making on the broad array of complex issues facing GM. The Governance Committee also engages a reputable, qualified search firm that uses our skills matrix to inform the search and help identify and evaluate potential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206375</wp:posOffset>
            </wp:positionV>
            <wp:extent cx="6158865" cy="1456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8865" cy="14560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10 </w:t>
      </w:r>
      <w:r>
        <w:rPr>
          <w:sz w:val="1"/>
          <w:szCs w:val="1"/>
          <w:color w:val="auto"/>
        </w:rPr>
        <w:drawing>
          <wp:inline distT="0" distB="0" distL="0" distR="0">
            <wp:extent cx="6852920" cy="14541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40" w:hanging="430"/>
        <w:spacing w:after="0"/>
        <w:tabs>
          <w:tab w:leader="none" w:pos="640" w:val="left"/>
        </w:tabs>
        <w:numPr>
          <w:ilvl w:val="0"/>
          <w:numId w:val="6"/>
        </w:numPr>
        <w:rPr>
          <w:rFonts w:ascii="Arial" w:cs="Arial" w:eastAsia="Arial" w:hAnsi="Arial"/>
          <w:sz w:val="25"/>
          <w:szCs w:val="25"/>
          <w:color w:val="0033A0"/>
        </w:rPr>
      </w:pPr>
      <w:r>
        <w:rPr>
          <w:rFonts w:ascii="Arial" w:cs="Arial" w:eastAsia="Arial" w:hAnsi="Arial"/>
          <w:sz w:val="25"/>
          <w:szCs w:val="25"/>
          <w:color w:val="auto"/>
        </w:rPr>
        <w:t>Board Diversity</w:t>
      </w:r>
    </w:p>
    <w:p>
      <w:pPr>
        <w:spacing w:after="0" w:line="18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Governance Committee seeks individuals with a broad range of business experience and varied backgrounds. Although GM does not have a formal policy governing diversity among directors, your Board strives to identify candidates with diverse backgrounds. We recognize the value of overall diversity and consider members’ and candidates’ opinions, perspectives, personal and professional experiences, and backgrounds, including gender, race, ethnicity, and country of origin. We believe that the judgment and perspectives offered by a diverse board of directors improves the quality of decision making and enhances the Company’s business performance. We also believe such diversity can help the Board respond more effectively to the needs of customers, shareholders, employees, suppliers, and other stakeholders.</w:t>
      </w:r>
    </w:p>
    <w:p>
      <w:pPr>
        <w:spacing w:after="0" w:line="325" w:lineRule="exact"/>
        <w:rPr>
          <w:sz w:val="20"/>
          <w:szCs w:val="20"/>
          <w:color w:val="auto"/>
        </w:rPr>
      </w:pPr>
    </w:p>
    <w:p>
      <w:pPr>
        <w:ind w:left="640" w:hanging="430"/>
        <w:spacing w:after="0"/>
        <w:tabs>
          <w:tab w:leader="none" w:pos="640" w:val="left"/>
        </w:tabs>
        <w:numPr>
          <w:ilvl w:val="0"/>
          <w:numId w:val="7"/>
        </w:numPr>
        <w:rPr>
          <w:rFonts w:ascii="Arial" w:cs="Arial" w:eastAsia="Arial" w:hAnsi="Arial"/>
          <w:sz w:val="25"/>
          <w:szCs w:val="25"/>
          <w:color w:val="0033A0"/>
        </w:rPr>
      </w:pPr>
      <w:r>
        <w:rPr>
          <w:rFonts w:ascii="Arial" w:cs="Arial" w:eastAsia="Arial" w:hAnsi="Arial"/>
          <w:sz w:val="25"/>
          <w:szCs w:val="25"/>
          <w:color w:val="auto"/>
        </w:rPr>
        <w:t>Candidate Recommendations</w:t>
      </w:r>
    </w:p>
    <w:p>
      <w:pPr>
        <w:spacing w:after="0" w:line="199"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The Governance Committee will consider persons recommended by shareholders for election to the Board. The Governance Committee will review the qualifications and experience of each recommended candidate using the same criteria for candidates proposed by Board members and communicate its decision to the candidate or the person who made the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306070</wp:posOffset>
            </wp:positionV>
            <wp:extent cx="6938645" cy="668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8645" cy="66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430"/>
        <w:spacing w:after="0"/>
        <w:tabs>
          <w:tab w:leader="none" w:pos="640" w:val="left"/>
        </w:tabs>
        <w:numPr>
          <w:ilvl w:val="0"/>
          <w:numId w:val="8"/>
        </w:numPr>
        <w:rPr>
          <w:rFonts w:ascii="Arial" w:cs="Arial" w:eastAsia="Arial" w:hAnsi="Arial"/>
          <w:sz w:val="25"/>
          <w:szCs w:val="25"/>
          <w:color w:val="0033A0"/>
        </w:rPr>
      </w:pPr>
      <w:r>
        <w:rPr>
          <w:rFonts w:ascii="Arial" w:cs="Arial" w:eastAsia="Arial" w:hAnsi="Arial"/>
          <w:sz w:val="25"/>
          <w:szCs w:val="25"/>
          <w:color w:val="auto"/>
        </w:rPr>
        <w:t>Director Recruitment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Your Board’s Nominees for Director</w:t>
      </w:r>
    </w:p>
    <w:p>
      <w:pPr>
        <w:spacing w:after="0" w:line="187"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Set forth below is important information about our director nominees. We believe each of your Board’s nominees is highly qualified with unique experiences that are particularly beneficial to GM.</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33A0"/>
        </w:rPr>
        <w:t xml:space="preserve">The Board of Directors recommends a vote </w:t>
      </w:r>
      <w:r>
        <w:rPr>
          <w:rFonts w:ascii="Arial" w:cs="Arial" w:eastAsia="Arial" w:hAnsi="Arial"/>
          <w:sz w:val="20"/>
          <w:szCs w:val="20"/>
          <w:b w:val="1"/>
          <w:bCs w:val="1"/>
          <w:u w:val="single" w:color="auto"/>
          <w:color w:val="00A1DF"/>
        </w:rPr>
        <w:t>FOR</w:t>
      </w:r>
      <w:r>
        <w:rPr>
          <w:rFonts w:ascii="Arial" w:cs="Arial" w:eastAsia="Arial" w:hAnsi="Arial"/>
          <w:sz w:val="20"/>
          <w:szCs w:val="20"/>
          <w:b w:val="1"/>
          <w:bCs w:val="1"/>
          <w:color w:val="0033A0"/>
        </w:rPr>
        <w:t xml:space="preserve"> each of the nominees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102870</wp:posOffset>
            </wp:positionV>
            <wp:extent cx="6758305" cy="128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47"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11</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291465</wp:posOffset>
            </wp:positionV>
            <wp:extent cx="1267460" cy="12674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67460" cy="126746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291465</wp:posOffset>
            </wp:positionV>
            <wp:extent cx="1267460" cy="12674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67460" cy="12674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0033A0"/>
        </w:rPr>
        <w:t>Mary T. Barra</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8"/>
          <w:szCs w:val="18"/>
          <w:i w:val="1"/>
          <w:iCs w:val="1"/>
          <w:color w:val="auto"/>
        </w:rPr>
        <w:t>Chairman &amp; Chief Executive Officer,</w:t>
      </w:r>
    </w:p>
    <w:p>
      <w:pPr>
        <w:spacing w:after="0" w:line="13" w:lineRule="exact"/>
        <w:rPr>
          <w:sz w:val="20"/>
          <w:szCs w:val="20"/>
          <w:color w:val="auto"/>
        </w:rPr>
      </w:pPr>
    </w:p>
    <w:p>
      <w:pPr>
        <w:jc w:val="center"/>
        <w:ind w:left="220"/>
        <w:spacing w:after="0"/>
        <w:rPr>
          <w:sz w:val="20"/>
          <w:szCs w:val="20"/>
          <w:color w:val="auto"/>
        </w:rPr>
      </w:pPr>
      <w:r>
        <w:rPr>
          <w:rFonts w:ascii="Arial" w:cs="Arial" w:eastAsia="Arial" w:hAnsi="Arial"/>
          <w:sz w:val="18"/>
          <w:szCs w:val="18"/>
          <w:i w:val="1"/>
          <w:iCs w:val="1"/>
          <w:color w:val="auto"/>
        </w:rPr>
        <w:t>General Motors Company</w:t>
      </w:r>
    </w:p>
    <w:p>
      <w:pPr>
        <w:spacing w:after="0" w:line="31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57 years old</w:t>
      </w:r>
    </w:p>
    <w:p>
      <w:pPr>
        <w:spacing w:after="0" w:line="10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Director since: 2014</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Executive (Chair)</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Walt Disney Company</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General Dynamics Corporation (2011 to 2017)</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Ms. Barra has served as Chairman of GM’s Board of Directors since January 2016 and Chief Executive Officer of GM since January 2014. Prior to that time, she served as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 Ms. Barra began her career at GM in 1980.</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40" w:hanging="330"/>
        <w:spacing w:after="0" w:line="250" w:lineRule="auto"/>
        <w:tabs>
          <w:tab w:leader="none" w:pos="469" w:val="left"/>
        </w:tabs>
        <w:numPr>
          <w:ilvl w:val="0"/>
          <w:numId w:val="9"/>
        </w:numPr>
        <w:rPr>
          <w:rFonts w:ascii="Arial" w:cs="Arial" w:eastAsia="Arial" w:hAnsi="Arial"/>
          <w:sz w:val="16"/>
          <w:szCs w:val="16"/>
          <w:color w:val="00A1DF"/>
        </w:rPr>
      </w:pPr>
      <w:r>
        <w:rPr>
          <w:rFonts w:ascii="Arial" w:cs="Arial" w:eastAsia="Arial" w:hAnsi="Arial"/>
          <w:sz w:val="16"/>
          <w:szCs w:val="16"/>
          <w:color w:val="auto"/>
        </w:rPr>
        <w:t>Extensive senior leadership experience as the CEO of GM and in other key leadership positions at the Company, including experience in operational excellence, strategic planning, purchasing and supply chain, human resources, and manufacturing and engineering.</w:t>
      </w:r>
    </w:p>
    <w:p>
      <w:pPr>
        <w:spacing w:after="0" w:line="2" w:lineRule="exact"/>
        <w:rPr>
          <w:rFonts w:ascii="Arial" w:cs="Arial" w:eastAsia="Arial" w:hAnsi="Arial"/>
          <w:sz w:val="16"/>
          <w:szCs w:val="16"/>
          <w:color w:val="00A1DF"/>
        </w:rPr>
      </w:pPr>
    </w:p>
    <w:p>
      <w:pPr>
        <w:ind w:left="460" w:hanging="250"/>
        <w:spacing w:after="0"/>
        <w:tabs>
          <w:tab w:leader="none" w:pos="460" w:val="left"/>
        </w:tabs>
        <w:numPr>
          <w:ilvl w:val="0"/>
          <w:numId w:val="9"/>
        </w:numPr>
        <w:rPr>
          <w:rFonts w:ascii="Arial" w:cs="Arial" w:eastAsia="Arial" w:hAnsi="Arial"/>
          <w:sz w:val="16"/>
          <w:szCs w:val="16"/>
          <w:color w:val="00A1DF"/>
        </w:rPr>
      </w:pPr>
      <w:r>
        <w:rPr>
          <w:rFonts w:ascii="Arial" w:cs="Arial" w:eastAsia="Arial" w:hAnsi="Arial"/>
          <w:sz w:val="16"/>
          <w:szCs w:val="16"/>
          <w:color w:val="auto"/>
        </w:rPr>
        <w:t>In-depth knowledge of the global automotive industry.</w:t>
      </w:r>
    </w:p>
    <w:p>
      <w:pPr>
        <w:spacing w:after="0" w:line="18" w:lineRule="exact"/>
        <w:rPr>
          <w:rFonts w:ascii="Arial" w:cs="Arial" w:eastAsia="Arial" w:hAnsi="Arial"/>
          <w:sz w:val="16"/>
          <w:szCs w:val="16"/>
          <w:color w:val="00A1DF"/>
        </w:rPr>
      </w:pPr>
    </w:p>
    <w:p>
      <w:pPr>
        <w:ind w:left="540" w:hanging="330"/>
        <w:spacing w:after="0" w:line="255" w:lineRule="auto"/>
        <w:tabs>
          <w:tab w:leader="none" w:pos="469" w:val="left"/>
        </w:tabs>
        <w:numPr>
          <w:ilvl w:val="0"/>
          <w:numId w:val="9"/>
        </w:numPr>
        <w:rPr>
          <w:rFonts w:ascii="Arial" w:cs="Arial" w:eastAsia="Arial" w:hAnsi="Arial"/>
          <w:sz w:val="16"/>
          <w:szCs w:val="16"/>
          <w:color w:val="00A1DF"/>
        </w:rPr>
      </w:pPr>
      <w:r>
        <w:rPr>
          <w:rFonts w:ascii="Arial" w:cs="Arial" w:eastAsia="Arial" w:hAnsi="Arial"/>
          <w:sz w:val="16"/>
          <w:szCs w:val="16"/>
          <w:color w:val="auto"/>
        </w:rPr>
        <w:t>Deep understanding of GM’s strengths, weaknesses, opportunities, challenges, risks, and corporate culture.</w:t>
      </w:r>
    </w:p>
    <w:p>
      <w:pPr>
        <w:ind w:left="540" w:hanging="330"/>
        <w:spacing w:after="0" w:line="255" w:lineRule="auto"/>
        <w:tabs>
          <w:tab w:leader="none" w:pos="460" w:val="left"/>
        </w:tabs>
        <w:numPr>
          <w:ilvl w:val="0"/>
          <w:numId w:val="9"/>
        </w:numPr>
        <w:rPr>
          <w:rFonts w:ascii="Arial" w:cs="Arial" w:eastAsia="Arial" w:hAnsi="Arial"/>
          <w:sz w:val="16"/>
          <w:szCs w:val="16"/>
          <w:color w:val="00A1DF"/>
        </w:rPr>
      </w:pPr>
      <w:r>
        <w:rPr>
          <w:rFonts w:ascii="Arial" w:cs="Arial" w:eastAsia="Arial" w:hAnsi="Arial"/>
          <w:sz w:val="16"/>
          <w:szCs w:val="16"/>
          <w:color w:val="auto"/>
        </w:rPr>
        <w:t>Ability to drive the efficient execution of GM’s strategic plan and vision for the future.</w:t>
      </w:r>
    </w:p>
    <w:p>
      <w:pPr>
        <w:ind w:left="540" w:hanging="330"/>
        <w:spacing w:after="0" w:line="255" w:lineRule="auto"/>
        <w:tabs>
          <w:tab w:leader="none" w:pos="469" w:val="left"/>
        </w:tabs>
        <w:numPr>
          <w:ilvl w:val="0"/>
          <w:numId w:val="9"/>
        </w:numPr>
        <w:rPr>
          <w:rFonts w:ascii="Arial" w:cs="Arial" w:eastAsia="Arial" w:hAnsi="Arial"/>
          <w:sz w:val="16"/>
          <w:szCs w:val="16"/>
          <w:color w:val="00A1DF"/>
        </w:rPr>
      </w:pPr>
      <w:r>
        <w:rPr>
          <w:rFonts w:ascii="Arial" w:cs="Arial" w:eastAsia="Arial" w:hAnsi="Arial"/>
          <w:sz w:val="16"/>
          <w:szCs w:val="16"/>
          <w:color w:val="auto"/>
        </w:rPr>
        <w:t>Strong leadership and management skills coupled with extensive engineering and global product development experience.</w:t>
      </w:r>
    </w:p>
    <w:p>
      <w:pPr>
        <w:ind w:left="540" w:hanging="330"/>
        <w:spacing w:after="0" w:line="277" w:lineRule="auto"/>
        <w:tabs>
          <w:tab w:leader="none" w:pos="469" w:val="left"/>
        </w:tabs>
        <w:numPr>
          <w:ilvl w:val="0"/>
          <w:numId w:val="9"/>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other large global public companies.</w:t>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0033A0"/>
        </w:rPr>
        <w:t>Theodore M. Solso</w:t>
      </w:r>
    </w:p>
    <w:p>
      <w:pPr>
        <w:spacing w:after="0" w:line="107" w:lineRule="exact"/>
        <w:rPr>
          <w:sz w:val="20"/>
          <w:szCs w:val="20"/>
          <w:color w:val="auto"/>
        </w:rPr>
      </w:pPr>
    </w:p>
    <w:p>
      <w:pPr>
        <w:jc w:val="center"/>
        <w:ind w:left="-8" w:right="420"/>
        <w:spacing w:after="0" w:line="250" w:lineRule="auto"/>
        <w:rPr>
          <w:sz w:val="20"/>
          <w:szCs w:val="20"/>
          <w:color w:val="auto"/>
        </w:rPr>
      </w:pPr>
      <w:r>
        <w:rPr>
          <w:rFonts w:ascii="Arial" w:cs="Arial" w:eastAsia="Arial" w:hAnsi="Arial"/>
          <w:sz w:val="18"/>
          <w:szCs w:val="18"/>
          <w:i w:val="1"/>
          <w:iCs w:val="1"/>
          <w:color w:val="auto"/>
        </w:rPr>
        <w:t>Independent Lead Director, General Motors Company, and Retired Chairman &amp; Chief Executive Officer, Cummins, Inc.</w:t>
      </w:r>
    </w:p>
    <w:p>
      <w:pPr>
        <w:spacing w:after="0" w:line="100"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72 years old</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Director since: 2012</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Executive</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Ad-Astra Rocket Company</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9" w:right="440"/>
        <w:spacing w:after="0" w:line="260" w:lineRule="auto"/>
        <w:rPr>
          <w:sz w:val="20"/>
          <w:szCs w:val="20"/>
          <w:color w:val="auto"/>
        </w:rPr>
      </w:pPr>
      <w:r>
        <w:rPr>
          <w:rFonts w:ascii="Arial" w:cs="Arial" w:eastAsia="Arial" w:hAnsi="Arial"/>
          <w:sz w:val="16"/>
          <w:szCs w:val="16"/>
          <w:color w:val="auto"/>
        </w:rPr>
        <w:t>Ashland Inc. (1999 to 2012) (Lead Director 2003 to 2010) and Ball Corporation (2003 to 2019) (Lead Director 2013 to 2019)</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9"/>
        <w:spacing w:after="0" w:line="250" w:lineRule="auto"/>
        <w:rPr>
          <w:sz w:val="20"/>
          <w:szCs w:val="20"/>
          <w:color w:val="auto"/>
        </w:rPr>
      </w:pPr>
      <w:r>
        <w:rPr>
          <w:rFonts w:ascii="Arial" w:cs="Arial" w:eastAsia="Arial" w:hAnsi="Arial"/>
          <w:sz w:val="16"/>
          <w:szCs w:val="16"/>
          <w:color w:val="auto"/>
        </w:rPr>
        <w:t>Mr. Solso served as Non-Executive Chairman of the GM Board of Directors from 2014 to 2016. He was Chairman and Chief Executive Officer of Cummins, Inc., from 2000 until his retirement in 2011 and President and Chief Operating Officer of Cummins from 1995 to 2000.</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9" w:hanging="329"/>
        <w:spacing w:after="0" w:line="252" w:lineRule="auto"/>
        <w:tabs>
          <w:tab w:leader="none" w:pos="258" w:val="left"/>
        </w:tabs>
        <w:numPr>
          <w:ilvl w:val="0"/>
          <w:numId w:val="10"/>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Cummins, including automotive-related experience and experience in finance, accounting, and vehicle and workplace safety.</w:t>
      </w:r>
    </w:p>
    <w:p>
      <w:pPr>
        <w:ind w:left="329" w:hanging="329"/>
        <w:spacing w:after="0" w:line="252" w:lineRule="auto"/>
        <w:tabs>
          <w:tab w:leader="none" w:pos="258" w:val="left"/>
        </w:tabs>
        <w:numPr>
          <w:ilvl w:val="0"/>
          <w:numId w:val="10"/>
        </w:numPr>
        <w:rPr>
          <w:rFonts w:ascii="Arial" w:cs="Arial" w:eastAsia="Arial" w:hAnsi="Arial"/>
          <w:sz w:val="16"/>
          <w:szCs w:val="16"/>
          <w:color w:val="00A1DF"/>
        </w:rPr>
      </w:pPr>
      <w:r>
        <w:rPr>
          <w:rFonts w:ascii="Arial" w:cs="Arial" w:eastAsia="Arial" w:hAnsi="Arial"/>
          <w:sz w:val="16"/>
          <w:szCs w:val="16"/>
          <w:color w:val="auto"/>
        </w:rPr>
        <w:t>Background leading a company through strong financial performance and shareholder returns, international growth, and business restructurings.</w:t>
      </w:r>
    </w:p>
    <w:p>
      <w:pPr>
        <w:ind w:left="329" w:hanging="329"/>
        <w:spacing w:after="0" w:line="250" w:lineRule="auto"/>
        <w:tabs>
          <w:tab w:leader="none" w:pos="258" w:val="left"/>
        </w:tabs>
        <w:numPr>
          <w:ilvl w:val="0"/>
          <w:numId w:val="10"/>
        </w:numPr>
        <w:rPr>
          <w:rFonts w:ascii="Arial" w:cs="Arial" w:eastAsia="Arial" w:hAnsi="Arial"/>
          <w:sz w:val="16"/>
          <w:szCs w:val="16"/>
          <w:color w:val="00A1DF"/>
        </w:rPr>
      </w:pPr>
      <w:r>
        <w:rPr>
          <w:rFonts w:ascii="Arial" w:cs="Arial" w:eastAsia="Arial" w:hAnsi="Arial"/>
          <w:sz w:val="16"/>
          <w:szCs w:val="16"/>
          <w:color w:val="auto"/>
        </w:rPr>
        <w:t>Valuable knowledge of key governance matters, including environmental issues, corporate responsibility, diversity, and human rights issues, gained as the CEO of Cummins and the Independent Lead Director of GM and other large global public companies.</w:t>
      </w:r>
    </w:p>
    <w:p>
      <w:pPr>
        <w:spacing w:after="0" w:line="2" w:lineRule="exact"/>
        <w:rPr>
          <w:rFonts w:ascii="Arial" w:cs="Arial" w:eastAsia="Arial" w:hAnsi="Arial"/>
          <w:sz w:val="16"/>
          <w:szCs w:val="16"/>
          <w:color w:val="00A1DF"/>
        </w:rPr>
      </w:pPr>
    </w:p>
    <w:p>
      <w:pPr>
        <w:ind w:left="329" w:hanging="329"/>
        <w:spacing w:after="0" w:line="250" w:lineRule="auto"/>
        <w:tabs>
          <w:tab w:leader="none" w:pos="258" w:val="left"/>
        </w:tabs>
        <w:numPr>
          <w:ilvl w:val="0"/>
          <w:numId w:val="10"/>
        </w:numPr>
        <w:rPr>
          <w:rFonts w:ascii="Arial" w:cs="Arial" w:eastAsia="Arial" w:hAnsi="Arial"/>
          <w:sz w:val="16"/>
          <w:szCs w:val="16"/>
          <w:color w:val="00A1DF"/>
        </w:rPr>
      </w:pPr>
      <w:r>
        <w:rPr>
          <w:rFonts w:ascii="Arial" w:cs="Arial" w:eastAsia="Arial" w:hAnsi="Arial"/>
          <w:sz w:val="16"/>
          <w:szCs w:val="16"/>
          <w:color w:val="auto"/>
        </w:rPr>
        <w:t>Extensive experience in automotive manufacturing and engineering, including with respect to emissions reduction technology, development of diesel engines, and compliance with challenging emissions laws and regulations.</w:t>
      </w:r>
    </w:p>
    <w:p>
      <w:pPr>
        <w:spacing w:after="0" w:line="2" w:lineRule="exact"/>
        <w:rPr>
          <w:rFonts w:ascii="Arial" w:cs="Arial" w:eastAsia="Arial" w:hAnsi="Arial"/>
          <w:sz w:val="16"/>
          <w:szCs w:val="16"/>
          <w:color w:val="00A1DF"/>
        </w:rPr>
      </w:pPr>
    </w:p>
    <w:p>
      <w:pPr>
        <w:ind w:left="329" w:right="20" w:hanging="329"/>
        <w:spacing w:after="0" w:line="262" w:lineRule="auto"/>
        <w:tabs>
          <w:tab w:leader="none" w:pos="258" w:val="left"/>
        </w:tabs>
        <w:numPr>
          <w:ilvl w:val="0"/>
          <w:numId w:val="10"/>
        </w:numPr>
        <w:rPr>
          <w:rFonts w:ascii="Arial" w:cs="Arial" w:eastAsia="Arial" w:hAnsi="Arial"/>
          <w:sz w:val="16"/>
          <w:szCs w:val="16"/>
          <w:color w:val="00A1DF"/>
        </w:rPr>
      </w:pPr>
      <w:r>
        <w:rPr>
          <w:rFonts w:ascii="Arial" w:cs="Arial" w:eastAsia="Arial" w:hAnsi="Arial"/>
          <w:sz w:val="16"/>
          <w:szCs w:val="16"/>
          <w:color w:val="auto"/>
        </w:rPr>
        <w:t>Valuable insight into advancing the business priorities of GM’s international operations gained as the U.S. Chairman of the U.S.-Brazil CEO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86995</wp:posOffset>
            </wp:positionV>
            <wp:extent cx="68529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ectPr>
          <w:pgSz w:w="11900" w:h="16838" w:orient="portrait"/>
          <w:cols w:equalWidth="0" w:num="2">
            <w:col w:w="5500" w:space="551"/>
            <w:col w:w="5169"/>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1396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9445" cy="13963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0033A0"/>
        </w:rPr>
        <w:t>Wesley G. Bush</w:t>
      </w:r>
    </w:p>
    <w:p>
      <w:pPr>
        <w:spacing w:after="0" w:line="10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Chairman, Northrop Grumman Corporation</w:t>
      </w:r>
    </w:p>
    <w:p>
      <w:pPr>
        <w:spacing w:after="0" w:line="324"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58 years old</w:t>
      </w:r>
    </w:p>
    <w:p>
      <w:pPr>
        <w:spacing w:after="0" w:line="10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Director since: 2019</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Executive Compensation, Finance</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Northrop Grumman Corporation (“Northrop Grumman”) and Dow Inc.</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Norfolk Southern Corporation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In 2011, Mr. Bush was appointed Chairman of the Board of Directors of Northrop Grumman. He also served as the Chief Executive Officer of Northrop Grumman from 2010 to 2018. Prior to that, Mr. Bush served in numerous leadership roles at Northrop Grumman, including President and Chief Operating Officer, Chief Financial Officer, and President of the company’s Space Technology sector. He also served in a variety of leadership positions at TRW, Inc., before it was acquired by Northrop Grumman in 2002. He is a member of the National Academy of Engineering.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40" w:hanging="330"/>
        <w:spacing w:after="0" w:line="252" w:lineRule="auto"/>
        <w:tabs>
          <w:tab w:leader="none" w:pos="469" w:val="left"/>
        </w:tabs>
        <w:numPr>
          <w:ilvl w:val="0"/>
          <w:numId w:val="11"/>
        </w:numPr>
        <w:rPr>
          <w:rFonts w:ascii="Arial" w:cs="Arial" w:eastAsia="Arial" w:hAnsi="Arial"/>
          <w:sz w:val="16"/>
          <w:szCs w:val="16"/>
          <w:color w:val="00A1DF"/>
        </w:rPr>
      </w:pPr>
      <w:r>
        <w:rPr>
          <w:rFonts w:ascii="Arial" w:cs="Arial" w:eastAsia="Arial" w:hAnsi="Arial"/>
          <w:sz w:val="16"/>
          <w:szCs w:val="16"/>
          <w:color w:val="auto"/>
        </w:rPr>
        <w:t>Strong track record of creating shareholder value in a complex manufacturing enterprise known for its advanced engineering and technology.</w:t>
      </w:r>
    </w:p>
    <w:p>
      <w:pPr>
        <w:ind w:left="540" w:hanging="330"/>
        <w:spacing w:after="0" w:line="255" w:lineRule="auto"/>
        <w:tabs>
          <w:tab w:leader="none" w:pos="469" w:val="left"/>
        </w:tabs>
        <w:numPr>
          <w:ilvl w:val="0"/>
          <w:numId w:val="11"/>
        </w:numPr>
        <w:rPr>
          <w:rFonts w:ascii="Arial" w:cs="Arial" w:eastAsia="Arial" w:hAnsi="Arial"/>
          <w:sz w:val="16"/>
          <w:szCs w:val="16"/>
          <w:color w:val="00A1DF"/>
        </w:rPr>
      </w:pPr>
      <w:r>
        <w:rPr>
          <w:rFonts w:ascii="Arial" w:cs="Arial" w:eastAsia="Arial" w:hAnsi="Arial"/>
          <w:sz w:val="16"/>
          <w:szCs w:val="16"/>
          <w:color w:val="auto"/>
        </w:rPr>
        <w:t>Strong financial acumen, excellent strategic instincts, and an ability to think broadly about complex business issues.</w:t>
      </w:r>
    </w:p>
    <w:p>
      <w:pPr>
        <w:ind w:left="540" w:hanging="330"/>
        <w:spacing w:after="0" w:line="250" w:lineRule="auto"/>
        <w:tabs>
          <w:tab w:leader="none" w:pos="469" w:val="left"/>
        </w:tabs>
        <w:numPr>
          <w:ilvl w:val="0"/>
          <w:numId w:val="11"/>
        </w:numPr>
        <w:rPr>
          <w:rFonts w:ascii="Arial" w:cs="Arial" w:eastAsia="Arial" w:hAnsi="Arial"/>
          <w:sz w:val="16"/>
          <w:szCs w:val="16"/>
          <w:color w:val="00A1DF"/>
        </w:rPr>
      </w:pPr>
      <w:r>
        <w:rPr>
          <w:rFonts w:ascii="Arial" w:cs="Arial" w:eastAsia="Arial" w:hAnsi="Arial"/>
          <w:sz w:val="16"/>
          <w:szCs w:val="16"/>
          <w:color w:val="auto"/>
        </w:rPr>
        <w:t>Valuable knowledge of key governance matters, including compensation, finance, risk management, and environment, health, and safety, gained as a director of Northrop Grumman and other large global public companies.</w:t>
      </w:r>
    </w:p>
    <w:p>
      <w:pPr>
        <w:spacing w:after="0" w:line="2" w:lineRule="exact"/>
        <w:rPr>
          <w:rFonts w:ascii="Arial" w:cs="Arial" w:eastAsia="Arial" w:hAnsi="Arial"/>
          <w:sz w:val="16"/>
          <w:szCs w:val="16"/>
          <w:color w:val="00A1DF"/>
        </w:rPr>
      </w:pPr>
    </w:p>
    <w:p>
      <w:pPr>
        <w:ind w:left="540" w:hanging="330"/>
        <w:spacing w:after="0" w:line="277" w:lineRule="auto"/>
        <w:tabs>
          <w:tab w:leader="none" w:pos="469" w:val="left"/>
        </w:tabs>
        <w:numPr>
          <w:ilvl w:val="0"/>
          <w:numId w:val="11"/>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other large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328930</wp:posOffset>
            </wp:positionV>
            <wp:extent cx="6758305"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0033A0"/>
        </w:rPr>
        <w:t>Linda R. Gooden</w:t>
      </w:r>
    </w:p>
    <w:p>
      <w:pPr>
        <w:spacing w:after="0" w:line="107" w:lineRule="exact"/>
        <w:rPr>
          <w:sz w:val="20"/>
          <w:szCs w:val="20"/>
          <w:color w:val="auto"/>
        </w:rPr>
      </w:pPr>
    </w:p>
    <w:p>
      <w:pPr>
        <w:jc w:val="center"/>
        <w:ind w:right="-8"/>
        <w:spacing w:after="0"/>
        <w:rPr>
          <w:sz w:val="20"/>
          <w:szCs w:val="20"/>
          <w:color w:val="auto"/>
        </w:rPr>
      </w:pPr>
      <w:r>
        <w:rPr>
          <w:rFonts w:ascii="Arial" w:cs="Arial" w:eastAsia="Arial" w:hAnsi="Arial"/>
          <w:sz w:val="18"/>
          <w:szCs w:val="18"/>
          <w:i w:val="1"/>
          <w:iCs w:val="1"/>
          <w:color w:val="auto"/>
        </w:rPr>
        <w:t>Retired Executive Vice President, Information Systems &amp;</w:t>
      </w:r>
    </w:p>
    <w:p>
      <w:pPr>
        <w:spacing w:after="0" w:line="13" w:lineRule="exact"/>
        <w:rPr>
          <w:sz w:val="20"/>
          <w:szCs w:val="20"/>
          <w:color w:val="auto"/>
        </w:rPr>
      </w:pPr>
    </w:p>
    <w:p>
      <w:pPr>
        <w:jc w:val="center"/>
        <w:ind w:right="-8"/>
        <w:spacing w:after="0"/>
        <w:rPr>
          <w:sz w:val="20"/>
          <w:szCs w:val="20"/>
          <w:color w:val="auto"/>
        </w:rPr>
      </w:pPr>
      <w:r>
        <w:rPr>
          <w:rFonts w:ascii="Arial" w:cs="Arial" w:eastAsia="Arial" w:hAnsi="Arial"/>
          <w:sz w:val="18"/>
          <w:szCs w:val="18"/>
          <w:i w:val="1"/>
          <w:iCs w:val="1"/>
          <w:color w:val="auto"/>
        </w:rPr>
        <w:t>Global Solutions, Lockheed Martin Corporation</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66 years old</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Director since: 2015</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Audit, Cybersecurity (Chair), Executive, Risk</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Automatic Data Processing, Inc., and The Home Depot, Inc.</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9" w:right="720"/>
        <w:spacing w:after="0" w:line="260" w:lineRule="auto"/>
        <w:rPr>
          <w:sz w:val="20"/>
          <w:szCs w:val="20"/>
          <w:color w:val="auto"/>
        </w:rPr>
      </w:pPr>
      <w:r>
        <w:rPr>
          <w:rFonts w:ascii="Arial" w:cs="Arial" w:eastAsia="Arial" w:hAnsi="Arial"/>
          <w:sz w:val="16"/>
          <w:szCs w:val="16"/>
          <w:color w:val="auto"/>
        </w:rPr>
        <w:t>WGL Holdings, Inc., and Washington Gas &amp; Light Company, a subsidiary of WGL Holdings, Inc.</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9"/>
        <w:spacing w:after="0" w:line="249" w:lineRule="auto"/>
        <w:rPr>
          <w:sz w:val="20"/>
          <w:szCs w:val="20"/>
          <w:color w:val="auto"/>
        </w:rPr>
      </w:pPr>
      <w:r>
        <w:rPr>
          <w:rFonts w:ascii="Arial" w:cs="Arial" w:eastAsia="Arial" w:hAnsi="Arial"/>
          <w:sz w:val="16"/>
          <w:szCs w:val="16"/>
          <w:color w:val="auto"/>
        </w:rPr>
        <w:t>Ms. Gooden served as Executive Vice President, Information Systems &amp; Global Solutions of Lockheed Martin Corporation (“Lockheed Martin”) from 2007 to 2013. She also served as Deputy Executive Vice President, Information and Technology Services of Lockheed Martin from October to December 2006; and President, Information Technology of Lockheed Martin from 1997 to December 2006.</w:t>
      </w:r>
    </w:p>
    <w:p>
      <w:pPr>
        <w:spacing w:after="0" w:line="89"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9" w:right="20" w:hanging="329"/>
        <w:spacing w:after="0" w:line="250" w:lineRule="auto"/>
        <w:tabs>
          <w:tab w:leader="none" w:pos="258" w:val="left"/>
        </w:tabs>
        <w:numPr>
          <w:ilvl w:val="0"/>
          <w:numId w:val="12"/>
        </w:numPr>
        <w:rPr>
          <w:rFonts w:ascii="Arial" w:cs="Arial" w:eastAsia="Arial" w:hAnsi="Arial"/>
          <w:sz w:val="16"/>
          <w:szCs w:val="16"/>
          <w:color w:val="00A1DF"/>
        </w:rPr>
      </w:pPr>
      <w:r>
        <w:rPr>
          <w:rFonts w:ascii="Arial" w:cs="Arial" w:eastAsia="Arial" w:hAnsi="Arial"/>
          <w:sz w:val="16"/>
          <w:szCs w:val="16"/>
          <w:color w:val="auto"/>
        </w:rPr>
        <w:t>Significant senior leadership experience gained through various leadership positions at Lockheed Martin, including experience in technology, innovation, acquisitions, divestitures, business restructuring, and finance.</w:t>
      </w:r>
    </w:p>
    <w:p>
      <w:pPr>
        <w:spacing w:after="0" w:line="2" w:lineRule="exact"/>
        <w:rPr>
          <w:rFonts w:ascii="Arial" w:cs="Arial" w:eastAsia="Arial" w:hAnsi="Arial"/>
          <w:sz w:val="16"/>
          <w:szCs w:val="16"/>
          <w:color w:val="00A1DF"/>
        </w:rPr>
      </w:pPr>
    </w:p>
    <w:p>
      <w:pPr>
        <w:ind w:left="329" w:hanging="329"/>
        <w:spacing w:after="0" w:line="255" w:lineRule="auto"/>
        <w:tabs>
          <w:tab w:leader="none" w:pos="258" w:val="left"/>
        </w:tabs>
        <w:numPr>
          <w:ilvl w:val="0"/>
          <w:numId w:val="12"/>
        </w:numPr>
        <w:rPr>
          <w:rFonts w:ascii="Arial" w:cs="Arial" w:eastAsia="Arial" w:hAnsi="Arial"/>
          <w:sz w:val="16"/>
          <w:szCs w:val="16"/>
          <w:color w:val="00A1DF"/>
        </w:rPr>
      </w:pPr>
      <w:r>
        <w:rPr>
          <w:rFonts w:ascii="Arial" w:cs="Arial" w:eastAsia="Arial" w:hAnsi="Arial"/>
          <w:sz w:val="16"/>
          <w:szCs w:val="16"/>
          <w:color w:val="auto"/>
        </w:rPr>
        <w:t>Strong track record of identifying and mitigating enterprise risks in various senior leadership roles.</w:t>
      </w:r>
    </w:p>
    <w:p>
      <w:pPr>
        <w:ind w:left="329" w:right="20" w:hanging="329"/>
        <w:spacing w:after="0" w:line="250" w:lineRule="auto"/>
        <w:tabs>
          <w:tab w:leader="none" w:pos="258" w:val="left"/>
        </w:tabs>
        <w:numPr>
          <w:ilvl w:val="0"/>
          <w:numId w:val="12"/>
        </w:numPr>
        <w:rPr>
          <w:rFonts w:ascii="Arial" w:cs="Arial" w:eastAsia="Arial" w:hAnsi="Arial"/>
          <w:sz w:val="16"/>
          <w:szCs w:val="16"/>
          <w:color w:val="00A1DF"/>
        </w:rPr>
      </w:pPr>
      <w:r>
        <w:rPr>
          <w:rFonts w:ascii="Arial" w:cs="Arial" w:eastAsia="Arial" w:hAnsi="Arial"/>
          <w:sz w:val="16"/>
          <w:szCs w:val="16"/>
          <w:color w:val="auto"/>
        </w:rPr>
        <w:t>Valuable insight into GM’s information technology (“IT”) function, technology systems and processes, and cybersecurity framework, including those related to mobility and autonomous vehicles, gained through various leadership roles at Lockheed Martin.</w:t>
      </w:r>
    </w:p>
    <w:p>
      <w:pPr>
        <w:spacing w:after="0" w:line="2" w:lineRule="exact"/>
        <w:rPr>
          <w:rFonts w:ascii="Arial" w:cs="Arial" w:eastAsia="Arial" w:hAnsi="Arial"/>
          <w:sz w:val="16"/>
          <w:szCs w:val="16"/>
          <w:color w:val="00A1DF"/>
        </w:rPr>
      </w:pPr>
    </w:p>
    <w:p>
      <w:pPr>
        <w:ind w:left="329" w:hanging="329"/>
        <w:spacing w:after="0" w:line="252" w:lineRule="auto"/>
        <w:tabs>
          <w:tab w:leader="none" w:pos="258" w:val="left"/>
        </w:tabs>
        <w:numPr>
          <w:ilvl w:val="0"/>
          <w:numId w:val="12"/>
        </w:numPr>
        <w:rPr>
          <w:rFonts w:ascii="Arial" w:cs="Arial" w:eastAsia="Arial" w:hAnsi="Arial"/>
          <w:sz w:val="16"/>
          <w:szCs w:val="16"/>
          <w:color w:val="00A1DF"/>
        </w:rPr>
      </w:pPr>
      <w:r>
        <w:rPr>
          <w:rFonts w:ascii="Arial" w:cs="Arial" w:eastAsia="Arial" w:hAnsi="Arial"/>
          <w:sz w:val="16"/>
          <w:szCs w:val="16"/>
          <w:color w:val="auto"/>
        </w:rPr>
        <w:t>Extensive expertise in cybersecurity and IT, as well as significant operational, strategic planning, and government relations experience.</w:t>
      </w:r>
    </w:p>
    <w:p>
      <w:pPr>
        <w:ind w:left="329" w:hanging="329"/>
        <w:spacing w:after="0" w:line="277" w:lineRule="auto"/>
        <w:tabs>
          <w:tab w:leader="none" w:pos="258" w:val="left"/>
        </w:tabs>
        <w:numPr>
          <w:ilvl w:val="0"/>
          <w:numId w:val="12"/>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other large global public companies.</w:t>
      </w:r>
    </w:p>
    <w:p>
      <w:pPr>
        <w:spacing w:after="0" w:line="131" w:lineRule="exact"/>
        <w:rPr>
          <w:sz w:val="20"/>
          <w:szCs w:val="20"/>
          <w:color w:val="auto"/>
        </w:rPr>
      </w:pPr>
    </w:p>
    <w:p>
      <w:pPr>
        <w:jc w:val="center"/>
        <w:ind w:left="-4408"/>
        <w:spacing w:after="0"/>
        <w:rPr>
          <w:sz w:val="20"/>
          <w:szCs w:val="20"/>
          <w:color w:val="auto"/>
        </w:rPr>
      </w:pPr>
      <w:r>
        <w:rPr>
          <w:rFonts w:ascii="Arial" w:cs="Arial" w:eastAsia="Arial" w:hAnsi="Arial"/>
          <w:sz w:val="14"/>
          <w:szCs w:val="14"/>
          <w:color w:val="0033A0"/>
        </w:rPr>
        <w:t>13</w:t>
      </w:r>
    </w:p>
    <w:p>
      <w:pPr>
        <w:sectPr>
          <w:pgSz w:w="11900" w:h="16838" w:orient="portrait"/>
          <w:cols w:equalWidth="0" w:num="2">
            <w:col w:w="5500" w:space="551"/>
            <w:col w:w="5169"/>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1396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13963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0033A0"/>
        </w:rPr>
        <w:t>Joseph Jimenez</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Retired Chief Executive Officer, Novartis AG</w:t>
      </w:r>
    </w:p>
    <w:p>
      <w:pPr>
        <w:spacing w:after="0" w:line="324"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59 years old</w:t>
      </w:r>
    </w:p>
    <w:p>
      <w:pPr>
        <w:spacing w:after="0" w:line="10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Director since: 2015</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Executive Compensation, Governance and Corporate Responsibility</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Procter &amp; Gamble Co.</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Colgate-Palmolive Company (2010 to 2015)</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Mr. Jimenez served as Chief Executive Officer of Novartis AG (“Novartis”) from 2010 until his retirement in 2018. He was Head of Novartis’ Pharmaceuticals Division from October 2007 to 2010 and Head of Novartis’ Consumer Health Division from April to October 2007. Prior to joining Novartis, Mr. Jimenez served as Advisor to the Blackstone Group L.P., a private equity firm, from 2006 to 2007. He was President and Chief Executive Officer of H.J. Heinz Company (“Heinz”) North America from 2002 to 2006 and Executive Vice President, President and Chief Executive Officer of Heinz Europe from 1999 to 2002. Prior to joining Heinz, Mr. Jimenez held various leadership positions at ConAgra Foods Inc. (“ConAgra”), including President and Senior Vice President of two operating divisions from 1993 to 1998.</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40" w:hanging="330"/>
        <w:spacing w:after="0" w:line="250" w:lineRule="auto"/>
        <w:tabs>
          <w:tab w:leader="none" w:pos="469"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Novartis and in other senior leadership positions in the consumer products industry, including experience in international operations, strategic planning, and finance.</w:t>
      </w:r>
    </w:p>
    <w:p>
      <w:pPr>
        <w:spacing w:after="0" w:line="2" w:lineRule="exact"/>
        <w:rPr>
          <w:rFonts w:ascii="Arial" w:cs="Arial" w:eastAsia="Arial" w:hAnsi="Arial"/>
          <w:sz w:val="16"/>
          <w:szCs w:val="16"/>
          <w:color w:val="00A1DF"/>
        </w:rPr>
      </w:pPr>
    </w:p>
    <w:p>
      <w:pPr>
        <w:ind w:left="540" w:hanging="330"/>
        <w:spacing w:after="0" w:line="250" w:lineRule="auto"/>
        <w:tabs>
          <w:tab w:leader="none" w:pos="469"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Valuable insight into GM’s strategy to enhance the customer experience and earn customers for life gained through various senior leadership positions at Heinz and ConAgra and as a director of Procter &amp; Gamble.</w:t>
      </w:r>
    </w:p>
    <w:p>
      <w:pPr>
        <w:spacing w:after="0" w:line="2" w:lineRule="exact"/>
        <w:rPr>
          <w:rFonts w:ascii="Arial" w:cs="Arial" w:eastAsia="Arial" w:hAnsi="Arial"/>
          <w:sz w:val="16"/>
          <w:szCs w:val="16"/>
          <w:color w:val="00A1DF"/>
        </w:rPr>
      </w:pPr>
    </w:p>
    <w:p>
      <w:pPr>
        <w:ind w:left="540" w:hanging="330"/>
        <w:spacing w:after="0" w:line="255" w:lineRule="auto"/>
        <w:tabs>
          <w:tab w:leader="none" w:pos="469"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Experience executing business restructurings and significant business transformations at both Heinz and Novartis.</w:t>
      </w:r>
    </w:p>
    <w:p>
      <w:pPr>
        <w:ind w:left="540" w:hanging="330"/>
        <w:spacing w:after="0" w:line="262" w:lineRule="auto"/>
        <w:tabs>
          <w:tab w:leader="none" w:pos="469"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the CEO of Novartis and a director of GM and other large global public companies.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0033A0"/>
        </w:rPr>
        <w:t>Jane L. Mendillo</w:t>
      </w:r>
    </w:p>
    <w:p>
      <w:pPr>
        <w:spacing w:after="0" w:line="107" w:lineRule="exact"/>
        <w:rPr>
          <w:sz w:val="20"/>
          <w:szCs w:val="20"/>
          <w:color w:val="auto"/>
        </w:rPr>
      </w:pPr>
    </w:p>
    <w:p>
      <w:pPr>
        <w:jc w:val="center"/>
        <w:ind w:right="-8"/>
        <w:spacing w:after="0"/>
        <w:rPr>
          <w:sz w:val="20"/>
          <w:szCs w:val="20"/>
          <w:color w:val="auto"/>
        </w:rPr>
      </w:pPr>
      <w:r>
        <w:rPr>
          <w:rFonts w:ascii="Arial" w:cs="Arial" w:eastAsia="Arial" w:hAnsi="Arial"/>
          <w:sz w:val="18"/>
          <w:szCs w:val="18"/>
          <w:i w:val="1"/>
          <w:iCs w:val="1"/>
          <w:color w:val="auto"/>
        </w:rPr>
        <w:t>Retired President &amp; Chief Executive Officer,</w:t>
      </w:r>
    </w:p>
    <w:p>
      <w:pPr>
        <w:spacing w:after="0" w:line="13" w:lineRule="exact"/>
        <w:rPr>
          <w:sz w:val="20"/>
          <w:szCs w:val="20"/>
          <w:color w:val="auto"/>
        </w:rPr>
      </w:pPr>
    </w:p>
    <w:p>
      <w:pPr>
        <w:jc w:val="center"/>
        <w:ind w:right="-8"/>
        <w:spacing w:after="0"/>
        <w:rPr>
          <w:sz w:val="20"/>
          <w:szCs w:val="20"/>
          <w:color w:val="auto"/>
        </w:rPr>
      </w:pPr>
      <w:r>
        <w:rPr>
          <w:rFonts w:ascii="Arial" w:cs="Arial" w:eastAsia="Arial" w:hAnsi="Arial"/>
          <w:sz w:val="18"/>
          <w:szCs w:val="18"/>
          <w:i w:val="1"/>
          <w:iCs w:val="1"/>
          <w:color w:val="auto"/>
        </w:rPr>
        <w:t>Harvard Management Company</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60 years old</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Director since: 2016</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Audit, Finance</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Lazard Ltd.</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None</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Ms. Mendillo served as President and Chief Executive Officer of the Harvard Management Company (“HMC”) from 2008 to 2014, managing Harvard University’s approximately $37 billion global endowment and related assets. Prior to joining HMC, she was Chief Investment Officer of Wellesley College from 2002 to 2008; and prior to that, she spent 15 years at HMC in investment management positions, including in public and private equity markets and alternative asset investments. She also serves as a Trustee to the Old Mountain Private Trust Company and a member of the board and executive committee of the Berklee College of Music. She has also previously served as Chair of the investment committee of the Partners Healthcare System; a member of the investment committees at Yale University and the Rockefeller Foundation; and a member of the board of directors and investment committees of the Mellon Foundation and the Boston Foundation.</w:t>
      </w:r>
    </w:p>
    <w:p>
      <w:pPr>
        <w:spacing w:after="0" w:line="94"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9" w:hanging="329"/>
        <w:spacing w:after="0" w:line="255" w:lineRule="auto"/>
        <w:tabs>
          <w:tab w:leader="none" w:pos="258"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HMC, including experience in risk and crisis management.</w:t>
      </w:r>
    </w:p>
    <w:p>
      <w:pPr>
        <w:ind w:left="329" w:hanging="329"/>
        <w:spacing w:after="0" w:line="255" w:lineRule="auto"/>
        <w:tabs>
          <w:tab w:leader="none" w:pos="258"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Deep capital markets expertise gained from her more than 30 years managing globally diverse endowments and investment portfolios.</w:t>
      </w:r>
    </w:p>
    <w:p>
      <w:pPr>
        <w:ind w:left="329" w:right="20" w:hanging="329"/>
        <w:spacing w:after="0" w:line="255" w:lineRule="auto"/>
        <w:tabs>
          <w:tab w:leader="none" w:pos="258"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Valuable insight into GM’s disciplined capital allocation framework and its financial policies and strategies.</w:t>
      </w:r>
    </w:p>
    <w:p>
      <w:pPr>
        <w:ind w:left="329" w:hanging="329"/>
        <w:spacing w:after="0" w:line="277" w:lineRule="auto"/>
        <w:tabs>
          <w:tab w:leader="none" w:pos="258"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another large global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440055</wp:posOffset>
            </wp:positionV>
            <wp:extent cx="68529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ectPr>
          <w:pgSz w:w="11900" w:h="16838" w:orient="portrait"/>
          <w:cols w:equalWidth="0" w:num="2">
            <w:col w:w="5500" w:space="551"/>
            <w:col w:w="5169"/>
          </w:cols>
          <w:pgMar w:left="24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1396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9445" cy="13963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0033A0"/>
        </w:rPr>
        <w:t>Judith A. Miscik</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8"/>
          <w:szCs w:val="18"/>
          <w:i w:val="1"/>
          <w:iCs w:val="1"/>
          <w:color w:val="auto"/>
        </w:rPr>
        <w:t>Chief Executive Officer &amp; Vice Chairman,</w:t>
      </w:r>
    </w:p>
    <w:p>
      <w:pPr>
        <w:spacing w:after="0" w:line="13" w:lineRule="exact"/>
        <w:rPr>
          <w:sz w:val="20"/>
          <w:szCs w:val="20"/>
          <w:color w:val="auto"/>
        </w:rPr>
      </w:pPr>
    </w:p>
    <w:p>
      <w:pPr>
        <w:jc w:val="center"/>
        <w:ind w:left="220"/>
        <w:spacing w:after="0"/>
        <w:rPr>
          <w:sz w:val="20"/>
          <w:szCs w:val="20"/>
          <w:color w:val="auto"/>
        </w:rPr>
      </w:pPr>
      <w:r>
        <w:rPr>
          <w:rFonts w:ascii="Arial" w:cs="Arial" w:eastAsia="Arial" w:hAnsi="Arial"/>
          <w:sz w:val="18"/>
          <w:szCs w:val="18"/>
          <w:i w:val="1"/>
          <w:iCs w:val="1"/>
          <w:color w:val="auto"/>
        </w:rPr>
        <w:t>Kissinger Associates, Inc.</w:t>
      </w:r>
    </w:p>
    <w:p>
      <w:pPr>
        <w:spacing w:after="0" w:line="10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60 years old</w:t>
      </w:r>
    </w:p>
    <w:p>
      <w:pPr>
        <w:spacing w:after="0" w:line="10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Director since: 2018</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Audit, Risk</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Morgan Stanley</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Public Company Directorship</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EMC Corporation (2012 to 2016) and Pivotal Software,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(2014 to 2016)</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In July 2017, Ms. Miscik was appointed as Chief Executive Officer and Vice Chairman of Kissinger Associates, Inc. (“Kissinger Associates”). Prior to that time, she served as Co-Chief Executive Officer and Vice Chairman of Kissinger Associates from 2015 to 2017 and as President and Vice Chairman of Kissinger Associates from 2009 to 2015. Prior to joining Kissinger Associates, Ms. Miscik was the Global Head of Sovereign Risk at Lehman Brothers from 2005 to 2008 and served at the Central Intelligence Agency (“CIA”) from 1983 to 2005, where she was the Deputy Director for Intelligence from 2002 to 2005.</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jc w:val="both"/>
        <w:ind w:left="460" w:right="20" w:hanging="323"/>
        <w:spacing w:after="0" w:line="255" w:lineRule="auto"/>
        <w:tabs>
          <w:tab w:leader="none" w:pos="440"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Extensive leadership experience gained as CEO of Kissinger Associates and as Deputy Director for Intelligence at the CIA.</w:t>
      </w:r>
    </w:p>
    <w:p>
      <w:pPr>
        <w:ind w:left="540" w:hanging="330"/>
        <w:spacing w:after="0" w:line="249" w:lineRule="auto"/>
        <w:tabs>
          <w:tab w:leader="none" w:pos="469"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Valuable experience in assessing and mitigating geopolitical and macroeconomic risks in both public and private sector roles, which will provide significant insight into GM’s overall strategy, particularly as GM navigates critical international issues such as trade and global economic conditions.</w:t>
      </w:r>
    </w:p>
    <w:p>
      <w:pPr>
        <w:spacing w:after="0" w:line="3" w:lineRule="exact"/>
        <w:rPr>
          <w:rFonts w:ascii="Arial" w:cs="Arial" w:eastAsia="Arial" w:hAnsi="Arial"/>
          <w:sz w:val="16"/>
          <w:szCs w:val="16"/>
          <w:color w:val="00A1DF"/>
        </w:rPr>
      </w:pPr>
    </w:p>
    <w:p>
      <w:pPr>
        <w:ind w:left="540" w:hanging="330"/>
        <w:spacing w:after="0" w:line="250" w:lineRule="auto"/>
        <w:tabs>
          <w:tab w:leader="none" w:pos="469"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Unique and extensive background in intelligence, security, risk analysis, and mitigation, which will provide significant insight into the Board’s oversight of GM’s enterprise risk identification and mitigation processes.</w:t>
      </w:r>
    </w:p>
    <w:p>
      <w:pPr>
        <w:spacing w:after="0" w:line="2" w:lineRule="exact"/>
        <w:rPr>
          <w:rFonts w:ascii="Arial" w:cs="Arial" w:eastAsia="Arial" w:hAnsi="Arial"/>
          <w:sz w:val="16"/>
          <w:szCs w:val="16"/>
          <w:color w:val="00A1DF"/>
        </w:rPr>
      </w:pPr>
    </w:p>
    <w:p>
      <w:pPr>
        <w:ind w:left="540" w:hanging="330"/>
        <w:spacing w:after="0" w:line="277" w:lineRule="auto"/>
        <w:tabs>
          <w:tab w:leader="none" w:pos="469"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another large global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200025</wp:posOffset>
            </wp:positionV>
            <wp:extent cx="6758305"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0033A0"/>
        </w:rPr>
        <w:t>Patricia F. Russo</w:t>
      </w:r>
    </w:p>
    <w:p>
      <w:pPr>
        <w:spacing w:after="0" w:line="107" w:lineRule="exact"/>
        <w:rPr>
          <w:sz w:val="20"/>
          <w:szCs w:val="20"/>
          <w:color w:val="auto"/>
        </w:rPr>
      </w:pPr>
    </w:p>
    <w:p>
      <w:pPr>
        <w:ind w:left="649"/>
        <w:spacing w:after="0"/>
        <w:rPr>
          <w:sz w:val="20"/>
          <w:szCs w:val="20"/>
          <w:color w:val="auto"/>
        </w:rPr>
      </w:pPr>
      <w:r>
        <w:rPr>
          <w:rFonts w:ascii="Arial" w:cs="Arial" w:eastAsia="Arial" w:hAnsi="Arial"/>
          <w:sz w:val="18"/>
          <w:szCs w:val="18"/>
          <w:i w:val="1"/>
          <w:iCs w:val="1"/>
          <w:color w:val="auto"/>
        </w:rPr>
        <w:t>Chairman, Hewlett Packard Enterprise Company</w:t>
      </w:r>
    </w:p>
    <w:p>
      <w:pPr>
        <w:spacing w:after="0" w:line="32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66 years old</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Director since: 2009</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9" w:right="640"/>
        <w:spacing w:after="0" w:line="260" w:lineRule="auto"/>
        <w:rPr>
          <w:sz w:val="20"/>
          <w:szCs w:val="20"/>
          <w:color w:val="auto"/>
        </w:rPr>
      </w:pPr>
      <w:r>
        <w:rPr>
          <w:rFonts w:ascii="Arial" w:cs="Arial" w:eastAsia="Arial" w:hAnsi="Arial"/>
          <w:sz w:val="16"/>
          <w:szCs w:val="16"/>
          <w:color w:val="auto"/>
        </w:rPr>
        <w:t>Executive, Executive Compensation, Finance, Governance and Corporate Responsibility (Chair)</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9" w:right="200"/>
        <w:spacing w:after="0" w:line="260" w:lineRule="auto"/>
        <w:rPr>
          <w:sz w:val="20"/>
          <w:szCs w:val="20"/>
          <w:color w:val="auto"/>
        </w:rPr>
      </w:pPr>
      <w:r>
        <w:rPr>
          <w:rFonts w:ascii="Arial" w:cs="Arial" w:eastAsia="Arial" w:hAnsi="Arial"/>
          <w:sz w:val="16"/>
          <w:szCs w:val="16"/>
          <w:color w:val="auto"/>
        </w:rPr>
        <w:t>Hewlett Packard Enterprise Company (Chairman), KKR Management LLC, and Merck &amp; Co. Inc.</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color w:val="auto"/>
        </w:rPr>
        <w:t>Hewlett-Packard Company (2011 to 2015) (Lead Director 2014 to 2015)</w:t>
      </w:r>
    </w:p>
    <w:p>
      <w:pPr>
        <w:spacing w:after="0" w:line="5" w:lineRule="exact"/>
        <w:rPr>
          <w:sz w:val="20"/>
          <w:szCs w:val="20"/>
          <w:color w:val="auto"/>
        </w:rPr>
      </w:pPr>
    </w:p>
    <w:p>
      <w:pPr>
        <w:ind w:left="9"/>
        <w:spacing w:after="0"/>
        <w:rPr>
          <w:sz w:val="20"/>
          <w:szCs w:val="20"/>
          <w:color w:val="auto"/>
        </w:rPr>
      </w:pPr>
      <w:r>
        <w:rPr>
          <w:rFonts w:ascii="Arial" w:cs="Arial" w:eastAsia="Arial" w:hAnsi="Arial"/>
          <w:sz w:val="16"/>
          <w:szCs w:val="16"/>
          <w:color w:val="auto"/>
        </w:rPr>
        <w:t>and Alcoa, Inc. (2016)</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Ms. Russo served as Lead Director of the Hewlett-Packard Company Board of Directors from 2014 to 2015. She was Independent Lead Director of the GM Board of Directors from March 2010 to January 2014. She also served as Chief Executive Officer of Alcatel-Lucent S.A. (“Alcatel-Lucent”) from 2006 to 2008; Chairman and Chief Executive Officer of Lucent Technologies, Inc., (“Lucent”) from 2003 to 2006; and President and Chief Executive Officer of Lucent from 2002 to 2006.</w:t>
      </w:r>
    </w:p>
    <w:p>
      <w:pPr>
        <w:spacing w:after="0" w:line="281"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9" w:hanging="329"/>
        <w:spacing w:after="0" w:line="252" w:lineRule="auto"/>
        <w:tabs>
          <w:tab w:leader="none" w:pos="258"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Extensive senior leadership gained as the CEO of Alcatel-Lucent and Lucent, including experience in corporate strategy, finance, sales and marketing, technology, and leadership development.</w:t>
      </w:r>
    </w:p>
    <w:p>
      <w:pPr>
        <w:ind w:left="329" w:hanging="329"/>
        <w:spacing w:after="0" w:line="252" w:lineRule="auto"/>
        <w:tabs>
          <w:tab w:leader="none" w:pos="258"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Significant strategic business experience gained through managing critical technology disruptions and successfully leading Lucent through a severe industry downturn.</w:t>
      </w:r>
    </w:p>
    <w:p>
      <w:pPr>
        <w:ind w:left="329" w:hanging="329"/>
        <w:spacing w:after="0" w:line="250" w:lineRule="auto"/>
        <w:tabs>
          <w:tab w:leader="none" w:pos="258"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Valuable insight into GM’s evaluation and execution of strategic transactions gained through experience overseeing Hewlett-Packard Company’s split into two companies, the Alcoa-Arconic split, and managing the Alcatel-Lucent merger.</w:t>
      </w:r>
    </w:p>
    <w:p>
      <w:pPr>
        <w:spacing w:after="0" w:line="2" w:lineRule="exact"/>
        <w:rPr>
          <w:rFonts w:ascii="Arial" w:cs="Arial" w:eastAsia="Arial" w:hAnsi="Arial"/>
          <w:sz w:val="16"/>
          <w:szCs w:val="16"/>
          <w:color w:val="00A1DF"/>
        </w:rPr>
      </w:pPr>
    </w:p>
    <w:p>
      <w:pPr>
        <w:ind w:left="329" w:right="20" w:hanging="329"/>
        <w:spacing w:after="0" w:line="262" w:lineRule="auto"/>
        <w:tabs>
          <w:tab w:leader="none" w:pos="258"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Valuable knowledge of key governance matters, including executive compensation, gained as the CEO of Alcatel-Lucent and Lucent and as a director of GM and other large global public companies.</w:t>
      </w:r>
    </w:p>
    <w:p>
      <w:pPr>
        <w:spacing w:after="0" w:line="142" w:lineRule="exact"/>
        <w:rPr>
          <w:sz w:val="20"/>
          <w:szCs w:val="20"/>
          <w:color w:val="auto"/>
        </w:rPr>
      </w:pPr>
    </w:p>
    <w:p>
      <w:pPr>
        <w:jc w:val="center"/>
        <w:ind w:left="-4408"/>
        <w:spacing w:after="0"/>
        <w:rPr>
          <w:sz w:val="20"/>
          <w:szCs w:val="20"/>
          <w:color w:val="auto"/>
        </w:rPr>
      </w:pPr>
      <w:r>
        <w:rPr>
          <w:rFonts w:ascii="Arial" w:cs="Arial" w:eastAsia="Arial" w:hAnsi="Arial"/>
          <w:sz w:val="14"/>
          <w:szCs w:val="14"/>
          <w:color w:val="0033A0"/>
        </w:rPr>
        <w:t>15</w:t>
      </w:r>
    </w:p>
    <w:p>
      <w:pPr>
        <w:sectPr>
          <w:pgSz w:w="11900" w:h="16838" w:orient="portrait"/>
          <w:cols w:equalWidth="0" w:num="2">
            <w:col w:w="5500" w:space="551"/>
            <w:col w:w="5169"/>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13963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9445" cy="13963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0033A0"/>
        </w:rPr>
        <w:t>Thomas M. Schoewe</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8"/>
          <w:szCs w:val="18"/>
          <w:i w:val="1"/>
          <w:iCs w:val="1"/>
          <w:color w:val="auto"/>
        </w:rPr>
        <w:t>Retired Executive Vice President &amp; Chief Financial Officer,</w:t>
      </w:r>
    </w:p>
    <w:p>
      <w:pPr>
        <w:spacing w:after="0" w:line="13" w:lineRule="exact"/>
        <w:rPr>
          <w:sz w:val="20"/>
          <w:szCs w:val="20"/>
          <w:color w:val="auto"/>
        </w:rPr>
      </w:pPr>
    </w:p>
    <w:p>
      <w:pPr>
        <w:jc w:val="center"/>
        <w:ind w:left="220"/>
        <w:spacing w:after="0"/>
        <w:rPr>
          <w:sz w:val="20"/>
          <w:szCs w:val="20"/>
          <w:color w:val="auto"/>
        </w:rPr>
      </w:pPr>
      <w:r>
        <w:rPr>
          <w:rFonts w:ascii="Arial" w:cs="Arial" w:eastAsia="Arial" w:hAnsi="Arial"/>
          <w:sz w:val="18"/>
          <w:szCs w:val="18"/>
          <w:i w:val="1"/>
          <w:iCs w:val="1"/>
          <w:color w:val="auto"/>
        </w:rPr>
        <w:t>Wal-Mart Stores, Inc.</w:t>
      </w:r>
    </w:p>
    <w:p>
      <w:pPr>
        <w:spacing w:after="0" w:line="10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66 years old</w:t>
      </w:r>
    </w:p>
    <w:p>
      <w:pPr>
        <w:spacing w:after="0" w:line="10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Director since: 2011</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Audit (Chair), Cybersecurity, Executive, Finance, Risk</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KKR Management LLC and Northrop Grumman Corporation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Public Company Directorship</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PulteGroup, Inc. (2009 to 2012)</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Mr. Schoewe served as Executive Vice President and Chief Financial Officer of Wal-Mart Stores, Inc. (“Wal-Mart”) from 2000 to 2011. Prior to joining Wal-Mart, he was Senior Vice President and Chief Financial Officer of Black &amp; Decker Corporation (“Black &amp; Decker”) from 1996 to 1999; Vice President and Chief Financial Officer of Black &amp; Decker from 1993 to 1996; Vice President of Finance of Black &amp; Decker from 1989 to 1993; and Vice President of Business Planning and Analysis of Black &amp; Decker from 1986 to 1989.</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40" w:right="20" w:hanging="330"/>
        <w:spacing w:after="0" w:line="255" w:lineRule="auto"/>
        <w:tabs>
          <w:tab w:leader="none" w:pos="469"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Extensive financial expertise as the CFO of Wal-Mart and Black &amp; Decker.</w:t>
      </w:r>
    </w:p>
    <w:p>
      <w:pPr>
        <w:ind w:left="540" w:hanging="330"/>
        <w:spacing w:after="0" w:line="252" w:lineRule="auto"/>
        <w:tabs>
          <w:tab w:leader="none" w:pos="469"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Significant senior leadership experience gained in various leadership positions, including experience in financial reporting, accounting and controls, business planning and analysis, and risk management.</w:t>
      </w:r>
    </w:p>
    <w:p>
      <w:pPr>
        <w:ind w:left="540" w:right="20" w:hanging="330"/>
        <w:spacing w:after="0" w:line="250" w:lineRule="auto"/>
        <w:tabs>
          <w:tab w:leader="none" w:pos="469"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Valuable insight into GM’s IT function, technology systems and processes, and cybersecurity framework gained through experience leading large-scale, transformational IT implementations at Wal-Mart and Black &amp; Decker.</w:t>
      </w:r>
    </w:p>
    <w:p>
      <w:pPr>
        <w:spacing w:after="0" w:line="2" w:lineRule="exact"/>
        <w:rPr>
          <w:rFonts w:ascii="Arial" w:cs="Arial" w:eastAsia="Arial" w:hAnsi="Arial"/>
          <w:sz w:val="16"/>
          <w:szCs w:val="16"/>
          <w:color w:val="00A1DF"/>
        </w:rPr>
      </w:pPr>
    </w:p>
    <w:p>
      <w:pPr>
        <w:ind w:left="540" w:hanging="330"/>
        <w:spacing w:after="0" w:line="277" w:lineRule="auto"/>
        <w:tabs>
          <w:tab w:leader="none" w:pos="469"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other large global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0033A0"/>
        </w:rPr>
        <w:t>Carol M. Stephenson, O.C.</w:t>
      </w:r>
    </w:p>
    <w:p>
      <w:pPr>
        <w:spacing w:after="0" w:line="107" w:lineRule="exact"/>
        <w:rPr>
          <w:sz w:val="20"/>
          <w:szCs w:val="20"/>
          <w:color w:val="auto"/>
        </w:rPr>
      </w:pPr>
    </w:p>
    <w:p>
      <w:pPr>
        <w:jc w:val="center"/>
        <w:ind w:right="-8"/>
        <w:spacing w:after="0"/>
        <w:rPr>
          <w:sz w:val="20"/>
          <w:szCs w:val="20"/>
          <w:color w:val="auto"/>
        </w:rPr>
      </w:pPr>
      <w:r>
        <w:rPr>
          <w:rFonts w:ascii="Arial" w:cs="Arial" w:eastAsia="Arial" w:hAnsi="Arial"/>
          <w:sz w:val="18"/>
          <w:szCs w:val="18"/>
          <w:i w:val="1"/>
          <w:iCs w:val="1"/>
          <w:color w:val="auto"/>
        </w:rPr>
        <w:t>Retired Dean, Ivey Business School,</w:t>
      </w:r>
    </w:p>
    <w:p>
      <w:pPr>
        <w:spacing w:after="0" w:line="13" w:lineRule="exact"/>
        <w:rPr>
          <w:sz w:val="20"/>
          <w:szCs w:val="20"/>
          <w:color w:val="auto"/>
        </w:rPr>
      </w:pPr>
    </w:p>
    <w:p>
      <w:pPr>
        <w:jc w:val="center"/>
        <w:ind w:right="-8"/>
        <w:spacing w:after="0"/>
        <w:rPr>
          <w:sz w:val="20"/>
          <w:szCs w:val="20"/>
          <w:color w:val="auto"/>
        </w:rPr>
      </w:pPr>
      <w:r>
        <w:rPr>
          <w:rFonts w:ascii="Arial" w:cs="Arial" w:eastAsia="Arial" w:hAnsi="Arial"/>
          <w:sz w:val="18"/>
          <w:szCs w:val="18"/>
          <w:i w:val="1"/>
          <w:iCs w:val="1"/>
          <w:color w:val="auto"/>
        </w:rPr>
        <w:t>University of Western Ontario</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68 years old</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Director since: 2009</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9" w:right="760"/>
        <w:spacing w:after="0" w:line="260" w:lineRule="auto"/>
        <w:rPr>
          <w:sz w:val="20"/>
          <w:szCs w:val="20"/>
          <w:color w:val="auto"/>
        </w:rPr>
      </w:pPr>
      <w:r>
        <w:rPr>
          <w:rFonts w:ascii="Arial" w:cs="Arial" w:eastAsia="Arial" w:hAnsi="Arial"/>
          <w:sz w:val="16"/>
          <w:szCs w:val="16"/>
          <w:color w:val="auto"/>
        </w:rPr>
        <w:t>Executive, Executive Compensation (Chair), Governance and Corporate Responsibility</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9" w:right="340"/>
        <w:spacing w:after="0" w:line="260" w:lineRule="auto"/>
        <w:rPr>
          <w:sz w:val="20"/>
          <w:szCs w:val="20"/>
          <w:color w:val="auto"/>
        </w:rPr>
      </w:pPr>
      <w:r>
        <w:rPr>
          <w:rFonts w:ascii="Arial" w:cs="Arial" w:eastAsia="Arial" w:hAnsi="Arial"/>
          <w:sz w:val="16"/>
          <w:szCs w:val="16"/>
          <w:color w:val="auto"/>
        </w:rPr>
        <w:t>Intact Financial Corporation (formerly ING Canada) and Maple Leaf Foods Inc.</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9" w:right="380"/>
        <w:spacing w:after="0" w:line="260" w:lineRule="auto"/>
        <w:rPr>
          <w:sz w:val="20"/>
          <w:szCs w:val="20"/>
          <w:color w:val="auto"/>
        </w:rPr>
      </w:pPr>
      <w:r>
        <w:rPr>
          <w:rFonts w:ascii="Arial" w:cs="Arial" w:eastAsia="Arial" w:hAnsi="Arial"/>
          <w:sz w:val="16"/>
          <w:szCs w:val="16"/>
          <w:color w:val="auto"/>
        </w:rPr>
        <w:t>Ballard Power Systems, Inc. (2012 to 2017) and Manitoba Telecom Services (2008 to 2016)</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Ms. Stephenson served as Dean of the Ivey Business School at the University of Western Ontario from 2003 until her retirement in 2013. Prior to joining the Ivey Business School, she was President and Chief Executive Officer of Lucent Technologies Canada from 1999 to 2003. She was also a member of the Advisory Board of General Motors of Canada, Limited, a GM subsidiary, from 2005 to 2009 and was appointed an officer of the Order of Canada in 2009.</w:t>
      </w:r>
    </w:p>
    <w:p>
      <w:pPr>
        <w:spacing w:after="0" w:line="93"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9" w:hanging="329"/>
        <w:spacing w:after="0" w:line="252" w:lineRule="auto"/>
        <w:tabs>
          <w:tab w:leader="none" w:pos="258"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Significant senior leadership experience gained as Dean of the Ivey Business School and in leadership positions in the telecommunications industry.</w:t>
      </w:r>
    </w:p>
    <w:p>
      <w:pPr>
        <w:ind w:left="329" w:hanging="329"/>
        <w:spacing w:after="0" w:line="250" w:lineRule="auto"/>
        <w:tabs>
          <w:tab w:leader="none" w:pos="258"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Valuable insight into GM’s strategy to strengthen our core business and transform the future of personal mobility gained through expertise in marketing, operations, strategic planning, technology development, and financial management.</w:t>
      </w:r>
    </w:p>
    <w:p>
      <w:pPr>
        <w:spacing w:after="0" w:line="2" w:lineRule="exact"/>
        <w:rPr>
          <w:rFonts w:ascii="Arial" w:cs="Arial" w:eastAsia="Arial" w:hAnsi="Arial"/>
          <w:sz w:val="16"/>
          <w:szCs w:val="16"/>
          <w:color w:val="00A1DF"/>
        </w:rPr>
      </w:pPr>
    </w:p>
    <w:p>
      <w:pPr>
        <w:ind w:left="329" w:hanging="329"/>
        <w:spacing w:after="0" w:line="252" w:lineRule="auto"/>
        <w:tabs>
          <w:tab w:leader="none" w:pos="258"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Extensive expertise in North American trade issues and the Canadian business environment gained as a director at several leading Canadian companies.</w:t>
      </w:r>
    </w:p>
    <w:p>
      <w:pPr>
        <w:ind w:left="329" w:right="20" w:hanging="329"/>
        <w:spacing w:after="0" w:line="262" w:lineRule="auto"/>
        <w:tabs>
          <w:tab w:leader="none" w:pos="258"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Valuable knowledge of key governance matters, including executive compensation, gained as a director of GM and other large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86995</wp:posOffset>
            </wp:positionV>
            <wp:extent cx="68529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ectPr>
          <w:pgSz w:w="11900" w:h="16838" w:orient="portrait"/>
          <w:cols w:equalWidth="0" w:num="2">
            <w:col w:w="5500" w:space="551"/>
            <w:col w:w="5169"/>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13963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9445" cy="139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540"/>
        <w:spacing w:after="0"/>
        <w:rPr>
          <w:sz w:val="20"/>
          <w:szCs w:val="20"/>
          <w:color w:val="auto"/>
        </w:rPr>
      </w:pPr>
      <w:r>
        <w:rPr>
          <w:rFonts w:ascii="Arial" w:cs="Arial" w:eastAsia="Arial" w:hAnsi="Arial"/>
          <w:sz w:val="18"/>
          <w:szCs w:val="18"/>
          <w:b w:val="1"/>
          <w:bCs w:val="1"/>
          <w:color w:val="0033A0"/>
        </w:rPr>
        <w:t>Devin N. Wenig</w:t>
      </w:r>
    </w:p>
    <w:p>
      <w:pPr>
        <w:spacing w:after="0" w:line="107" w:lineRule="exact"/>
        <w:rPr>
          <w:sz w:val="20"/>
          <w:szCs w:val="20"/>
          <w:color w:val="auto"/>
        </w:rPr>
      </w:pPr>
    </w:p>
    <w:p>
      <w:pPr>
        <w:jc w:val="center"/>
        <w:ind w:right="554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13" w:lineRule="exact"/>
        <w:rPr>
          <w:sz w:val="20"/>
          <w:szCs w:val="20"/>
          <w:color w:val="auto"/>
        </w:rPr>
      </w:pPr>
    </w:p>
    <w:p>
      <w:pPr>
        <w:jc w:val="center"/>
        <w:ind w:right="5540"/>
        <w:spacing w:after="0"/>
        <w:rPr>
          <w:sz w:val="20"/>
          <w:szCs w:val="20"/>
          <w:color w:val="auto"/>
        </w:rPr>
      </w:pPr>
      <w:r>
        <w:rPr>
          <w:rFonts w:ascii="Arial" w:cs="Arial" w:eastAsia="Arial" w:hAnsi="Arial"/>
          <w:sz w:val="18"/>
          <w:szCs w:val="18"/>
          <w:i w:val="1"/>
          <w:iCs w:val="1"/>
          <w:color w:val="auto"/>
        </w:rPr>
        <w:t>eBay Inc.</w:t>
      </w:r>
    </w:p>
    <w:p>
      <w:pPr>
        <w:spacing w:after="0" w:line="103" w:lineRule="exact"/>
        <w:rPr>
          <w:sz w:val="20"/>
          <w:szCs w:val="20"/>
          <w:color w:val="auto"/>
        </w:rPr>
      </w:pPr>
    </w:p>
    <w:p>
      <w:pPr>
        <w:jc w:val="center"/>
        <w:ind w:right="5540"/>
        <w:spacing w:after="0"/>
        <w:rPr>
          <w:sz w:val="20"/>
          <w:szCs w:val="20"/>
          <w:color w:val="auto"/>
        </w:rPr>
      </w:pPr>
      <w:r>
        <w:rPr>
          <w:rFonts w:ascii="Arial" w:cs="Arial" w:eastAsia="Arial" w:hAnsi="Arial"/>
          <w:sz w:val="18"/>
          <w:szCs w:val="18"/>
          <w:color w:val="auto"/>
        </w:rPr>
        <w:t>52 years old</w:t>
      </w:r>
    </w:p>
    <w:p>
      <w:pPr>
        <w:spacing w:after="0" w:line="103" w:lineRule="exact"/>
        <w:rPr>
          <w:sz w:val="20"/>
          <w:szCs w:val="20"/>
          <w:color w:val="auto"/>
        </w:rPr>
      </w:pPr>
    </w:p>
    <w:p>
      <w:pPr>
        <w:jc w:val="center"/>
        <w:ind w:right="5540"/>
        <w:spacing w:after="0"/>
        <w:rPr>
          <w:sz w:val="20"/>
          <w:szCs w:val="20"/>
          <w:color w:val="auto"/>
        </w:rPr>
      </w:pPr>
      <w:r>
        <w:rPr>
          <w:rFonts w:ascii="Arial" w:cs="Arial" w:eastAsia="Arial" w:hAnsi="Arial"/>
          <w:sz w:val="18"/>
          <w:szCs w:val="18"/>
          <w:color w:val="auto"/>
        </w:rPr>
        <w:t>Director since: 2018</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Committees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Risk</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eBay Inc.</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July 2015, Mr. Wenig was appointed as President and Chief Executive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Officer of eBay Inc. (“eBay”). Prior to that time, he served as President of</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eBay’s Marketplaces business from 2011 to July 2015. Prior to joining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eBay,  Mr.  Wenig  was  Chief  Executive  Officer  of  Thomson  Reuters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Corporation’s (“Thomson Reuters”) largest division, Thomson Reuters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Markets, from 2008 to 2011; Chief Operating Officer of Reuters Group plc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(“Reuters”) from 2006 to 2008; and President of Reuters Business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divisions from 2003 to 2006.</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40" w:right="5740" w:hanging="330"/>
        <w:spacing w:after="0" w:line="252" w:lineRule="auto"/>
        <w:tabs>
          <w:tab w:leader="none" w:pos="469"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eBay, including experience in technology, global operations, and strategic planning.</w:t>
      </w:r>
    </w:p>
    <w:p>
      <w:pPr>
        <w:ind w:left="540" w:right="5740" w:hanging="330"/>
        <w:spacing w:after="0" w:line="252" w:lineRule="auto"/>
        <w:tabs>
          <w:tab w:leader="none" w:pos="469"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Critical technology insight into GM’s strategies related to the future of mobility, autonomous vehicles, vehicle connectivity, and data monetization gained through various roles at eBay.</w:t>
      </w:r>
    </w:p>
    <w:p>
      <w:pPr>
        <w:ind w:left="540" w:right="5740" w:hanging="330"/>
        <w:spacing w:after="0" w:line="250" w:lineRule="auto"/>
        <w:tabs>
          <w:tab w:leader="none" w:pos="469"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Valuable insight into GM’s strategy to enhance the customer experience and earn customers for life gained through various consumer-facing leadership roles at eBay, Thomson Reuters, and Reuters.</w:t>
      </w:r>
    </w:p>
    <w:p>
      <w:pPr>
        <w:spacing w:after="0" w:line="2" w:lineRule="exact"/>
        <w:rPr>
          <w:rFonts w:ascii="Arial" w:cs="Arial" w:eastAsia="Arial" w:hAnsi="Arial"/>
          <w:sz w:val="16"/>
          <w:szCs w:val="16"/>
          <w:color w:val="00A1DF"/>
        </w:rPr>
      </w:pPr>
    </w:p>
    <w:p>
      <w:pPr>
        <w:ind w:left="540" w:right="5740" w:hanging="330"/>
        <w:spacing w:after="0" w:line="277" w:lineRule="auto"/>
        <w:tabs>
          <w:tab w:leader="none" w:pos="469"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the CEO and as a director of eBay.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80010</wp:posOffset>
            </wp:positionV>
            <wp:extent cx="6758305"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11"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17</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Non-Employee Director Compensation</w:t>
      </w:r>
    </w:p>
    <w:p>
      <w:pPr>
        <w:spacing w:after="0" w:line="187"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Our non-employee directors receive cash compensation as well as equity compensation in the form of GM Deferred Share Units (“DSUs”) for their Board service. Compensation for our non-employee directors is set by the Board at the recommendation of the Governance Committee.</w:t>
      </w:r>
    </w:p>
    <w:p>
      <w:pPr>
        <w:spacing w:after="0" w:line="316" w:lineRule="exact"/>
        <w:rPr>
          <w:sz w:val="20"/>
          <w:szCs w:val="20"/>
          <w:color w:val="auto"/>
        </w:rPr>
      </w:pPr>
    </w:p>
    <w:p>
      <w:pPr>
        <w:ind w:left="640" w:hanging="430"/>
        <w:spacing w:after="0"/>
        <w:tabs>
          <w:tab w:leader="none" w:pos="640" w:val="left"/>
        </w:tabs>
        <w:numPr>
          <w:ilvl w:val="0"/>
          <w:numId w:val="20"/>
        </w:numPr>
        <w:rPr>
          <w:rFonts w:ascii="Arial" w:cs="Arial" w:eastAsia="Arial" w:hAnsi="Arial"/>
          <w:sz w:val="25"/>
          <w:szCs w:val="25"/>
          <w:color w:val="0033A0"/>
        </w:rPr>
      </w:pPr>
      <w:r>
        <w:rPr>
          <w:rFonts w:ascii="Arial" w:cs="Arial" w:eastAsia="Arial" w:hAnsi="Arial"/>
          <w:sz w:val="25"/>
          <w:szCs w:val="25"/>
          <w:color w:val="auto"/>
        </w:rPr>
        <w:t>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142240</wp:posOffset>
            </wp:positionV>
            <wp:extent cx="6989445" cy="1028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89445" cy="1028065"/>
                    </a:xfrm>
                    <a:prstGeom prst="rect">
                      <a:avLst/>
                    </a:prstGeom>
                    <a:noFill/>
                  </pic:spPr>
                </pic:pic>
              </a:graphicData>
            </a:graphic>
          </wp:anchor>
        </w:drawing>
      </w:r>
    </w:p>
    <w:p>
      <w:pPr>
        <w:spacing w:after="0" w:line="246" w:lineRule="exact"/>
        <w:rPr>
          <w:sz w:val="20"/>
          <w:szCs w:val="20"/>
          <w:color w:val="auto"/>
        </w:rPr>
      </w:pPr>
    </w:p>
    <w:p>
      <w:pPr>
        <w:ind w:left="540" w:hanging="222"/>
        <w:spacing w:after="0"/>
        <w:tabs>
          <w:tab w:leader="none" w:pos="54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Fairly compensate directors for their responsibilities and time commitments.</w:t>
      </w:r>
    </w:p>
    <w:p>
      <w:pPr>
        <w:spacing w:after="0" w:line="139" w:lineRule="exact"/>
        <w:rPr>
          <w:rFonts w:ascii="Arial" w:cs="Arial" w:eastAsia="Arial" w:hAnsi="Arial"/>
          <w:sz w:val="16"/>
          <w:szCs w:val="16"/>
          <w:color w:val="00A1DF"/>
        </w:rPr>
      </w:pPr>
    </w:p>
    <w:p>
      <w:pPr>
        <w:ind w:left="540" w:right="120" w:hanging="222"/>
        <w:spacing w:after="0" w:line="260" w:lineRule="auto"/>
        <w:tabs>
          <w:tab w:leader="none" w:pos="54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Attract and retain highly qualified directors by offering a compensation program consistent with those at companies of similar size, scope, and complexity.</w:t>
      </w:r>
    </w:p>
    <w:p>
      <w:pPr>
        <w:spacing w:after="0" w:line="100" w:lineRule="exact"/>
        <w:rPr>
          <w:rFonts w:ascii="Arial" w:cs="Arial" w:eastAsia="Arial" w:hAnsi="Arial"/>
          <w:sz w:val="16"/>
          <w:szCs w:val="16"/>
          <w:color w:val="00A1DF"/>
        </w:rPr>
      </w:pPr>
    </w:p>
    <w:p>
      <w:pPr>
        <w:ind w:left="540" w:right="120" w:hanging="222"/>
        <w:spacing w:after="0" w:line="260" w:lineRule="auto"/>
        <w:tabs>
          <w:tab w:leader="none" w:pos="54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Align the interests of directors with our shareholders by providing a significant portion of compensation in equity and requiring directors to continue to own our common stock (or common stock equivalents).</w:t>
      </w:r>
    </w:p>
    <w:p>
      <w:pPr>
        <w:spacing w:after="0" w:line="100" w:lineRule="exact"/>
        <w:rPr>
          <w:rFonts w:ascii="Arial" w:cs="Arial" w:eastAsia="Arial" w:hAnsi="Arial"/>
          <w:sz w:val="16"/>
          <w:szCs w:val="16"/>
          <w:color w:val="00A1DF"/>
        </w:rPr>
      </w:pPr>
    </w:p>
    <w:p>
      <w:pPr>
        <w:ind w:left="540" w:hanging="222"/>
        <w:spacing w:after="0"/>
        <w:tabs>
          <w:tab w:leader="none" w:pos="54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Provide compensation that is simple and transparent to shareholders.</w:t>
      </w:r>
    </w:p>
    <w:p>
      <w:pPr>
        <w:spacing w:after="0" w:line="200" w:lineRule="exact"/>
        <w:rPr>
          <w:sz w:val="20"/>
          <w:szCs w:val="20"/>
          <w:color w:val="auto"/>
        </w:rPr>
      </w:pPr>
    </w:p>
    <w:p>
      <w:pPr>
        <w:spacing w:after="0" w:line="209" w:lineRule="exact"/>
        <w:rPr>
          <w:sz w:val="20"/>
          <w:szCs w:val="20"/>
          <w:color w:val="auto"/>
        </w:rPr>
      </w:pPr>
    </w:p>
    <w:p>
      <w:pPr>
        <w:ind w:left="640" w:hanging="430"/>
        <w:spacing w:after="0"/>
        <w:tabs>
          <w:tab w:leader="none" w:pos="640" w:val="left"/>
        </w:tabs>
        <w:numPr>
          <w:ilvl w:val="0"/>
          <w:numId w:val="22"/>
        </w:numPr>
        <w:rPr>
          <w:rFonts w:ascii="Arial" w:cs="Arial" w:eastAsia="Arial" w:hAnsi="Arial"/>
          <w:sz w:val="25"/>
          <w:szCs w:val="25"/>
          <w:color w:val="0033A0"/>
        </w:rPr>
      </w:pPr>
      <w:r>
        <w:rPr>
          <w:rFonts w:ascii="Arial" w:cs="Arial" w:eastAsia="Arial" w:hAnsi="Arial"/>
          <w:sz w:val="25"/>
          <w:szCs w:val="25"/>
          <w:color w:val="auto"/>
        </w:rPr>
        <w:t>Annual Review Process</w:t>
      </w:r>
    </w:p>
    <w:p>
      <w:pPr>
        <w:spacing w:after="0" w:line="18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Governance Committee, which consists solely of independent directors, annually assesses the form and amount of non-employee director compensation and recommends changes, if appropriate, to the Board based upon competitive market practices. GM’s Legal Staff also supports the Committee in determining director compensation and designing the related benefit programs. In addition, if the Governance Committee determines it is necessary, it has the authority to engage the services of outside consultants, experts, and others to assist in designing and setting director compensation. As part of its annual review, the Committee conducts extensive benchmarking by reviewing director compensation data for the executive compensation peer group described in “Executive Compensation—Compensation Overview—Peer Group for Compensation Comparisons” on page 42. Following its annual review of GM’s director compensation in December 2018, the Governance Committee recommended that the Board maintain the same structure and level of compensation and stock ownership requirements for 2019 as were in place in 2018.</w:t>
      </w:r>
    </w:p>
    <w:p>
      <w:pPr>
        <w:spacing w:after="0" w:line="327" w:lineRule="exact"/>
        <w:rPr>
          <w:sz w:val="20"/>
          <w:szCs w:val="20"/>
          <w:color w:val="auto"/>
        </w:rPr>
      </w:pPr>
    </w:p>
    <w:p>
      <w:pPr>
        <w:ind w:left="640" w:hanging="430"/>
        <w:spacing w:after="0"/>
        <w:tabs>
          <w:tab w:leader="none" w:pos="640" w:val="left"/>
        </w:tabs>
        <w:numPr>
          <w:ilvl w:val="0"/>
          <w:numId w:val="23"/>
        </w:numPr>
        <w:rPr>
          <w:rFonts w:ascii="Arial" w:cs="Arial" w:eastAsia="Arial" w:hAnsi="Arial"/>
          <w:sz w:val="25"/>
          <w:szCs w:val="25"/>
          <w:color w:val="0033A0"/>
        </w:rPr>
      </w:pPr>
      <w:r>
        <w:rPr>
          <w:rFonts w:ascii="Arial" w:cs="Arial" w:eastAsia="Arial" w:hAnsi="Arial"/>
          <w:sz w:val="25"/>
          <w:szCs w:val="25"/>
          <w:color w:val="auto"/>
        </w:rPr>
        <w:t>Director Stock Ownership and 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142240</wp:posOffset>
            </wp:positionV>
            <wp:extent cx="6989445" cy="13531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9445" cy="1353185"/>
                    </a:xfrm>
                    <a:prstGeom prst="rect">
                      <a:avLst/>
                    </a:prstGeom>
                    <a:noFill/>
                  </pic:spPr>
                </pic:pic>
              </a:graphicData>
            </a:graphic>
          </wp:anchor>
        </w:drawing>
      </w:r>
    </w:p>
    <w:p>
      <w:pPr>
        <w:spacing w:after="0" w:line="246" w:lineRule="exact"/>
        <w:rPr>
          <w:sz w:val="20"/>
          <w:szCs w:val="20"/>
          <w:color w:val="auto"/>
        </w:rPr>
      </w:pPr>
    </w:p>
    <w:p>
      <w:pPr>
        <w:ind w:left="540" w:hanging="222"/>
        <w:spacing w:after="0"/>
        <w:tabs>
          <w:tab w:leader="none" w:pos="54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Each non-employee director is required to own our common stock or DSUs with a market value of at least $500,000.</w:t>
      </w:r>
    </w:p>
    <w:p>
      <w:pPr>
        <w:spacing w:after="0" w:line="139" w:lineRule="exact"/>
        <w:rPr>
          <w:rFonts w:ascii="Arial" w:cs="Arial" w:eastAsia="Arial" w:hAnsi="Arial"/>
          <w:sz w:val="16"/>
          <w:szCs w:val="16"/>
          <w:color w:val="00A1DF"/>
        </w:rPr>
      </w:pPr>
    </w:p>
    <w:p>
      <w:pPr>
        <w:ind w:left="540" w:hanging="222"/>
        <w:spacing w:after="0"/>
        <w:tabs>
          <w:tab w:leader="none" w:pos="54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Each director has up to five years from the date he or she is first elected to the Board to meet this ownership requirement.</w:t>
      </w:r>
    </w:p>
    <w:p>
      <w:pPr>
        <w:spacing w:after="0" w:line="139" w:lineRule="exact"/>
        <w:rPr>
          <w:rFonts w:ascii="Arial" w:cs="Arial" w:eastAsia="Arial" w:hAnsi="Arial"/>
          <w:sz w:val="16"/>
          <w:szCs w:val="16"/>
          <w:color w:val="00A1DF"/>
        </w:rPr>
      </w:pPr>
    </w:p>
    <w:p>
      <w:pPr>
        <w:ind w:left="540" w:right="120" w:hanging="222"/>
        <w:spacing w:after="0" w:line="260" w:lineRule="auto"/>
        <w:tabs>
          <w:tab w:leader="none" w:pos="54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Non-employee directors are prohibited from selling any GM securities or derivatives of GM securities, such as DSUs, while they are members of the Board.</w:t>
      </w:r>
    </w:p>
    <w:p>
      <w:pPr>
        <w:spacing w:after="0" w:line="100" w:lineRule="exact"/>
        <w:rPr>
          <w:rFonts w:ascii="Arial" w:cs="Arial" w:eastAsia="Arial" w:hAnsi="Arial"/>
          <w:sz w:val="16"/>
          <w:szCs w:val="16"/>
          <w:color w:val="00A1DF"/>
        </w:rPr>
      </w:pPr>
    </w:p>
    <w:p>
      <w:pPr>
        <w:ind w:left="540" w:hanging="222"/>
        <w:spacing w:after="0"/>
        <w:tabs>
          <w:tab w:leader="none" w:pos="54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Ownership guidelines are reviewed each year to confirm they continue to be effective in aligning the interests of the Board and our shareholders.</w:t>
      </w:r>
    </w:p>
    <w:p>
      <w:pPr>
        <w:spacing w:after="0" w:line="139" w:lineRule="exact"/>
        <w:rPr>
          <w:rFonts w:ascii="Arial" w:cs="Arial" w:eastAsia="Arial" w:hAnsi="Arial"/>
          <w:sz w:val="16"/>
          <w:szCs w:val="16"/>
          <w:color w:val="00A1DF"/>
        </w:rPr>
      </w:pPr>
    </w:p>
    <w:p>
      <w:pPr>
        <w:jc w:val="both"/>
        <w:ind w:left="540" w:right="120" w:hanging="222"/>
        <w:spacing w:after="0" w:line="253" w:lineRule="auto"/>
        <w:tabs>
          <w:tab w:leader="none" w:pos="54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All of our directors are in compliance with our stock retention requirements. Ms. Miscik and Messrs. Bush and Wenig are within their five-year compliance period and are expected to meet the ownership requirement by the end of such period. All other directors have met or exceeded the ownership requirement.</w:t>
      </w:r>
    </w:p>
    <w:p>
      <w:pPr>
        <w:spacing w:after="0" w:line="376" w:lineRule="exact"/>
        <w:rPr>
          <w:sz w:val="20"/>
          <w:szCs w:val="20"/>
          <w:color w:val="auto"/>
        </w:rPr>
      </w:pPr>
    </w:p>
    <w:p>
      <w:pPr>
        <w:ind w:left="640" w:hanging="430"/>
        <w:spacing w:after="0"/>
        <w:tabs>
          <w:tab w:leader="none" w:pos="640" w:val="left"/>
        </w:tabs>
        <w:numPr>
          <w:ilvl w:val="0"/>
          <w:numId w:val="25"/>
        </w:numPr>
        <w:rPr>
          <w:rFonts w:ascii="Arial" w:cs="Arial" w:eastAsia="Arial" w:hAnsi="Arial"/>
          <w:sz w:val="25"/>
          <w:szCs w:val="25"/>
          <w:color w:val="0033A0"/>
        </w:rPr>
      </w:pPr>
      <w:r>
        <w:rPr>
          <w:rFonts w:ascii="Arial" w:cs="Arial" w:eastAsia="Arial" w:hAnsi="Arial"/>
          <w:sz w:val="25"/>
          <w:szCs w:val="25"/>
          <w:color w:val="auto"/>
        </w:rPr>
        <w:t>Annual Compensation</w:t>
      </w:r>
    </w:p>
    <w:p>
      <w:pPr>
        <w:spacing w:after="0" w:line="18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During 2018, compensation for non-employee directors consisted of the elements described in the table below. We do not pay any other retainers or meeting fees. The Independent Lead Director and Committee Chairs receive additional compensation due to the increased workload and additional responsibilities associated with these positions. In particular, Mr. Solso’s compensation as Independent Lead Director reflects the additional time commitment for this role, which includes, among other responsibilities, attending all Board Committee meetings, meeting with the Company’s investors, and attending additional meetings with the Company’s senior management, including the CEO. For additional information about the roles and responsibilities of our Independent Lead Director, see “Corporate Governance—Board Leadership Structure”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145415</wp:posOffset>
            </wp:positionV>
            <wp:extent cx="4608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08195" cy="8255"/>
                    </a:xfrm>
                    <a:prstGeom prst="rect">
                      <a:avLst/>
                    </a:prstGeom>
                    <a:noFill/>
                  </pic:spPr>
                </pic:pic>
              </a:graphicData>
            </a:graphic>
          </wp:anchor>
        </w:drawing>
      </w:r>
    </w:p>
    <w:p>
      <w:pPr>
        <w:spacing w:after="0" w:line="245" w:lineRule="exact"/>
        <w:rPr>
          <w:sz w:val="20"/>
          <w:szCs w:val="20"/>
          <w:color w:val="auto"/>
        </w:rPr>
      </w:pPr>
    </w:p>
    <w:tbl>
      <w:tblPr>
        <w:tblLayout w:type="fixed"/>
        <w:tblInd w:w="2080" w:type="dxa"/>
        <w:tblCellMar>
          <w:top w:w="0" w:type="dxa"/>
          <w:left w:w="0" w:type="dxa"/>
          <w:bottom w:w="0" w:type="dxa"/>
          <w:right w:w="0" w:type="dxa"/>
        </w:tblCellMar>
      </w:tblPr>
      <w:tr>
        <w:trPr>
          <w:trHeight w:val="227"/>
        </w:trPr>
        <w:tc>
          <w:tcPr>
            <w:tcW w:w="5740" w:type="dxa"/>
            <w:vAlign w:val="bottom"/>
            <w:tcBorders>
              <w:bottom w:val="single" w:sz="8" w:color="00A1DF"/>
            </w:tcBorders>
          </w:tcPr>
          <w:p>
            <w:pPr>
              <w:ind w:left="100"/>
              <w:spacing w:after="0"/>
              <w:rPr>
                <w:sz w:val="20"/>
                <w:szCs w:val="20"/>
                <w:color w:val="auto"/>
              </w:rPr>
            </w:pPr>
            <w:r>
              <w:rPr>
                <w:rFonts w:ascii="Arial" w:cs="Arial" w:eastAsia="Arial" w:hAnsi="Arial"/>
                <w:sz w:val="16"/>
                <w:szCs w:val="16"/>
                <w:b w:val="1"/>
                <w:bCs w:val="1"/>
                <w:color w:val="00A1DF"/>
              </w:rPr>
              <w:t>Compensation Element</w:t>
            </w:r>
          </w:p>
        </w:tc>
        <w:tc>
          <w:tcPr>
            <w:tcW w:w="1520" w:type="dxa"/>
            <w:vAlign w:val="bottom"/>
            <w:tcBorders>
              <w:bottom w:val="single" w:sz="8" w:color="00A1DF"/>
            </w:tcBorders>
          </w:tcPr>
          <w:p>
            <w:pPr>
              <w:jc w:val="right"/>
              <w:ind w:right="59"/>
              <w:spacing w:after="0"/>
              <w:rPr>
                <w:sz w:val="20"/>
                <w:szCs w:val="20"/>
                <w:color w:val="auto"/>
              </w:rPr>
            </w:pPr>
            <w:r>
              <w:rPr>
                <w:rFonts w:ascii="Arial" w:cs="Arial" w:eastAsia="Arial" w:hAnsi="Arial"/>
                <w:sz w:val="16"/>
                <w:szCs w:val="16"/>
                <w:b w:val="1"/>
                <w:bCs w:val="1"/>
                <w:color w:val="00A1DF"/>
              </w:rPr>
              <w:t>2018</w:t>
            </w:r>
          </w:p>
        </w:tc>
      </w:tr>
      <w:tr>
        <w:trPr>
          <w:trHeight w:val="236"/>
        </w:trPr>
        <w:tc>
          <w:tcPr>
            <w:tcW w:w="5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Board Retainer</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$ 285,000</w:t>
            </w:r>
          </w:p>
        </w:tc>
      </w:tr>
      <w:tr>
        <w:trPr>
          <w:trHeight w:val="236"/>
        </w:trPr>
        <w:tc>
          <w:tcPr>
            <w:tcW w:w="5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Independent Lead Director Fee</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$ 100,000</w:t>
            </w:r>
          </w:p>
        </w:tc>
      </w:tr>
      <w:tr>
        <w:trPr>
          <w:trHeight w:val="236"/>
        </w:trPr>
        <w:tc>
          <w:tcPr>
            <w:tcW w:w="5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Audit Committee Chair Fee</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$30,000</w:t>
            </w:r>
          </w:p>
        </w:tc>
      </w:tr>
      <w:tr>
        <w:trPr>
          <w:trHeight w:val="236"/>
        </w:trPr>
        <w:tc>
          <w:tcPr>
            <w:tcW w:w="5740" w:type="dxa"/>
            <w:vAlign w:val="bottom"/>
            <w:tcBorders>
              <w:bottom w:val="single" w:sz="8" w:color="0033A0"/>
            </w:tcBorders>
          </w:tcPr>
          <w:p>
            <w:pPr>
              <w:ind w:left="100"/>
              <w:spacing w:after="0"/>
              <w:rPr>
                <w:sz w:val="20"/>
                <w:szCs w:val="20"/>
                <w:color w:val="auto"/>
              </w:rPr>
            </w:pPr>
            <w:r>
              <w:rPr>
                <w:rFonts w:ascii="Arial" w:cs="Arial" w:eastAsia="Arial" w:hAnsi="Arial"/>
                <w:sz w:val="16"/>
                <w:szCs w:val="16"/>
                <w:color w:val="auto"/>
              </w:rPr>
              <w:t>All Other Committee Chair Fees (excluding the Executive Committee)</w:t>
            </w:r>
          </w:p>
        </w:tc>
        <w:tc>
          <w:tcPr>
            <w:tcW w:w="1520" w:type="dxa"/>
            <w:vAlign w:val="bottom"/>
            <w:tcBorders>
              <w:bottom w:val="single" w:sz="8" w:color="0033A0"/>
            </w:tcBorders>
          </w:tcPr>
          <w:p>
            <w:pPr>
              <w:jc w:val="right"/>
              <w:ind w:right="59"/>
              <w:spacing w:after="0"/>
              <w:rPr>
                <w:sz w:val="20"/>
                <w:szCs w:val="20"/>
                <w:color w:val="auto"/>
              </w:rPr>
            </w:pPr>
            <w:r>
              <w:rPr>
                <w:rFonts w:ascii="Arial" w:cs="Arial" w:eastAsia="Arial" w:hAnsi="Arial"/>
                <w:sz w:val="16"/>
                <w:szCs w:val="16"/>
                <w:color w:val="auto"/>
              </w:rPr>
              <w:t>$20,000</w:t>
            </w:r>
          </w:p>
        </w:tc>
      </w:tr>
    </w:tbl>
    <w:p>
      <w:pPr>
        <w:spacing w:after="0" w:line="123" w:lineRule="exact"/>
        <w:rPr>
          <w:sz w:val="20"/>
          <w:szCs w:val="20"/>
          <w:color w:val="auto"/>
        </w:rPr>
      </w:pPr>
    </w:p>
    <w:p>
      <w:pPr>
        <w:sectPr>
          <w:pgSz w:w="11900" w:h="16838" w:orient="portrait"/>
          <w:cols w:equalWidth="0" w:num="1">
            <w:col w:w="11220"/>
          </w:cols>
          <w:pgMar w:left="240" w:top="459" w:right="439" w:bottom="1440" w:gutter="0" w:footer="0" w:header="0"/>
        </w:sectPr>
      </w:pPr>
    </w:p>
    <w:p>
      <w:pPr>
        <w:ind w:left="220"/>
        <w:spacing w:after="0"/>
        <w:rPr>
          <w:sz w:val="20"/>
          <w:szCs w:val="20"/>
          <w:color w:val="auto"/>
        </w:rPr>
      </w:pPr>
      <w:r>
        <w:rPr>
          <w:rFonts w:ascii="Arial" w:cs="Arial" w:eastAsia="Arial" w:hAnsi="Arial"/>
          <w:sz w:val="12"/>
          <w:szCs w:val="12"/>
          <w:color w:val="0033A0"/>
        </w:rPr>
        <w:t xml:space="preserve">18 </w:t>
      </w:r>
      <w:r>
        <w:rPr>
          <w:sz w:val="1"/>
          <w:szCs w:val="1"/>
          <w:color w:val="auto"/>
        </w:rPr>
        <w:drawing>
          <wp:inline distT="0" distB="0" distL="0" distR="0">
            <wp:extent cx="6852920" cy="14541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8"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Non-employee directors are required to defer at least 50% of their annual Board retainer ($142,500) into DSUs under the General Motors Company Deferred Compensation Plan for Non-Employee Directors (the “Director Compensation Plan”). Directors may elect to defer all or half of their remaining Board retainer or amounts payable (if any) for serving as Committee Chair or Independent Lead Director into additional DSUs. The fees for a director who joins or leaves the Board or assumes additional responsibilities during the year are prorated for his or her period of service.</w:t>
      </w:r>
    </w:p>
    <w:p>
      <w:pPr>
        <w:spacing w:after="0" w:line="326" w:lineRule="exact"/>
        <w:rPr>
          <w:sz w:val="20"/>
          <w:szCs w:val="20"/>
          <w:color w:val="auto"/>
        </w:rPr>
      </w:pPr>
    </w:p>
    <w:p>
      <w:pPr>
        <w:ind w:left="640" w:hanging="430"/>
        <w:spacing w:after="0"/>
        <w:tabs>
          <w:tab w:leader="none" w:pos="640" w:val="left"/>
        </w:tabs>
        <w:numPr>
          <w:ilvl w:val="0"/>
          <w:numId w:val="26"/>
        </w:numPr>
        <w:rPr>
          <w:rFonts w:ascii="Arial" w:cs="Arial" w:eastAsia="Arial" w:hAnsi="Arial"/>
          <w:sz w:val="25"/>
          <w:szCs w:val="25"/>
          <w:color w:val="0033A0"/>
        </w:rPr>
      </w:pPr>
      <w:r>
        <w:rPr>
          <w:rFonts w:ascii="Arial" w:cs="Arial" w:eastAsia="Arial" w:hAnsi="Arial"/>
          <w:sz w:val="25"/>
          <w:szCs w:val="25"/>
          <w:color w:val="auto"/>
        </w:rPr>
        <w:t>How Deferred Share Units Work</w:t>
      </w:r>
    </w:p>
    <w:p>
      <w:pPr>
        <w:spacing w:after="0" w:line="18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Each DSU is equal in value to a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 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145415</wp:posOffset>
            </wp:positionV>
            <wp:extent cx="6852920" cy="1652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2920" cy="165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hanging="430"/>
        <w:spacing w:after="0"/>
        <w:tabs>
          <w:tab w:leader="none" w:pos="640" w:val="left"/>
        </w:tabs>
        <w:numPr>
          <w:ilvl w:val="0"/>
          <w:numId w:val="27"/>
        </w:numPr>
        <w:rPr>
          <w:rFonts w:ascii="Arial" w:cs="Arial" w:eastAsia="Arial" w:hAnsi="Arial"/>
          <w:sz w:val="25"/>
          <w:szCs w:val="25"/>
          <w:color w:val="0033A0"/>
        </w:rPr>
      </w:pPr>
      <w:r>
        <w:rPr>
          <w:rFonts w:ascii="Arial" w:cs="Arial" w:eastAsia="Arial" w:hAnsi="Arial"/>
          <w:sz w:val="25"/>
          <w:szCs w:val="25"/>
          <w:color w:val="auto"/>
        </w:rPr>
        <w:t>Other Compensation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outlined below, we provide certain additional benefits to non-employee directors.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36"/>
        </w:trPr>
        <w:tc>
          <w:tcPr>
            <w:tcW w:w="54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6"/>
                <w:szCs w:val="16"/>
                <w:b w:val="1"/>
                <w:bCs w:val="1"/>
                <w:color w:val="00A1DF"/>
              </w:rPr>
              <w:t>Type</w:t>
            </w:r>
          </w:p>
        </w:tc>
        <w:tc>
          <w:tcPr>
            <w:tcW w:w="2760" w:type="dxa"/>
            <w:vAlign w:val="bottom"/>
            <w:tcBorders>
              <w:top w:val="single" w:sz="8" w:color="00A1DF"/>
              <w:bottom w:val="single" w:sz="8" w:color="00A1DF"/>
            </w:tcBorders>
          </w:tcPr>
          <w:p>
            <w:pPr>
              <w:spacing w:after="0"/>
              <w:rPr>
                <w:sz w:val="20"/>
                <w:szCs w:val="20"/>
                <w:color w:val="auto"/>
              </w:rPr>
            </w:pPr>
          </w:p>
        </w:tc>
        <w:tc>
          <w:tcPr>
            <w:tcW w:w="7700" w:type="dxa"/>
            <w:vAlign w:val="bottom"/>
            <w:tcBorders>
              <w:top w:val="single" w:sz="8" w:color="00A1DF"/>
              <w:bottom w:val="single" w:sz="8" w:color="00A1DF"/>
            </w:tcBorders>
          </w:tcPr>
          <w:p>
            <w:pPr>
              <w:ind w:left="540"/>
              <w:spacing w:after="0"/>
              <w:rPr>
                <w:sz w:val="20"/>
                <w:szCs w:val="20"/>
                <w:color w:val="auto"/>
              </w:rPr>
            </w:pPr>
            <w:r>
              <w:rPr>
                <w:rFonts w:ascii="Arial" w:cs="Arial" w:eastAsia="Arial" w:hAnsi="Arial"/>
                <w:sz w:val="16"/>
                <w:szCs w:val="16"/>
                <w:b w:val="1"/>
                <w:bCs w:val="1"/>
                <w:color w:val="00A1DF"/>
              </w:rPr>
              <w:t>Purpose</w:t>
            </w:r>
          </w:p>
        </w:tc>
      </w:tr>
      <w:tr>
        <w:trPr>
          <w:trHeight w:val="272"/>
        </w:trPr>
        <w:tc>
          <w:tcPr>
            <w:tcW w:w="540" w:type="dxa"/>
            <w:vAlign w:val="bottom"/>
          </w:tcPr>
          <w:p>
            <w:pPr>
              <w:ind w:left="320"/>
              <w:spacing w:after="0"/>
              <w:rPr>
                <w:sz w:val="20"/>
                <w:szCs w:val="20"/>
                <w:color w:val="auto"/>
              </w:rPr>
            </w:pPr>
            <w:r>
              <w:rPr>
                <w:rFonts w:ascii="Arial" w:cs="Arial" w:eastAsia="Arial" w:hAnsi="Arial"/>
                <w:sz w:val="16"/>
                <w:szCs w:val="16"/>
                <w:color w:val="00A1DF"/>
              </w:rPr>
              <w:t>u</w:t>
            </w:r>
          </w:p>
        </w:tc>
        <w:tc>
          <w:tcPr>
            <w:tcW w:w="2760" w:type="dxa"/>
            <w:vAlign w:val="bottom"/>
          </w:tcPr>
          <w:p>
            <w:pPr>
              <w:ind w:left="120"/>
              <w:spacing w:after="0"/>
              <w:rPr>
                <w:sz w:val="20"/>
                <w:szCs w:val="20"/>
                <w:color w:val="auto"/>
              </w:rPr>
            </w:pPr>
            <w:r>
              <w:rPr>
                <w:rFonts w:ascii="Arial" w:cs="Arial" w:eastAsia="Arial" w:hAnsi="Arial"/>
                <w:sz w:val="16"/>
                <w:szCs w:val="16"/>
                <w:color w:val="auto"/>
              </w:rPr>
              <w:t>Company Vehicles</w:t>
            </w:r>
          </w:p>
        </w:tc>
        <w:tc>
          <w:tcPr>
            <w:tcW w:w="7700" w:type="dxa"/>
            <w:vAlign w:val="bottom"/>
          </w:tcPr>
          <w:p>
            <w:pPr>
              <w:ind w:left="540"/>
              <w:spacing w:after="0"/>
              <w:rPr>
                <w:sz w:val="20"/>
                <w:szCs w:val="20"/>
                <w:color w:val="auto"/>
              </w:rPr>
            </w:pPr>
            <w:r>
              <w:rPr>
                <w:rFonts w:ascii="Arial" w:cs="Arial" w:eastAsia="Arial" w:hAnsi="Arial"/>
                <w:sz w:val="16"/>
                <w:szCs w:val="16"/>
                <w:color w:val="auto"/>
              </w:rPr>
              <w:t>We provide directors with the use of Company vehicles to provide feedback on our products as well</w:t>
            </w:r>
          </w:p>
        </w:tc>
      </w:tr>
      <w:tr>
        <w:trPr>
          <w:trHeight w:val="189"/>
        </w:trPr>
        <w:tc>
          <w:tcPr>
            <w:tcW w:w="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700" w:type="dxa"/>
            <w:vAlign w:val="bottom"/>
          </w:tcPr>
          <w:p>
            <w:pPr>
              <w:ind w:left="540"/>
              <w:spacing w:after="0"/>
              <w:rPr>
                <w:sz w:val="20"/>
                <w:szCs w:val="20"/>
                <w:color w:val="auto"/>
              </w:rPr>
            </w:pPr>
            <w:r>
              <w:rPr>
                <w:rFonts w:ascii="Arial" w:cs="Arial" w:eastAsia="Arial" w:hAnsi="Arial"/>
                <w:sz w:val="16"/>
                <w:szCs w:val="16"/>
                <w:color w:val="auto"/>
              </w:rPr>
              <w:t>as enhance the public image of our vehicles. Retired directors also receive the use of a Company</w:t>
            </w:r>
          </w:p>
        </w:tc>
      </w:tr>
      <w:tr>
        <w:trPr>
          <w:trHeight w:val="189"/>
        </w:trPr>
        <w:tc>
          <w:tcPr>
            <w:tcW w:w="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700" w:type="dxa"/>
            <w:vAlign w:val="bottom"/>
          </w:tcPr>
          <w:p>
            <w:pPr>
              <w:ind w:left="540"/>
              <w:spacing w:after="0"/>
              <w:rPr>
                <w:sz w:val="20"/>
                <w:szCs w:val="20"/>
                <w:color w:val="auto"/>
              </w:rPr>
            </w:pPr>
            <w:r>
              <w:rPr>
                <w:rFonts w:ascii="Arial" w:cs="Arial" w:eastAsia="Arial" w:hAnsi="Arial"/>
                <w:sz w:val="16"/>
                <w:szCs w:val="16"/>
                <w:color w:val="auto"/>
              </w:rPr>
              <w:t>vehicle for a period of time. Participants are charged with imputed income based on the lease value</w:t>
            </w:r>
          </w:p>
        </w:tc>
      </w:tr>
      <w:tr>
        <w:trPr>
          <w:trHeight w:val="194"/>
        </w:trPr>
        <w:tc>
          <w:tcPr>
            <w:tcW w:w="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700" w:type="dxa"/>
            <w:vAlign w:val="bottom"/>
          </w:tcPr>
          <w:p>
            <w:pPr>
              <w:ind w:left="540"/>
              <w:spacing w:after="0"/>
              <w:rPr>
                <w:sz w:val="20"/>
                <w:szCs w:val="20"/>
                <w:color w:val="auto"/>
              </w:rPr>
            </w:pPr>
            <w:r>
              <w:rPr>
                <w:rFonts w:ascii="Arial" w:cs="Arial" w:eastAsia="Arial" w:hAnsi="Arial"/>
                <w:sz w:val="16"/>
                <w:szCs w:val="16"/>
                <w:color w:val="auto"/>
              </w:rPr>
              <w:t>of the vehicles and are responsible for associated taxes.</w:t>
            </w:r>
          </w:p>
        </w:tc>
      </w:tr>
      <w:tr>
        <w:trPr>
          <w:trHeight w:val="46"/>
        </w:trPr>
        <w:tc>
          <w:tcPr>
            <w:tcW w:w="54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r>
        <w:trPr>
          <w:trHeight w:val="274"/>
        </w:trPr>
        <w:tc>
          <w:tcPr>
            <w:tcW w:w="540" w:type="dxa"/>
            <w:vAlign w:val="bottom"/>
          </w:tcPr>
          <w:p>
            <w:pPr>
              <w:ind w:left="320"/>
              <w:spacing w:after="0"/>
              <w:rPr>
                <w:sz w:val="20"/>
                <w:szCs w:val="20"/>
                <w:color w:val="auto"/>
              </w:rPr>
            </w:pPr>
            <w:r>
              <w:rPr>
                <w:rFonts w:ascii="Arial" w:cs="Arial" w:eastAsia="Arial" w:hAnsi="Arial"/>
                <w:sz w:val="16"/>
                <w:szCs w:val="16"/>
                <w:color w:val="00A1DF"/>
              </w:rPr>
              <w:t>u</w:t>
            </w:r>
          </w:p>
        </w:tc>
        <w:tc>
          <w:tcPr>
            <w:tcW w:w="2760" w:type="dxa"/>
            <w:vAlign w:val="bottom"/>
          </w:tcPr>
          <w:p>
            <w:pPr>
              <w:ind w:left="180"/>
              <w:spacing w:after="0"/>
              <w:rPr>
                <w:sz w:val="20"/>
                <w:szCs w:val="20"/>
                <w:color w:val="auto"/>
              </w:rPr>
            </w:pPr>
            <w:r>
              <w:rPr>
                <w:rFonts w:ascii="Arial" w:cs="Arial" w:eastAsia="Arial" w:hAnsi="Arial"/>
                <w:sz w:val="16"/>
                <w:szCs w:val="16"/>
                <w:color w:val="auto"/>
              </w:rPr>
              <w:t>Personal Accident Insurance</w:t>
            </w:r>
          </w:p>
        </w:tc>
        <w:tc>
          <w:tcPr>
            <w:tcW w:w="7700" w:type="dxa"/>
            <w:vAlign w:val="bottom"/>
          </w:tcPr>
          <w:p>
            <w:pPr>
              <w:ind w:left="540"/>
              <w:spacing w:after="0"/>
              <w:rPr>
                <w:sz w:val="20"/>
                <w:szCs w:val="20"/>
                <w:color w:val="auto"/>
              </w:rPr>
            </w:pPr>
            <w:r>
              <w:rPr>
                <w:rFonts w:ascii="Arial" w:cs="Arial" w:eastAsia="Arial" w:hAnsi="Arial"/>
                <w:sz w:val="16"/>
                <w:szCs w:val="16"/>
                <w:color w:val="auto"/>
              </w:rPr>
              <w:t>We provide PAI coverage in the event of accidental death or dismemberment. Directors are</w:t>
            </w:r>
          </w:p>
        </w:tc>
      </w:tr>
      <w:tr>
        <w:trPr>
          <w:trHeight w:val="246"/>
        </w:trPr>
        <w:tc>
          <w:tcPr>
            <w:tcW w:w="540" w:type="dxa"/>
            <w:vAlign w:val="bottom"/>
            <w:tcBorders>
              <w:bottom w:val="single" w:sz="8" w:color="0033A0"/>
            </w:tcBorders>
          </w:tcPr>
          <w:p>
            <w:pPr>
              <w:spacing w:after="0"/>
              <w:rPr>
                <w:sz w:val="21"/>
                <w:szCs w:val="21"/>
                <w:color w:val="auto"/>
              </w:rPr>
            </w:pPr>
          </w:p>
        </w:tc>
        <w:tc>
          <w:tcPr>
            <w:tcW w:w="2760" w:type="dxa"/>
            <w:vAlign w:val="bottom"/>
            <w:tcBorders>
              <w:bottom w:val="single" w:sz="8" w:color="0033A0"/>
            </w:tcBorders>
          </w:tcPr>
          <w:p>
            <w:pPr>
              <w:ind w:left="100"/>
              <w:spacing w:after="0" w:line="246" w:lineRule="exact"/>
              <w:rPr>
                <w:sz w:val="20"/>
                <w:szCs w:val="20"/>
                <w:color w:val="auto"/>
              </w:rPr>
            </w:pPr>
            <w:r>
              <w:rPr>
                <w:rFonts w:ascii="Arial" w:cs="Arial" w:eastAsia="Arial" w:hAnsi="Arial"/>
                <w:sz w:val="16"/>
                <w:szCs w:val="16"/>
                <w:color w:val="auto"/>
              </w:rPr>
              <w:t>(“PAI”)</w:t>
            </w:r>
            <w:r>
              <w:rPr>
                <w:rFonts w:ascii="Arial" w:cs="Arial" w:eastAsia="Arial" w:hAnsi="Arial"/>
                <w:sz w:val="27"/>
                <w:szCs w:val="27"/>
                <w:color w:val="auto"/>
                <w:vertAlign w:val="superscript"/>
              </w:rPr>
              <w:t>(1)</w:t>
            </w:r>
          </w:p>
        </w:tc>
        <w:tc>
          <w:tcPr>
            <w:tcW w:w="7700" w:type="dxa"/>
            <w:vAlign w:val="bottom"/>
            <w:tcBorders>
              <w:bottom w:val="single" w:sz="8" w:color="0033A0"/>
            </w:tcBorders>
          </w:tcPr>
          <w:p>
            <w:pPr>
              <w:ind w:left="540"/>
              <w:spacing w:after="0"/>
              <w:rPr>
                <w:sz w:val="20"/>
                <w:szCs w:val="20"/>
                <w:color w:val="auto"/>
              </w:rPr>
            </w:pPr>
            <w:r>
              <w:rPr>
                <w:rFonts w:ascii="Arial" w:cs="Arial" w:eastAsia="Arial" w:hAnsi="Arial"/>
                <w:sz w:val="16"/>
                <w:szCs w:val="16"/>
                <w:color w:val="auto"/>
              </w:rPr>
              <w:t>responsible for associated taxes on the imputed income from the coverage.</w:t>
            </w:r>
          </w:p>
        </w:tc>
      </w:tr>
    </w:tbl>
    <w:p>
      <w:pPr>
        <w:spacing w:after="0" w:line="72" w:lineRule="exact"/>
        <w:rPr>
          <w:sz w:val="20"/>
          <w:szCs w:val="20"/>
          <w:color w:val="auto"/>
        </w:rPr>
      </w:pPr>
    </w:p>
    <w:p>
      <w:pPr>
        <w:ind w:left="540" w:right="20" w:hanging="330"/>
        <w:spacing w:after="0" w:line="278" w:lineRule="auto"/>
        <w:tabs>
          <w:tab w:leader="none" w:pos="54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Ms. Barra, our sole employee director, does not receive additional compensation for her Board service other than the PAI benefit described above, the value of which is reported for Ms. Barra in the Summary Compensation Table on page 58.</w:t>
      </w:r>
    </w:p>
    <w:p>
      <w:pPr>
        <w:spacing w:after="0" w:line="70"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Non-employee directors are not eligible to participate in any of the savings or retirement programs for our employees. Other than as described in this section, there are no separate benefit plans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80010</wp:posOffset>
            </wp:positionV>
            <wp:extent cx="6758305"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10"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19</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40" w:hanging="430"/>
        <w:spacing w:after="0"/>
        <w:tabs>
          <w:tab w:leader="none" w:pos="640" w:val="left"/>
        </w:tabs>
        <w:numPr>
          <w:ilvl w:val="0"/>
          <w:numId w:val="29"/>
        </w:numPr>
        <w:rPr>
          <w:rFonts w:ascii="Arial" w:cs="Arial" w:eastAsia="Arial" w:hAnsi="Arial"/>
          <w:sz w:val="25"/>
          <w:szCs w:val="25"/>
          <w:color w:val="0033A0"/>
        </w:rPr>
      </w:pPr>
      <w:r>
        <w:rPr>
          <w:rFonts w:ascii="Arial" w:cs="Arial" w:eastAsia="Arial" w:hAnsi="Arial"/>
          <w:sz w:val="25"/>
          <w:szCs w:val="25"/>
          <w:color w:val="auto"/>
        </w:rPr>
        <w:t>2018 Non-Employee Director Compensation Table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table shows the compensation that each non-employee director received for his or her 2018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69894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2780" w:type="dxa"/>
            <w:vAlign w:val="bottom"/>
          </w:tcPr>
          <w:p>
            <w:pPr>
              <w:jc w:val="right"/>
              <w:ind w:right="380"/>
              <w:spacing w:after="0"/>
              <w:rPr>
                <w:sz w:val="20"/>
                <w:szCs w:val="20"/>
                <w:color w:val="auto"/>
              </w:rPr>
            </w:pPr>
            <w:r>
              <w:rPr>
                <w:rFonts w:ascii="Arial" w:cs="Arial" w:eastAsia="Arial" w:hAnsi="Arial"/>
                <w:sz w:val="15"/>
                <w:szCs w:val="15"/>
                <w:b w:val="1"/>
                <w:bCs w:val="1"/>
                <w:color w:val="00A1DF"/>
              </w:rPr>
              <w:t>Fees Earned or</w:t>
            </w:r>
          </w:p>
        </w:tc>
        <w:tc>
          <w:tcPr>
            <w:tcW w:w="2120" w:type="dxa"/>
            <w:vAlign w:val="bottom"/>
          </w:tcPr>
          <w:p>
            <w:pPr>
              <w:spacing w:after="0"/>
              <w:rPr>
                <w:sz w:val="14"/>
                <w:szCs w:val="14"/>
                <w:color w:val="auto"/>
              </w:rPr>
            </w:pPr>
          </w:p>
        </w:tc>
        <w:tc>
          <w:tcPr>
            <w:tcW w:w="2120" w:type="dxa"/>
            <w:vAlign w:val="bottom"/>
          </w:tcPr>
          <w:p>
            <w:pPr>
              <w:jc w:val="right"/>
              <w:ind w:right="340"/>
              <w:spacing w:after="0"/>
              <w:rPr>
                <w:sz w:val="20"/>
                <w:szCs w:val="20"/>
                <w:color w:val="auto"/>
              </w:rPr>
            </w:pPr>
            <w:r>
              <w:rPr>
                <w:rFonts w:ascii="Arial" w:cs="Arial" w:eastAsia="Arial" w:hAnsi="Arial"/>
                <w:sz w:val="15"/>
                <w:szCs w:val="15"/>
                <w:b w:val="1"/>
                <w:bCs w:val="1"/>
                <w:color w:val="00A1DF"/>
              </w:rPr>
              <w:t>All Other</w:t>
            </w:r>
          </w:p>
        </w:tc>
        <w:tc>
          <w:tcPr>
            <w:tcW w:w="1180" w:type="dxa"/>
            <w:vAlign w:val="bottom"/>
          </w:tcPr>
          <w:p>
            <w:pPr>
              <w:spacing w:after="0"/>
              <w:rPr>
                <w:sz w:val="14"/>
                <w:szCs w:val="14"/>
                <w:color w:val="auto"/>
              </w:rPr>
            </w:pPr>
          </w:p>
        </w:tc>
      </w:tr>
      <w:tr>
        <w:trPr>
          <w:trHeight w:val="162"/>
        </w:trPr>
        <w:tc>
          <w:tcPr>
            <w:tcW w:w="2800" w:type="dxa"/>
            <w:vAlign w:val="bottom"/>
          </w:tcPr>
          <w:p>
            <w:pPr>
              <w:spacing w:after="0"/>
              <w:rPr>
                <w:sz w:val="14"/>
                <w:szCs w:val="14"/>
                <w:color w:val="auto"/>
              </w:rPr>
            </w:pPr>
          </w:p>
        </w:tc>
        <w:tc>
          <w:tcPr>
            <w:tcW w:w="2780" w:type="dxa"/>
            <w:vAlign w:val="bottom"/>
          </w:tcPr>
          <w:p>
            <w:pPr>
              <w:jc w:val="right"/>
              <w:ind w:right="380"/>
              <w:spacing w:after="0" w:line="162" w:lineRule="exact"/>
              <w:rPr>
                <w:sz w:val="20"/>
                <w:szCs w:val="20"/>
                <w:color w:val="auto"/>
              </w:rPr>
            </w:pPr>
            <w:r>
              <w:rPr>
                <w:rFonts w:ascii="Arial" w:cs="Arial" w:eastAsia="Arial" w:hAnsi="Arial"/>
                <w:sz w:val="15"/>
                <w:szCs w:val="15"/>
                <w:b w:val="1"/>
                <w:bCs w:val="1"/>
                <w:color w:val="00A1DF"/>
              </w:rPr>
              <w:t>Paid in Cash</w:t>
            </w:r>
            <w:r>
              <w:rPr>
                <w:rFonts w:ascii="Arial" w:cs="Arial" w:eastAsia="Arial" w:hAnsi="Arial"/>
                <w:sz w:val="12"/>
                <w:szCs w:val="12"/>
                <w:b w:val="1"/>
                <w:bCs w:val="1"/>
                <w:color w:val="00A1DF"/>
              </w:rPr>
              <w:t>(1)</w:t>
            </w:r>
          </w:p>
        </w:tc>
        <w:tc>
          <w:tcPr>
            <w:tcW w:w="2120" w:type="dxa"/>
            <w:vAlign w:val="bottom"/>
          </w:tcPr>
          <w:p>
            <w:pPr>
              <w:jc w:val="right"/>
              <w:ind w:right="400"/>
              <w:spacing w:after="0" w:line="162" w:lineRule="exact"/>
              <w:rPr>
                <w:sz w:val="20"/>
                <w:szCs w:val="20"/>
                <w:color w:val="auto"/>
              </w:rPr>
            </w:pPr>
            <w:r>
              <w:rPr>
                <w:rFonts w:ascii="Arial" w:cs="Arial" w:eastAsia="Arial" w:hAnsi="Arial"/>
                <w:sz w:val="15"/>
                <w:szCs w:val="15"/>
                <w:b w:val="1"/>
                <w:bCs w:val="1"/>
                <w:color w:val="00A1DF"/>
              </w:rPr>
              <w:t>Stock Awards</w:t>
            </w:r>
            <w:r>
              <w:rPr>
                <w:rFonts w:ascii="Arial" w:cs="Arial" w:eastAsia="Arial" w:hAnsi="Arial"/>
                <w:sz w:val="12"/>
                <w:szCs w:val="12"/>
                <w:b w:val="1"/>
                <w:bCs w:val="1"/>
                <w:color w:val="00A1DF"/>
              </w:rPr>
              <w:t>(2)</w:t>
            </w:r>
          </w:p>
        </w:tc>
        <w:tc>
          <w:tcPr>
            <w:tcW w:w="2120" w:type="dxa"/>
            <w:vAlign w:val="bottom"/>
          </w:tcPr>
          <w:p>
            <w:pPr>
              <w:jc w:val="right"/>
              <w:ind w:right="340"/>
              <w:spacing w:after="0" w:line="162" w:lineRule="exact"/>
              <w:rPr>
                <w:sz w:val="20"/>
                <w:szCs w:val="20"/>
                <w:color w:val="auto"/>
              </w:rPr>
            </w:pPr>
            <w:r>
              <w:rPr>
                <w:rFonts w:ascii="Arial" w:cs="Arial" w:eastAsia="Arial" w:hAnsi="Arial"/>
                <w:sz w:val="15"/>
                <w:szCs w:val="15"/>
                <w:b w:val="1"/>
                <w:bCs w:val="1"/>
                <w:color w:val="00A1DF"/>
              </w:rPr>
              <w:t>Compensation</w:t>
            </w:r>
            <w:r>
              <w:rPr>
                <w:rFonts w:ascii="Arial" w:cs="Arial" w:eastAsia="Arial" w:hAnsi="Arial"/>
                <w:sz w:val="12"/>
                <w:szCs w:val="12"/>
                <w:b w:val="1"/>
                <w:bCs w:val="1"/>
                <w:color w:val="00A1DF"/>
              </w:rPr>
              <w:t>(3)</w:t>
            </w:r>
          </w:p>
        </w:tc>
        <w:tc>
          <w:tcPr>
            <w:tcW w:w="1180" w:type="dxa"/>
            <w:vAlign w:val="bottom"/>
          </w:tcPr>
          <w:p>
            <w:pPr>
              <w:jc w:val="right"/>
              <w:ind w:right="100"/>
              <w:spacing w:after="0" w:line="162" w:lineRule="exact"/>
              <w:rPr>
                <w:sz w:val="20"/>
                <w:szCs w:val="20"/>
                <w:color w:val="auto"/>
              </w:rPr>
            </w:pPr>
            <w:r>
              <w:rPr>
                <w:rFonts w:ascii="Arial" w:cs="Arial" w:eastAsia="Arial" w:hAnsi="Arial"/>
                <w:sz w:val="15"/>
                <w:szCs w:val="15"/>
                <w:b w:val="1"/>
                <w:bCs w:val="1"/>
                <w:color w:val="00A1DF"/>
              </w:rPr>
              <w:t>Total</w:t>
            </w:r>
          </w:p>
        </w:tc>
      </w:tr>
      <w:tr>
        <w:trPr>
          <w:trHeight w:val="197"/>
        </w:trPr>
        <w:tc>
          <w:tcPr>
            <w:tcW w:w="280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Director</w:t>
            </w:r>
          </w:p>
        </w:tc>
        <w:tc>
          <w:tcPr>
            <w:tcW w:w="2780" w:type="dxa"/>
            <w:vAlign w:val="bottom"/>
            <w:tcBorders>
              <w:bottom w:val="single" w:sz="8" w:color="00A1DF"/>
            </w:tcBorders>
          </w:tcPr>
          <w:p>
            <w:pPr>
              <w:jc w:val="right"/>
              <w:ind w:right="380"/>
              <w:spacing w:after="0"/>
              <w:rPr>
                <w:sz w:val="20"/>
                <w:szCs w:val="20"/>
                <w:color w:val="auto"/>
              </w:rPr>
            </w:pPr>
            <w:r>
              <w:rPr>
                <w:rFonts w:ascii="Arial" w:cs="Arial" w:eastAsia="Arial" w:hAnsi="Arial"/>
                <w:sz w:val="15"/>
                <w:szCs w:val="15"/>
                <w:b w:val="1"/>
                <w:bCs w:val="1"/>
                <w:color w:val="00A1DF"/>
              </w:rPr>
              <w:t>($)</w:t>
            </w:r>
          </w:p>
        </w:tc>
        <w:tc>
          <w:tcPr>
            <w:tcW w:w="2120" w:type="dxa"/>
            <w:vAlign w:val="bottom"/>
            <w:tcBorders>
              <w:bottom w:val="single" w:sz="8" w:color="00A1DF"/>
            </w:tcBorders>
          </w:tcPr>
          <w:p>
            <w:pPr>
              <w:jc w:val="right"/>
              <w:ind w:right="400"/>
              <w:spacing w:after="0"/>
              <w:rPr>
                <w:sz w:val="20"/>
                <w:szCs w:val="20"/>
                <w:color w:val="auto"/>
              </w:rPr>
            </w:pPr>
            <w:r>
              <w:rPr>
                <w:rFonts w:ascii="Arial" w:cs="Arial" w:eastAsia="Arial" w:hAnsi="Arial"/>
                <w:sz w:val="15"/>
                <w:szCs w:val="15"/>
                <w:b w:val="1"/>
                <w:bCs w:val="1"/>
                <w:color w:val="00A1DF"/>
              </w:rPr>
              <w:t>($)</w:t>
            </w:r>
          </w:p>
        </w:tc>
        <w:tc>
          <w:tcPr>
            <w:tcW w:w="2120" w:type="dxa"/>
            <w:vAlign w:val="bottom"/>
            <w:tcBorders>
              <w:bottom w:val="single" w:sz="8" w:color="00A1DF"/>
            </w:tcBorders>
          </w:tcPr>
          <w:p>
            <w:pPr>
              <w:jc w:val="right"/>
              <w:ind w:right="340"/>
              <w:spacing w:after="0"/>
              <w:rPr>
                <w:sz w:val="20"/>
                <w:szCs w:val="20"/>
                <w:color w:val="auto"/>
              </w:rPr>
            </w:pPr>
            <w:r>
              <w:rPr>
                <w:rFonts w:ascii="Arial" w:cs="Arial" w:eastAsia="Arial" w:hAnsi="Arial"/>
                <w:sz w:val="15"/>
                <w:szCs w:val="15"/>
                <w:b w:val="1"/>
                <w:bCs w:val="1"/>
                <w:color w:val="00A1DF"/>
              </w:rPr>
              <w:t>($)</w:t>
            </w:r>
          </w:p>
        </w:tc>
        <w:tc>
          <w:tcPr>
            <w:tcW w:w="1180" w:type="dxa"/>
            <w:vAlign w:val="bottom"/>
            <w:tcBorders>
              <w:bottom w:val="single" w:sz="8" w:color="00A1DF"/>
            </w:tcBorders>
          </w:tcPr>
          <w:p>
            <w:pPr>
              <w:jc w:val="right"/>
              <w:ind w:right="100"/>
              <w:spacing w:after="0"/>
              <w:rPr>
                <w:sz w:val="20"/>
                <w:szCs w:val="20"/>
                <w:color w:val="auto"/>
              </w:rPr>
            </w:pPr>
            <w:r>
              <w:rPr>
                <w:rFonts w:ascii="Arial" w:cs="Arial" w:eastAsia="Arial" w:hAnsi="Arial"/>
                <w:sz w:val="15"/>
                <w:szCs w:val="15"/>
                <w:b w:val="1"/>
                <w:bCs w:val="1"/>
                <w:color w:val="00A1DF"/>
              </w:rPr>
              <w:t>($)</w:t>
            </w: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Linda R. Gooden</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162,500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18,782</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307,355</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Joseph Jimenez</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142,500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23,803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292,376</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Jane L. Mendillo</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142,500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9,573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278,146</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304"/>
        </w:trPr>
        <w:tc>
          <w:tcPr>
            <w:tcW w:w="2800" w:type="dxa"/>
            <w:vAlign w:val="bottom"/>
            <w:tcBorders>
              <w:bottom w:val="single" w:sz="8" w:color="auto"/>
            </w:tcBorders>
          </w:tcPr>
          <w:p>
            <w:pPr>
              <w:ind w:left="80"/>
              <w:spacing w:after="0" w:line="303" w:lineRule="exact"/>
              <w:rPr>
                <w:sz w:val="20"/>
                <w:szCs w:val="20"/>
                <w:color w:val="auto"/>
              </w:rPr>
            </w:pPr>
            <w:r>
              <w:rPr>
                <w:rFonts w:ascii="Arial" w:cs="Arial" w:eastAsia="Arial" w:hAnsi="Arial"/>
                <w:sz w:val="16"/>
                <w:szCs w:val="16"/>
                <w:color w:val="auto"/>
              </w:rPr>
              <w:t>Judith A. Miscik</w:t>
            </w:r>
            <w:r>
              <w:rPr>
                <w:rFonts w:ascii="Arial" w:cs="Arial" w:eastAsia="Arial" w:hAnsi="Arial"/>
                <w:sz w:val="27"/>
                <w:szCs w:val="27"/>
                <w:color w:val="auto"/>
                <w:vertAlign w:val="superscript"/>
              </w:rPr>
              <w:t>(4)</w:t>
            </w:r>
          </w:p>
        </w:tc>
        <w:tc>
          <w:tcPr>
            <w:tcW w:w="27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35,625</w:t>
            </w:r>
          </w:p>
        </w:tc>
        <w:tc>
          <w:tcPr>
            <w:tcW w:w="21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34,487</w:t>
            </w:r>
          </w:p>
        </w:tc>
        <w:tc>
          <w:tcPr>
            <w:tcW w:w="21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1,394</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71,506</w:t>
            </w: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Michael G. Mullen</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162,500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31,719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320,292</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James J. Mulva</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162,500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29,115</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317,688</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Patricia F. Russo</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162,500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19,261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307,834</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Thomas M. Schoewe</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172,500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37,282</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335,855</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Theodore M. Solso</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242,500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18,990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387,563</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800" w:type="dxa"/>
            <w:vAlign w:val="bottom"/>
          </w:tcPr>
          <w:p>
            <w:pPr>
              <w:ind w:left="80"/>
              <w:spacing w:after="0"/>
              <w:rPr>
                <w:sz w:val="20"/>
                <w:szCs w:val="20"/>
                <w:color w:val="auto"/>
              </w:rPr>
            </w:pPr>
            <w:r>
              <w:rPr>
                <w:rFonts w:ascii="Arial" w:cs="Arial" w:eastAsia="Arial" w:hAnsi="Arial"/>
                <w:sz w:val="16"/>
                <w:szCs w:val="16"/>
                <w:color w:val="auto"/>
              </w:rPr>
              <w:t>Carol M. Stephenson</w:t>
            </w:r>
          </w:p>
        </w:tc>
        <w:tc>
          <w:tcPr>
            <w:tcW w:w="2780" w:type="dxa"/>
            <w:vAlign w:val="bottom"/>
          </w:tcPr>
          <w:p>
            <w:pPr>
              <w:jc w:val="right"/>
              <w:ind w:right="380"/>
              <w:spacing w:after="0"/>
              <w:rPr>
                <w:sz w:val="20"/>
                <w:szCs w:val="20"/>
                <w:color w:val="auto"/>
              </w:rPr>
            </w:pPr>
            <w:r>
              <w:rPr>
                <w:rFonts w:ascii="Arial" w:cs="Arial" w:eastAsia="Arial" w:hAnsi="Arial"/>
                <w:sz w:val="16"/>
                <w:szCs w:val="16"/>
                <w:color w:val="auto"/>
              </w:rPr>
              <w:t>162,500</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126,073</w:t>
            </w:r>
          </w:p>
        </w:tc>
        <w:tc>
          <w:tcPr>
            <w:tcW w:w="2120" w:type="dxa"/>
            <w:vAlign w:val="bottom"/>
          </w:tcPr>
          <w:p>
            <w:pPr>
              <w:jc w:val="right"/>
              <w:ind w:right="340"/>
              <w:spacing w:after="0"/>
              <w:rPr>
                <w:sz w:val="20"/>
                <w:szCs w:val="20"/>
                <w:color w:val="auto"/>
              </w:rPr>
            </w:pPr>
            <w:r>
              <w:rPr>
                <w:rFonts w:ascii="Arial" w:cs="Arial" w:eastAsia="Arial" w:hAnsi="Arial"/>
                <w:sz w:val="16"/>
                <w:szCs w:val="16"/>
                <w:color w:val="auto"/>
              </w:rPr>
              <w:t>16,823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305,396</w:t>
            </w:r>
          </w:p>
        </w:tc>
      </w:tr>
      <w:tr>
        <w:trPr>
          <w:trHeight w:val="46"/>
        </w:trPr>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304"/>
        </w:trPr>
        <w:tc>
          <w:tcPr>
            <w:tcW w:w="2800" w:type="dxa"/>
            <w:vAlign w:val="bottom"/>
            <w:tcBorders>
              <w:bottom w:val="single" w:sz="8" w:color="0033A0"/>
            </w:tcBorders>
          </w:tcPr>
          <w:p>
            <w:pPr>
              <w:ind w:left="80"/>
              <w:spacing w:after="0" w:line="303" w:lineRule="exact"/>
              <w:rPr>
                <w:sz w:val="20"/>
                <w:szCs w:val="20"/>
                <w:color w:val="auto"/>
              </w:rPr>
            </w:pPr>
            <w:r>
              <w:rPr>
                <w:rFonts w:ascii="Arial" w:cs="Arial" w:eastAsia="Arial" w:hAnsi="Arial"/>
                <w:sz w:val="16"/>
                <w:szCs w:val="16"/>
                <w:color w:val="auto"/>
              </w:rPr>
              <w:t>Devin N. Wenig</w:t>
            </w:r>
            <w:r>
              <w:rPr>
                <w:rFonts w:ascii="Arial" w:cs="Arial" w:eastAsia="Arial" w:hAnsi="Arial"/>
                <w:sz w:val="27"/>
                <w:szCs w:val="27"/>
                <w:color w:val="auto"/>
                <w:vertAlign w:val="superscript"/>
              </w:rPr>
              <w:t>(5)</w:t>
            </w:r>
          </w:p>
        </w:tc>
        <w:tc>
          <w:tcPr>
            <w:tcW w:w="2780" w:type="dxa"/>
            <w:vAlign w:val="bottom"/>
            <w:tcBorders>
              <w:bottom w:val="single" w:sz="8" w:color="0033A0"/>
            </w:tcBorders>
          </w:tcPr>
          <w:p>
            <w:pPr>
              <w:jc w:val="right"/>
              <w:ind w:right="380"/>
              <w:spacing w:after="0"/>
              <w:rPr>
                <w:sz w:val="20"/>
                <w:szCs w:val="20"/>
                <w:color w:val="auto"/>
              </w:rPr>
            </w:pPr>
            <w:r>
              <w:rPr>
                <w:rFonts w:ascii="Arial" w:cs="Arial" w:eastAsia="Arial" w:hAnsi="Arial"/>
                <w:sz w:val="16"/>
                <w:szCs w:val="16"/>
                <w:color w:val="auto"/>
              </w:rPr>
              <w:t>106,875</w:t>
            </w:r>
          </w:p>
        </w:tc>
        <w:tc>
          <w:tcPr>
            <w:tcW w:w="2120" w:type="dxa"/>
            <w:vAlign w:val="bottom"/>
            <w:tcBorders>
              <w:bottom w:val="single" w:sz="8" w:color="0033A0"/>
            </w:tcBorders>
          </w:tcPr>
          <w:p>
            <w:pPr>
              <w:jc w:val="right"/>
              <w:ind w:right="400"/>
              <w:spacing w:after="0"/>
              <w:rPr>
                <w:sz w:val="20"/>
                <w:szCs w:val="20"/>
                <w:color w:val="auto"/>
              </w:rPr>
            </w:pPr>
            <w:r>
              <w:rPr>
                <w:rFonts w:ascii="Arial" w:cs="Arial" w:eastAsia="Arial" w:hAnsi="Arial"/>
                <w:sz w:val="16"/>
                <w:szCs w:val="16"/>
                <w:color w:val="auto"/>
              </w:rPr>
              <w:t>97,072</w:t>
            </w:r>
          </w:p>
        </w:tc>
        <w:tc>
          <w:tcPr>
            <w:tcW w:w="2120" w:type="dxa"/>
            <w:vAlign w:val="bottom"/>
            <w:tcBorders>
              <w:bottom w:val="single" w:sz="8" w:color="0033A0"/>
            </w:tcBorders>
          </w:tcPr>
          <w:p>
            <w:pPr>
              <w:jc w:val="right"/>
              <w:ind w:right="340"/>
              <w:spacing w:after="0"/>
              <w:rPr>
                <w:sz w:val="20"/>
                <w:szCs w:val="20"/>
                <w:color w:val="auto"/>
              </w:rPr>
            </w:pPr>
            <w:r>
              <w:rPr>
                <w:rFonts w:ascii="Arial" w:cs="Arial" w:eastAsia="Arial" w:hAnsi="Arial"/>
                <w:sz w:val="16"/>
                <w:szCs w:val="16"/>
                <w:color w:val="auto"/>
              </w:rPr>
              <w:t>10,889</w:t>
            </w:r>
          </w:p>
        </w:tc>
        <w:tc>
          <w:tcPr>
            <w:tcW w:w="1180" w:type="dxa"/>
            <w:vAlign w:val="bottom"/>
            <w:tcBorders>
              <w:bottom w:val="single" w:sz="8" w:color="0033A0"/>
            </w:tcBorders>
          </w:tcPr>
          <w:p>
            <w:pPr>
              <w:jc w:val="right"/>
              <w:ind w:right="100"/>
              <w:spacing w:after="0"/>
              <w:rPr>
                <w:sz w:val="20"/>
                <w:szCs w:val="20"/>
                <w:color w:val="auto"/>
              </w:rPr>
            </w:pPr>
            <w:r>
              <w:rPr>
                <w:rFonts w:ascii="Arial" w:cs="Arial" w:eastAsia="Arial" w:hAnsi="Arial"/>
                <w:sz w:val="16"/>
                <w:szCs w:val="16"/>
                <w:color w:val="auto"/>
              </w:rPr>
              <w:t>214,836</w:t>
            </w:r>
          </w:p>
        </w:tc>
      </w:tr>
    </w:tbl>
    <w:p>
      <w:pPr>
        <w:spacing w:after="0" w:line="72" w:lineRule="exact"/>
        <w:rPr>
          <w:sz w:val="20"/>
          <w:szCs w:val="20"/>
          <w:color w:val="auto"/>
        </w:rPr>
      </w:pPr>
    </w:p>
    <w:p>
      <w:pPr>
        <w:jc w:val="both"/>
        <w:ind w:left="540" w:hanging="330"/>
        <w:spacing w:after="0" w:line="248" w:lineRule="auto"/>
        <w:tabs>
          <w:tab w:leader="none" w:pos="5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reflects director compensation eligible to be paid in cash, which consists of 50% of the annual Board retainer ($142,500) and any applicable Committee Chair or Independent Lead Director fees. Each of the following directors elected to receive DSUs in lieu of such amounts eligible to be paid in cash in the following amounts: Ms. Gooden—$20,000; Mr. Jimenez—$142,500; Ms. Mendillo—$142,500; Admiral Mullen—$20,000; Mr. Mulva—$162,500; Ms. Russo—$20,000; Mr. Solso</w:t>
      </w:r>
    </w:p>
    <w:p>
      <w:pPr>
        <w:ind w:left="54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—$242,500; Ms. Stephenson—$81,250; and Mr. Wenig—$106,875.</w:t>
      </w:r>
    </w:p>
    <w:p>
      <w:pPr>
        <w:spacing w:after="0" w:line="67" w:lineRule="exact"/>
        <w:rPr>
          <w:rFonts w:ascii="Arial" w:cs="Arial" w:eastAsia="Arial" w:hAnsi="Arial"/>
          <w:sz w:val="14"/>
          <w:szCs w:val="14"/>
          <w:i w:val="1"/>
          <w:iCs w:val="1"/>
          <w:color w:val="auto"/>
        </w:rPr>
      </w:pPr>
    </w:p>
    <w:p>
      <w:pPr>
        <w:jc w:val="both"/>
        <w:ind w:left="540" w:hanging="330"/>
        <w:spacing w:after="0" w:line="260" w:lineRule="auto"/>
        <w:tabs>
          <w:tab w:leader="none" w:pos="5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aggregate grant date fair value of DSUs granted in 2018, which does not include any cash fees that directors voluntarily elected to receive as DSUs. Grant date fair value is calculated by multiplying the number of DSUs granted by the closing price of GM common stock on December 31, 2018, which was $33.45. The holders of DSUs also receive dividend equivalents, which are reinvested in additional DSUs based on the market price of the common stock on the date the dividends are paid.</w:t>
      </w:r>
    </w:p>
    <w:p>
      <w:pPr>
        <w:spacing w:after="0" w:line="43" w:lineRule="exact"/>
        <w:rPr>
          <w:rFonts w:ascii="Arial" w:cs="Arial" w:eastAsia="Arial" w:hAnsi="Arial"/>
          <w:sz w:val="14"/>
          <w:szCs w:val="14"/>
          <w:i w:val="1"/>
          <w:iCs w:val="1"/>
          <w:color w:val="auto"/>
        </w:rPr>
      </w:pPr>
    </w:p>
    <w:p>
      <w:pPr>
        <w:ind w:left="540" w:hanging="330"/>
        <w:spacing w:after="0"/>
        <w:tabs>
          <w:tab w:leader="none" w:pos="5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table provides more information on the type and amount of benefits included in the All Other Compensation column.</w:t>
      </w:r>
    </w:p>
    <w:p>
      <w:pPr>
        <w:sectPr>
          <w:pgSz w:w="11900" w:h="16838" w:orient="portrait"/>
          <w:cols w:equalWidth="0" w:num="1">
            <w:col w:w="11220"/>
          </w:cols>
          <w:pgMar w:left="240" w:top="459" w:right="439" w:bottom="1440" w:gutter="0" w:footer="0" w:header="0"/>
        </w:sectPr>
      </w:pP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198"/>
        </w:trPr>
        <w:tc>
          <w:tcPr>
            <w:tcW w:w="1840" w:type="dxa"/>
            <w:vAlign w:val="bottom"/>
            <w:tcBorders>
              <w:top w:val="single" w:sz="8" w:color="00A1DF"/>
            </w:tcBorders>
          </w:tcPr>
          <w:p>
            <w:pPr>
              <w:spacing w:after="0"/>
              <w:rPr>
                <w:sz w:val="17"/>
                <w:szCs w:val="17"/>
                <w:color w:val="auto"/>
              </w:rPr>
            </w:pPr>
          </w:p>
        </w:tc>
        <w:tc>
          <w:tcPr>
            <w:tcW w:w="1500" w:type="dxa"/>
            <w:vAlign w:val="bottom"/>
            <w:tcBorders>
              <w:top w:val="single" w:sz="8" w:color="00A1DF"/>
            </w:tcBorders>
            <w:gridSpan w:val="2"/>
          </w:tcPr>
          <w:p>
            <w:pPr>
              <w:jc w:val="right"/>
              <w:spacing w:after="0"/>
              <w:rPr>
                <w:sz w:val="20"/>
                <w:szCs w:val="20"/>
                <w:color w:val="auto"/>
              </w:rPr>
            </w:pPr>
            <w:r>
              <w:rPr>
                <w:rFonts w:ascii="Arial" w:cs="Arial" w:eastAsia="Arial" w:hAnsi="Arial"/>
                <w:sz w:val="16"/>
                <w:szCs w:val="16"/>
                <w:b w:val="1"/>
                <w:bCs w:val="1"/>
                <w:color w:val="00A1DF"/>
              </w:rPr>
              <w:t>Company</w:t>
            </w:r>
          </w:p>
        </w:tc>
        <w:tc>
          <w:tcPr>
            <w:tcW w:w="240" w:type="dxa"/>
            <w:vAlign w:val="bottom"/>
            <w:tcBorders>
              <w:top w:val="single" w:sz="8" w:color="00A1DF"/>
            </w:tcBorders>
          </w:tcPr>
          <w:p>
            <w:pPr>
              <w:spacing w:after="0"/>
              <w:rPr>
                <w:sz w:val="17"/>
                <w:szCs w:val="17"/>
                <w:color w:val="auto"/>
              </w:rPr>
            </w:pPr>
          </w:p>
        </w:tc>
        <w:tc>
          <w:tcPr>
            <w:tcW w:w="400" w:type="dxa"/>
            <w:vAlign w:val="bottom"/>
            <w:tcBorders>
              <w:top w:val="single" w:sz="8" w:color="00A1DF"/>
            </w:tcBorders>
          </w:tcPr>
          <w:p>
            <w:pPr>
              <w:spacing w:after="0"/>
              <w:rPr>
                <w:sz w:val="17"/>
                <w:szCs w:val="17"/>
                <w:color w:val="auto"/>
              </w:rPr>
            </w:pPr>
          </w:p>
        </w:tc>
        <w:tc>
          <w:tcPr>
            <w:tcW w:w="200" w:type="dxa"/>
            <w:vAlign w:val="bottom"/>
            <w:tcBorders>
              <w:top w:val="single" w:sz="8" w:color="00A1DF"/>
            </w:tcBorders>
          </w:tcPr>
          <w:p>
            <w:pPr>
              <w:spacing w:after="0"/>
              <w:rPr>
                <w:sz w:val="17"/>
                <w:szCs w:val="17"/>
                <w:color w:val="auto"/>
              </w:rPr>
            </w:pPr>
          </w:p>
        </w:tc>
        <w:tc>
          <w:tcPr>
            <w:tcW w:w="580" w:type="dxa"/>
            <w:vAlign w:val="bottom"/>
            <w:tcBorders>
              <w:top w:val="single" w:sz="8" w:color="00A1DF"/>
            </w:tcBorders>
          </w:tcPr>
          <w:p>
            <w:pPr>
              <w:spacing w:after="0"/>
              <w:rPr>
                <w:sz w:val="17"/>
                <w:szCs w:val="17"/>
                <w:color w:val="auto"/>
              </w:rPr>
            </w:pPr>
          </w:p>
        </w:tc>
      </w:tr>
      <w:tr>
        <w:trPr>
          <w:trHeight w:val="189"/>
        </w:trPr>
        <w:tc>
          <w:tcPr>
            <w:tcW w:w="18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A1DF"/>
              </w:rPr>
              <w:t>Vehicle</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A1DF"/>
              </w:rPr>
              <w:t>Program</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00A1DF"/>
              </w:rPr>
              <w:t>Other</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0"/>
        </w:trPr>
        <w:tc>
          <w:tcPr>
            <w:tcW w:w="1840" w:type="dxa"/>
            <w:vAlign w:val="bottom"/>
            <w:tcBorders>
              <w:bottom w:val="single" w:sz="8" w:color="00A1DF"/>
            </w:tcBorders>
          </w:tcPr>
          <w:p>
            <w:pPr>
              <w:ind w:left="100"/>
              <w:spacing w:after="0"/>
              <w:rPr>
                <w:sz w:val="20"/>
                <w:szCs w:val="20"/>
                <w:color w:val="auto"/>
              </w:rPr>
            </w:pPr>
            <w:r>
              <w:rPr>
                <w:rFonts w:ascii="Arial" w:cs="Arial" w:eastAsia="Arial" w:hAnsi="Arial"/>
                <w:sz w:val="16"/>
                <w:szCs w:val="16"/>
                <w:b w:val="1"/>
                <w:bCs w:val="1"/>
                <w:color w:val="00A1DF"/>
              </w:rPr>
              <w:t>Director</w:t>
            </w:r>
          </w:p>
        </w:tc>
        <w:tc>
          <w:tcPr>
            <w:tcW w:w="920" w:type="dxa"/>
            <w:vAlign w:val="bottom"/>
            <w:tcBorders>
              <w:bottom w:val="single" w:sz="8" w:color="00A1DF"/>
            </w:tcBorders>
          </w:tcPr>
          <w:p>
            <w:pPr>
              <w:spacing w:after="0"/>
              <w:rPr>
                <w:sz w:val="19"/>
                <w:szCs w:val="19"/>
                <w:color w:val="auto"/>
              </w:rPr>
            </w:pPr>
          </w:p>
        </w:tc>
        <w:tc>
          <w:tcPr>
            <w:tcW w:w="580" w:type="dxa"/>
            <w:vAlign w:val="bottom"/>
            <w:tcBorders>
              <w:bottom w:val="single" w:sz="8" w:color="00A1DF"/>
            </w:tcBorders>
          </w:tcPr>
          <w:p>
            <w:pPr>
              <w:jc w:val="right"/>
              <w:spacing w:after="0"/>
              <w:rPr>
                <w:sz w:val="20"/>
                <w:szCs w:val="20"/>
                <w:color w:val="auto"/>
              </w:rPr>
            </w:pPr>
            <w:r>
              <w:rPr>
                <w:rFonts w:ascii="Arial" w:cs="Arial" w:eastAsia="Arial" w:hAnsi="Arial"/>
                <w:sz w:val="16"/>
                <w:szCs w:val="16"/>
                <w:b w:val="1"/>
                <w:bCs w:val="1"/>
                <w:color w:val="00A1DF"/>
              </w:rPr>
              <w:t>(a)</w:t>
            </w:r>
          </w:p>
        </w:tc>
        <w:tc>
          <w:tcPr>
            <w:tcW w:w="240" w:type="dxa"/>
            <w:vAlign w:val="bottom"/>
            <w:tcBorders>
              <w:bottom w:val="single" w:sz="8" w:color="00A1DF"/>
            </w:tcBorders>
          </w:tcPr>
          <w:p>
            <w:pPr>
              <w:spacing w:after="0"/>
              <w:rPr>
                <w:sz w:val="19"/>
                <w:szCs w:val="19"/>
                <w:color w:val="auto"/>
              </w:rPr>
            </w:pPr>
          </w:p>
        </w:tc>
        <w:tc>
          <w:tcPr>
            <w:tcW w:w="400" w:type="dxa"/>
            <w:vAlign w:val="bottom"/>
            <w:tcBorders>
              <w:bottom w:val="single" w:sz="8" w:color="00A1DF"/>
            </w:tcBorders>
          </w:tcPr>
          <w:p>
            <w:pPr>
              <w:jc w:val="right"/>
              <w:ind w:right="39"/>
              <w:spacing w:after="0"/>
              <w:rPr>
                <w:sz w:val="20"/>
                <w:szCs w:val="20"/>
                <w:color w:val="auto"/>
              </w:rPr>
            </w:pPr>
            <w:r>
              <w:rPr>
                <w:rFonts w:ascii="Arial" w:cs="Arial" w:eastAsia="Arial" w:hAnsi="Arial"/>
                <w:sz w:val="16"/>
                <w:szCs w:val="16"/>
                <w:b w:val="1"/>
                <w:bCs w:val="1"/>
                <w:color w:val="00A1DF"/>
              </w:rPr>
              <w:t>(b)</w:t>
            </w:r>
          </w:p>
        </w:tc>
        <w:tc>
          <w:tcPr>
            <w:tcW w:w="200" w:type="dxa"/>
            <w:vAlign w:val="bottom"/>
            <w:tcBorders>
              <w:bottom w:val="single" w:sz="8" w:color="00A1DF"/>
            </w:tcBorders>
          </w:tcPr>
          <w:p>
            <w:pPr>
              <w:spacing w:after="0"/>
              <w:rPr>
                <w:sz w:val="19"/>
                <w:szCs w:val="19"/>
                <w:color w:val="auto"/>
              </w:rPr>
            </w:pPr>
          </w:p>
        </w:tc>
        <w:tc>
          <w:tcPr>
            <w:tcW w:w="580" w:type="dxa"/>
            <w:vAlign w:val="bottom"/>
            <w:tcBorders>
              <w:bottom w:val="single" w:sz="8" w:color="00A1DF"/>
            </w:tcBorders>
          </w:tcPr>
          <w:p>
            <w:pPr>
              <w:jc w:val="right"/>
              <w:ind w:right="19"/>
              <w:spacing w:after="0"/>
              <w:rPr>
                <w:sz w:val="20"/>
                <w:szCs w:val="20"/>
                <w:color w:val="auto"/>
              </w:rPr>
            </w:pPr>
            <w:r>
              <w:rPr>
                <w:rFonts w:ascii="Arial" w:cs="Arial" w:eastAsia="Arial" w:hAnsi="Arial"/>
                <w:sz w:val="16"/>
                <w:szCs w:val="16"/>
                <w:b w:val="1"/>
                <w:bCs w:val="1"/>
                <w:color w:val="00A1DF"/>
              </w:rPr>
              <w:t>Total</w:t>
            </w:r>
          </w:p>
        </w:tc>
      </w:tr>
      <w:tr>
        <w:trPr>
          <w:trHeight w:val="230"/>
        </w:trPr>
        <w:tc>
          <w:tcPr>
            <w:tcW w:w="1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Ms. Gooden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18,542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18,782</w:t>
            </w:r>
          </w:p>
        </w:tc>
      </w:tr>
      <w:tr>
        <w:trPr>
          <w:trHeight w:val="236"/>
        </w:trPr>
        <w:tc>
          <w:tcPr>
            <w:tcW w:w="1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Mr. Jimenez</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23,563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23,803</w:t>
            </w:r>
          </w:p>
        </w:tc>
      </w:tr>
      <w:tr>
        <w:trPr>
          <w:trHeight w:val="236"/>
        </w:trPr>
        <w:tc>
          <w:tcPr>
            <w:tcW w:w="1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Ms. Mendillo</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9,573</w:t>
            </w:r>
          </w:p>
        </w:tc>
      </w:tr>
      <w:tr>
        <w:trPr>
          <w:trHeight w:val="236"/>
        </w:trPr>
        <w:tc>
          <w:tcPr>
            <w:tcW w:w="1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Ms. Miscik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1,394</w:t>
            </w:r>
          </w:p>
        </w:tc>
      </w:tr>
      <w:tr>
        <w:trPr>
          <w:trHeight w:val="236"/>
        </w:trPr>
        <w:tc>
          <w:tcPr>
            <w:tcW w:w="1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Admiral Mullen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31,479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31,719</w:t>
            </w:r>
          </w:p>
        </w:tc>
      </w:tr>
      <w:tr>
        <w:trPr>
          <w:trHeight w:val="236"/>
        </w:trPr>
        <w:tc>
          <w:tcPr>
            <w:tcW w:w="1840" w:type="dxa"/>
            <w:vAlign w:val="bottom"/>
            <w:tcBorders>
              <w:bottom w:val="single" w:sz="8" w:color="0033A0"/>
            </w:tcBorders>
          </w:tcPr>
          <w:p>
            <w:pPr>
              <w:ind w:left="100"/>
              <w:spacing w:after="0"/>
              <w:rPr>
                <w:sz w:val="20"/>
                <w:szCs w:val="20"/>
                <w:color w:val="auto"/>
              </w:rPr>
            </w:pPr>
            <w:r>
              <w:rPr>
                <w:rFonts w:ascii="Arial" w:cs="Arial" w:eastAsia="Arial" w:hAnsi="Arial"/>
                <w:sz w:val="16"/>
                <w:szCs w:val="16"/>
                <w:color w:val="auto"/>
              </w:rPr>
              <w:t>Mr. Mulva</w:t>
            </w:r>
          </w:p>
        </w:tc>
        <w:tc>
          <w:tcPr>
            <w:tcW w:w="920" w:type="dxa"/>
            <w:vAlign w:val="bottom"/>
            <w:tcBorders>
              <w:bottom w:val="single" w:sz="8" w:color="0033A0"/>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0033A0"/>
            </w:tcBorders>
          </w:tcPr>
          <w:p>
            <w:pPr>
              <w:jc w:val="right"/>
              <w:spacing w:after="0"/>
              <w:rPr>
                <w:sz w:val="20"/>
                <w:szCs w:val="20"/>
                <w:color w:val="auto"/>
              </w:rPr>
            </w:pPr>
            <w:r>
              <w:rPr>
                <w:rFonts w:ascii="Arial" w:cs="Arial" w:eastAsia="Arial" w:hAnsi="Arial"/>
                <w:sz w:val="16"/>
                <w:szCs w:val="16"/>
                <w:color w:val="auto"/>
                <w:w w:val="98"/>
              </w:rPr>
              <w:t>28,875</w:t>
            </w:r>
          </w:p>
        </w:tc>
        <w:tc>
          <w:tcPr>
            <w:tcW w:w="240" w:type="dxa"/>
            <w:vAlign w:val="bottom"/>
            <w:tcBorders>
              <w:bottom w:val="single" w:sz="8" w:color="0033A0"/>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0033A0"/>
            </w:tcBorders>
          </w:tcPr>
          <w:p>
            <w:pPr>
              <w:jc w:val="right"/>
              <w:ind w:right="39"/>
              <w:spacing w:after="0"/>
              <w:rPr>
                <w:sz w:val="20"/>
                <w:szCs w:val="20"/>
                <w:color w:val="auto"/>
              </w:rPr>
            </w:pPr>
            <w:r>
              <w:rPr>
                <w:rFonts w:ascii="Arial" w:cs="Arial" w:eastAsia="Arial" w:hAnsi="Arial"/>
                <w:sz w:val="16"/>
                <w:szCs w:val="16"/>
                <w:color w:val="auto"/>
                <w:w w:val="97"/>
              </w:rPr>
              <w:t>240</w:t>
            </w:r>
          </w:p>
        </w:tc>
        <w:tc>
          <w:tcPr>
            <w:tcW w:w="200" w:type="dxa"/>
            <w:vAlign w:val="bottom"/>
            <w:tcBorders>
              <w:bottom w:val="single" w:sz="8" w:color="0033A0"/>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0033A0"/>
            </w:tcBorders>
          </w:tcPr>
          <w:p>
            <w:pPr>
              <w:jc w:val="right"/>
              <w:ind w:right="19"/>
              <w:spacing w:after="0"/>
              <w:rPr>
                <w:sz w:val="20"/>
                <w:szCs w:val="20"/>
                <w:color w:val="auto"/>
              </w:rPr>
            </w:pPr>
            <w:r>
              <w:rPr>
                <w:rFonts w:ascii="Arial" w:cs="Arial" w:eastAsia="Arial" w:hAnsi="Arial"/>
                <w:sz w:val="16"/>
                <w:szCs w:val="16"/>
                <w:color w:val="auto"/>
                <w:w w:val="93"/>
              </w:rPr>
              <w:t>29,115</w:t>
            </w: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80" w:type="dxa"/>
            <w:vAlign w:val="bottom"/>
            <w:tcBorders>
              <w:top w:val="single" w:sz="8" w:color="00A1DF"/>
            </w:tcBorders>
          </w:tcPr>
          <w:p>
            <w:pPr>
              <w:spacing w:after="0"/>
              <w:rPr>
                <w:sz w:val="17"/>
                <w:szCs w:val="17"/>
                <w:color w:val="auto"/>
              </w:rPr>
            </w:pPr>
          </w:p>
        </w:tc>
        <w:tc>
          <w:tcPr>
            <w:tcW w:w="1560" w:type="dxa"/>
            <w:vAlign w:val="bottom"/>
            <w:tcBorders>
              <w:top w:val="single" w:sz="8" w:color="00A1DF"/>
            </w:tcBorders>
          </w:tcPr>
          <w:p>
            <w:pPr>
              <w:jc w:val="right"/>
              <w:spacing w:after="0"/>
              <w:rPr>
                <w:sz w:val="20"/>
                <w:szCs w:val="20"/>
                <w:color w:val="auto"/>
              </w:rPr>
            </w:pPr>
            <w:r>
              <w:rPr>
                <w:rFonts w:ascii="Arial" w:cs="Arial" w:eastAsia="Arial" w:hAnsi="Arial"/>
                <w:sz w:val="16"/>
                <w:szCs w:val="16"/>
                <w:b w:val="1"/>
                <w:bCs w:val="1"/>
                <w:color w:val="00A1DF"/>
              </w:rPr>
              <w:t>Company</w:t>
            </w:r>
          </w:p>
        </w:tc>
        <w:tc>
          <w:tcPr>
            <w:tcW w:w="620" w:type="dxa"/>
            <w:vAlign w:val="bottom"/>
            <w:tcBorders>
              <w:top w:val="single" w:sz="8" w:color="00A1DF"/>
            </w:tcBorders>
          </w:tcPr>
          <w:p>
            <w:pPr>
              <w:spacing w:after="0"/>
              <w:rPr>
                <w:sz w:val="17"/>
                <w:szCs w:val="17"/>
                <w:color w:val="auto"/>
              </w:rPr>
            </w:pPr>
          </w:p>
        </w:tc>
        <w:tc>
          <w:tcPr>
            <w:tcW w:w="800" w:type="dxa"/>
            <w:vAlign w:val="bottom"/>
            <w:tcBorders>
              <w:top w:val="single" w:sz="8" w:color="00A1DF"/>
            </w:tcBorders>
          </w:tcPr>
          <w:p>
            <w:pPr>
              <w:spacing w:after="0"/>
              <w:rPr>
                <w:sz w:val="17"/>
                <w:szCs w:val="17"/>
                <w:color w:val="auto"/>
              </w:rPr>
            </w:pPr>
          </w:p>
        </w:tc>
      </w:tr>
      <w:tr>
        <w:trPr>
          <w:trHeight w:val="189"/>
        </w:trPr>
        <w:tc>
          <w:tcPr>
            <w:tcW w:w="20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A1DF"/>
              </w:rPr>
              <w:t>Vehicle</w:t>
            </w: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0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A1DF"/>
              </w:rPr>
              <w:t>Program</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00A1DF"/>
              </w:rPr>
              <w:t>Other</w:t>
            </w:r>
          </w:p>
        </w:tc>
        <w:tc>
          <w:tcPr>
            <w:tcW w:w="800" w:type="dxa"/>
            <w:vAlign w:val="bottom"/>
          </w:tcPr>
          <w:p>
            <w:pPr>
              <w:spacing w:after="0"/>
              <w:rPr>
                <w:sz w:val="16"/>
                <w:szCs w:val="16"/>
                <w:color w:val="auto"/>
              </w:rPr>
            </w:pPr>
          </w:p>
        </w:tc>
      </w:tr>
      <w:tr>
        <w:trPr>
          <w:trHeight w:val="220"/>
        </w:trPr>
        <w:tc>
          <w:tcPr>
            <w:tcW w:w="2080" w:type="dxa"/>
            <w:vAlign w:val="bottom"/>
            <w:tcBorders>
              <w:bottom w:val="single" w:sz="8" w:color="00A1DF"/>
            </w:tcBorders>
          </w:tcPr>
          <w:p>
            <w:pPr>
              <w:ind w:left="160"/>
              <w:spacing w:after="0"/>
              <w:rPr>
                <w:sz w:val="20"/>
                <w:szCs w:val="20"/>
                <w:color w:val="auto"/>
              </w:rPr>
            </w:pPr>
            <w:r>
              <w:rPr>
                <w:rFonts w:ascii="Arial" w:cs="Arial" w:eastAsia="Arial" w:hAnsi="Arial"/>
                <w:sz w:val="16"/>
                <w:szCs w:val="16"/>
                <w:b w:val="1"/>
                <w:bCs w:val="1"/>
                <w:color w:val="00A1DF"/>
              </w:rPr>
              <w:t>Director</w:t>
            </w:r>
          </w:p>
        </w:tc>
        <w:tc>
          <w:tcPr>
            <w:tcW w:w="1560" w:type="dxa"/>
            <w:vAlign w:val="bottom"/>
            <w:tcBorders>
              <w:bottom w:val="single" w:sz="8" w:color="00A1DF"/>
            </w:tcBorders>
          </w:tcPr>
          <w:p>
            <w:pPr>
              <w:jc w:val="right"/>
              <w:spacing w:after="0"/>
              <w:rPr>
                <w:sz w:val="20"/>
                <w:szCs w:val="20"/>
                <w:color w:val="auto"/>
              </w:rPr>
            </w:pPr>
            <w:r>
              <w:rPr>
                <w:rFonts w:ascii="Arial" w:cs="Arial" w:eastAsia="Arial" w:hAnsi="Arial"/>
                <w:sz w:val="16"/>
                <w:szCs w:val="16"/>
                <w:b w:val="1"/>
                <w:bCs w:val="1"/>
                <w:color w:val="00A1DF"/>
              </w:rPr>
              <w:t>(a)</w:t>
            </w:r>
          </w:p>
        </w:tc>
        <w:tc>
          <w:tcPr>
            <w:tcW w:w="620" w:type="dxa"/>
            <w:vAlign w:val="bottom"/>
            <w:tcBorders>
              <w:bottom w:val="single" w:sz="8" w:color="00A1DF"/>
            </w:tcBorders>
          </w:tcPr>
          <w:p>
            <w:pPr>
              <w:jc w:val="right"/>
              <w:ind w:right="19"/>
              <w:spacing w:after="0"/>
              <w:rPr>
                <w:sz w:val="20"/>
                <w:szCs w:val="20"/>
                <w:color w:val="auto"/>
              </w:rPr>
            </w:pPr>
            <w:r>
              <w:rPr>
                <w:rFonts w:ascii="Arial" w:cs="Arial" w:eastAsia="Arial" w:hAnsi="Arial"/>
                <w:sz w:val="16"/>
                <w:szCs w:val="16"/>
                <w:b w:val="1"/>
                <w:bCs w:val="1"/>
                <w:color w:val="00A1DF"/>
              </w:rPr>
              <w:t>(b)</w:t>
            </w:r>
          </w:p>
        </w:tc>
        <w:tc>
          <w:tcPr>
            <w:tcW w:w="800" w:type="dxa"/>
            <w:vAlign w:val="bottom"/>
            <w:tcBorders>
              <w:bottom w:val="single" w:sz="8" w:color="00A1DF"/>
            </w:tcBorders>
          </w:tcPr>
          <w:p>
            <w:pPr>
              <w:jc w:val="right"/>
              <w:ind w:right="19"/>
              <w:spacing w:after="0"/>
              <w:rPr>
                <w:sz w:val="20"/>
                <w:szCs w:val="20"/>
                <w:color w:val="auto"/>
              </w:rPr>
            </w:pPr>
            <w:r>
              <w:rPr>
                <w:rFonts w:ascii="Arial" w:cs="Arial" w:eastAsia="Arial" w:hAnsi="Arial"/>
                <w:sz w:val="16"/>
                <w:szCs w:val="16"/>
                <w:b w:val="1"/>
                <w:bCs w:val="1"/>
                <w:color w:val="00A1DF"/>
              </w:rPr>
              <w:t>Total</w:t>
            </w:r>
          </w:p>
        </w:tc>
      </w:tr>
      <w:tr>
        <w:trPr>
          <w:trHeight w:val="230"/>
        </w:trPr>
        <w:tc>
          <w:tcPr>
            <w:tcW w:w="2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Ms. Russo</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$19,021</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$19,261</w:t>
            </w:r>
          </w:p>
        </w:tc>
      </w:tr>
      <w:tr>
        <w:trPr>
          <w:trHeight w:val="236"/>
        </w:trPr>
        <w:tc>
          <w:tcPr>
            <w:tcW w:w="2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Mr. Schoewe</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$37,042</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$37,282</w:t>
            </w:r>
          </w:p>
        </w:tc>
      </w:tr>
      <w:tr>
        <w:trPr>
          <w:trHeight w:val="236"/>
        </w:trPr>
        <w:tc>
          <w:tcPr>
            <w:tcW w:w="2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Mr. Solso</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$18,750</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$18,990</w:t>
            </w:r>
          </w:p>
        </w:tc>
      </w:tr>
      <w:tr>
        <w:trPr>
          <w:trHeight w:val="236"/>
        </w:trPr>
        <w:tc>
          <w:tcPr>
            <w:tcW w:w="2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Ms. Stephenson</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$16,583</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$16,823</w:t>
            </w:r>
          </w:p>
        </w:tc>
      </w:tr>
      <w:tr>
        <w:trPr>
          <w:trHeight w:val="236"/>
        </w:trPr>
        <w:tc>
          <w:tcPr>
            <w:tcW w:w="2080" w:type="dxa"/>
            <w:vAlign w:val="bottom"/>
            <w:tcBorders>
              <w:bottom w:val="single" w:sz="8" w:color="0033A0"/>
            </w:tcBorders>
          </w:tcPr>
          <w:p>
            <w:pPr>
              <w:ind w:left="160"/>
              <w:spacing w:after="0"/>
              <w:rPr>
                <w:sz w:val="20"/>
                <w:szCs w:val="20"/>
                <w:color w:val="auto"/>
              </w:rPr>
            </w:pPr>
            <w:r>
              <w:rPr>
                <w:rFonts w:ascii="Arial" w:cs="Arial" w:eastAsia="Arial" w:hAnsi="Arial"/>
                <w:sz w:val="16"/>
                <w:szCs w:val="16"/>
                <w:color w:val="auto"/>
              </w:rPr>
              <w:t>Mr. Wenig</w:t>
            </w:r>
          </w:p>
        </w:tc>
        <w:tc>
          <w:tcPr>
            <w:tcW w:w="1560" w:type="dxa"/>
            <w:vAlign w:val="bottom"/>
            <w:tcBorders>
              <w:bottom w:val="single" w:sz="8" w:color="0033A0"/>
            </w:tcBorders>
          </w:tcPr>
          <w:p>
            <w:pPr>
              <w:jc w:val="right"/>
              <w:ind w:right="19"/>
              <w:spacing w:after="0"/>
              <w:rPr>
                <w:sz w:val="20"/>
                <w:szCs w:val="20"/>
                <w:color w:val="auto"/>
              </w:rPr>
            </w:pPr>
            <w:r>
              <w:rPr>
                <w:rFonts w:ascii="Arial" w:cs="Arial" w:eastAsia="Arial" w:hAnsi="Arial"/>
                <w:sz w:val="16"/>
                <w:szCs w:val="16"/>
                <w:color w:val="auto"/>
              </w:rPr>
              <w:t>$10,729</w:t>
            </w:r>
          </w:p>
        </w:tc>
        <w:tc>
          <w:tcPr>
            <w:tcW w:w="620" w:type="dxa"/>
            <w:vAlign w:val="bottom"/>
            <w:tcBorders>
              <w:bottom w:val="single" w:sz="8" w:color="0033A0"/>
            </w:tcBorders>
          </w:tcPr>
          <w:p>
            <w:pPr>
              <w:jc w:val="right"/>
              <w:ind w:right="19"/>
              <w:spacing w:after="0"/>
              <w:rPr>
                <w:sz w:val="20"/>
                <w:szCs w:val="20"/>
                <w:color w:val="auto"/>
              </w:rPr>
            </w:pPr>
            <w:r>
              <w:rPr>
                <w:rFonts w:ascii="Arial" w:cs="Arial" w:eastAsia="Arial" w:hAnsi="Arial"/>
                <w:sz w:val="16"/>
                <w:szCs w:val="16"/>
                <w:color w:val="auto"/>
              </w:rPr>
              <w:t>$160</w:t>
            </w:r>
          </w:p>
        </w:tc>
        <w:tc>
          <w:tcPr>
            <w:tcW w:w="800" w:type="dxa"/>
            <w:vAlign w:val="bottom"/>
            <w:tcBorders>
              <w:bottom w:val="single" w:sz="8" w:color="0033A0"/>
            </w:tcBorders>
          </w:tcPr>
          <w:p>
            <w:pPr>
              <w:jc w:val="right"/>
              <w:ind w:right="19"/>
              <w:spacing w:after="0"/>
              <w:rPr>
                <w:sz w:val="20"/>
                <w:szCs w:val="20"/>
                <w:color w:val="auto"/>
              </w:rPr>
            </w:pPr>
            <w:r>
              <w:rPr>
                <w:rFonts w:ascii="Arial" w:cs="Arial" w:eastAsia="Arial" w:hAnsi="Arial"/>
                <w:sz w:val="16"/>
                <w:szCs w:val="16"/>
                <w:color w:val="auto"/>
              </w:rPr>
              <w:t>$10,889</w:t>
            </w:r>
          </w:p>
        </w:tc>
      </w:tr>
    </w:tbl>
    <w:p>
      <w:pPr>
        <w:spacing w:after="0" w:line="328" w:lineRule="exact"/>
        <w:rPr>
          <w:sz w:val="20"/>
          <w:szCs w:val="20"/>
          <w:color w:val="auto"/>
        </w:rPr>
      </w:pPr>
    </w:p>
    <w:p>
      <w:pPr>
        <w:sectPr>
          <w:pgSz w:w="11900" w:h="16838" w:orient="portrait"/>
          <w:cols w:equalWidth="0" w:num="2">
            <w:col w:w="5300" w:space="540"/>
            <w:col w:w="5380"/>
          </w:cols>
          <w:pgMar w:left="240" w:top="459" w:right="439" w:bottom="1440" w:gutter="0" w:footer="0" w:header="0"/>
          <w:type w:val="continuous"/>
        </w:sectPr>
      </w:pPr>
    </w:p>
    <w:p>
      <w:pPr>
        <w:ind w:left="960" w:right="360" w:hanging="426"/>
        <w:spacing w:after="0" w:line="253" w:lineRule="auto"/>
        <w:tabs>
          <w:tab w:leader="none" w:pos="960" w:val="left"/>
        </w:tabs>
        <w:numPr>
          <w:ilvl w:val="1"/>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director.</w:t>
      </w:r>
    </w:p>
    <w:p>
      <w:pPr>
        <w:spacing w:after="0" w:line="49" w:lineRule="exact"/>
        <w:rPr>
          <w:rFonts w:ascii="Arial" w:cs="Arial" w:eastAsia="Arial" w:hAnsi="Arial"/>
          <w:sz w:val="14"/>
          <w:szCs w:val="14"/>
          <w:i w:val="1"/>
          <w:iCs w:val="1"/>
          <w:color w:val="auto"/>
        </w:rPr>
      </w:pPr>
    </w:p>
    <w:p>
      <w:pPr>
        <w:ind w:left="960" w:right="300" w:hanging="426"/>
        <w:spacing w:after="0" w:line="278" w:lineRule="auto"/>
        <w:tabs>
          <w:tab w:leader="none" w:pos="960" w:val="left"/>
        </w:tabs>
        <w:numPr>
          <w:ilvl w:val="1"/>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cost of premiums for providing personal accident insurance (annual premium cost of $240 is prorated, as applicable, for the period of service). In addition, Mr. Solso received tickets to attend a special event; the tickets had no incremental cost to the Company.</w:t>
      </w:r>
    </w:p>
    <w:p>
      <w:pPr>
        <w:spacing w:after="0" w:line="31" w:lineRule="exact"/>
        <w:rPr>
          <w:rFonts w:ascii="Arial" w:cs="Arial" w:eastAsia="Arial" w:hAnsi="Arial"/>
          <w:sz w:val="14"/>
          <w:szCs w:val="14"/>
          <w:i w:val="1"/>
          <w:iCs w:val="1"/>
          <w:color w:val="auto"/>
        </w:rPr>
      </w:pPr>
    </w:p>
    <w:p>
      <w:pPr>
        <w:ind w:left="540" w:hanging="330"/>
        <w:spacing w:after="0"/>
        <w:tabs>
          <w:tab w:leader="none" w:pos="5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Ms. Miscik joined the Board on October 8, 2018.</w:t>
      </w:r>
    </w:p>
    <w:p>
      <w:pPr>
        <w:spacing w:after="0" w:line="81" w:lineRule="exact"/>
        <w:rPr>
          <w:rFonts w:ascii="Arial" w:cs="Arial" w:eastAsia="Arial" w:hAnsi="Arial"/>
          <w:sz w:val="14"/>
          <w:szCs w:val="14"/>
          <w:i w:val="1"/>
          <w:iCs w:val="1"/>
          <w:color w:val="auto"/>
        </w:rPr>
      </w:pPr>
    </w:p>
    <w:p>
      <w:pPr>
        <w:ind w:left="540" w:hanging="330"/>
        <w:spacing w:after="0"/>
        <w:tabs>
          <w:tab w:leader="none" w:pos="5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Mr. Wenig joined the Board on April 18, 2018.</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20 </w:t>
      </w:r>
      <w:r>
        <w:rPr>
          <w:sz w:val="1"/>
          <w:szCs w:val="1"/>
          <w:color w:val="auto"/>
        </w:rPr>
        <w:drawing>
          <wp:inline distT="0" distB="0" distL="0" distR="0">
            <wp:extent cx="6852920" cy="14541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38"/>
          <w:szCs w:val="38"/>
          <w:color w:val="0033A0"/>
        </w:rPr>
        <w:t>CORPORATE GOVERNANCE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Role of the Board of Directors</w:t>
      </w:r>
    </w:p>
    <w:p>
      <w:pPr>
        <w:spacing w:after="0" w:line="308"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GM is governed by a Board of Directors and Committees of the Board that meet throughout the year. The Board is elected by shareholders to oversee and provide guidance on the Company’s business and affairs. It is the ultimate decision-making body of the Company except for those matters reserved for shareholders by law or pursuant to the Company’s governance instruments. The Board is actively engaged in the process of strategic development and oversight of ongoing execution of the Company’s strategic plan. It oversees management’s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-2199005</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340360</wp:posOffset>
            </wp:positionV>
            <wp:extent cx="6312535" cy="1849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12535" cy="184975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5500" w:space="320"/>
            <w:col w:w="5400"/>
          </w:cols>
          <w:pgMar w:left="240" w:top="459" w:right="439" w:bottom="1440" w:gutter="0" w:footer="0" w:header="0"/>
        </w:sect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3A0"/>
        </w:rPr>
        <w:t>The Board is Actively Engaged in Shaping the Company’s Purpose and Overseeing</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3A0"/>
        </w:rPr>
        <w:t>Strategy</w:t>
      </w:r>
    </w:p>
    <w:p>
      <w:pPr>
        <w:spacing w:after="0" w:line="120" w:lineRule="exact"/>
        <w:rPr>
          <w:sz w:val="20"/>
          <w:szCs w:val="20"/>
          <w:color w:val="auto"/>
        </w:rPr>
      </w:pPr>
    </w:p>
    <w:p>
      <w:pPr>
        <w:jc w:val="both"/>
        <w:ind w:left="980" w:right="860"/>
        <w:spacing w:after="0" w:line="247" w:lineRule="auto"/>
        <w:rPr>
          <w:sz w:val="20"/>
          <w:szCs w:val="20"/>
          <w:color w:val="auto"/>
        </w:rPr>
      </w:pPr>
      <w:r>
        <w:rPr>
          <w:rFonts w:ascii="Arial" w:cs="Arial" w:eastAsia="Arial" w:hAnsi="Arial"/>
          <w:sz w:val="16"/>
          <w:szCs w:val="16"/>
          <w:color w:val="auto"/>
        </w:rPr>
        <w:t>Every year, the Board holds a multi-day session devoted to discussing, debating, challenging, and validating management’s strategic objectives, initiatives, and execution. During these discussions, directors engage in an active dialogue and shape various aspects of management’s strategy and execution. This annual strategy session is supplemented by frequent updates and discussions of GM’s strategy throughout the year – at every Board meeting and between regularly scheduled sessions as may be necessary from time to time. Since the last annual meeting, these strategy discussions included review of the Company’s recent transformation actions; Cadillac’s future growth plans; performance and strategic opportunities in China; regulatory issues related to vehicle efficiency standards; the Company’s electric vehicle execution strategy; and other issues critical to the future viability of the Company. Your Board also solicits independent views on GM’s business and key industry trends from outside experts – including investment bankers and buy- and sell-side analysts – as well as investors through its robust Director-Shareholder Engagement Policy. For additional information on shareholder engagement, please see pages 31 and 32.</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Size</w:t>
      </w:r>
    </w:p>
    <w:p>
      <w:pPr>
        <w:spacing w:after="0" w:line="308"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Board sets the number of directors from time to time by resolution adopted by a majority of the directors. The Governance Committee reassesses the suitability of the Board’s size at least annually. The Board has the flexibility to increase or decrease the size of the Board as circumstances warrant. The Board is currently composed of 13 members, but Admiral Mullen and Mr. Mulva are not standing for reelection at the Annual Meeting.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of the Board’s nominees are elected, the Board will be composed of 11 members immediately following the Annual Meeting. If any nominee is unable to serve as a director or if any director leaves the Board between Annual Meetings, the Board, by resolution, may reduce the number of directors or elect an individual to fill the resulting vacancy.</w:t>
      </w:r>
    </w:p>
    <w:p>
      <w:pPr>
        <w:spacing w:after="0" w:line="576"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Code of Business Conduct and Ethics: “Winning with Integrity”</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Board is committed to the highest legal and ethical standards in fulfilling its responsibilities. We have adopted a code of business conduct and ethics, “Winning with Integrity,” (“Code”) that applies to our directors, officers, and employees. “Winning with Integrity” forms the foundation for compliance with corporate policies and procedures and creates a Company-wide focus on uncompromising integrity in every aspect of our operations. The Code embodies our expectations for a number of topics, including workplace and vehicle safety, conflicts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180975</wp:posOffset>
            </wp:positionV>
            <wp:extent cx="6758305"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interest, protection of confidential information, insider trading, competition and fair dealing, human rights, community involvement and corporate citizenship, political activities and lobbying, preservation and use of Company assets, and compliance with all laws and regulations applicable to the conduct of our business. Employees are expected to report any conduct that they believe in good faith to be an actual or apparent violation of the Code.</w:t>
      </w:r>
    </w:p>
    <w:p>
      <w:pPr>
        <w:spacing w:after="0" w:line="39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90"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21</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Corporate Governance Guidelines</w:t>
      </w:r>
    </w:p>
    <w:p>
      <w:pPr>
        <w:spacing w:after="0" w:line="308"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Our Corporate Governance Guidelines form a transparent framework for the effective governance of the Company. The Corporate Governance Guidelines address matters such as the respective roles and responsibilities of the Board and management, the Board’s leadership structure, the responsibilities of the Independent Lead Director, director independence, the Board membership criteria, Board Committees, and Board and CEO evaluation. The Governance Committee regularly reviews the Corporate Governance Guidelines and periodically recommends to your Board the adoption of amendments in response to changing regulations, evolving best practices, and shareholder concerns. For a summary of our corporate governance best practices, please see “Proxy Statement Summary—Governance Highlights” on page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40"/>
        <w:spacing w:after="0"/>
        <w:rPr>
          <w:sz w:val="20"/>
          <w:szCs w:val="20"/>
          <w:color w:val="auto"/>
        </w:rPr>
      </w:pPr>
      <w:r>
        <w:rPr>
          <w:sz w:val="1"/>
          <w:szCs w:val="1"/>
          <w:color w:val="auto"/>
        </w:rPr>
        <w:drawing>
          <wp:inline distT="0" distB="0" distL="0" distR="0">
            <wp:extent cx="308610" cy="2139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8610" cy="213995"/>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-469900</wp:posOffset>
            </wp:positionV>
            <wp:extent cx="3442970" cy="11474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42970" cy="1147445"/>
                    </a:xfrm>
                    <a:prstGeom prst="rect">
                      <a:avLst/>
                    </a:prstGeom>
                    <a:noFill/>
                  </pic:spPr>
                </pic:pic>
              </a:graphicData>
            </a:graphic>
          </wp:anchor>
        </w:drawing>
      </w:r>
    </w:p>
    <w:p>
      <w:pPr>
        <w:spacing w:after="0" w:line="111"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 xml:space="preserve">Our code of business conduct and ethics, “Winning with Integrity,” and Corporate Governance Guidelines and are available on our website at </w:t>
      </w:r>
      <w:r>
        <w:rPr>
          <w:rFonts w:ascii="Arial" w:cs="Arial" w:eastAsia="Arial" w:hAnsi="Arial"/>
          <w:sz w:val="16"/>
          <w:szCs w:val="16"/>
          <w:i w:val="1"/>
          <w:iCs w:val="1"/>
          <w:color w:val="00A1DF"/>
        </w:rPr>
        <w:t>investor.gm.com/resources.</w:t>
      </w:r>
    </w:p>
    <w:p>
      <w:pPr>
        <w:spacing w:after="0" w:line="1040" w:lineRule="exact"/>
        <w:rPr>
          <w:sz w:val="20"/>
          <w:szCs w:val="20"/>
          <w:color w:val="auto"/>
        </w:rPr>
      </w:pPr>
    </w:p>
    <w:p>
      <w:pPr>
        <w:sectPr>
          <w:pgSz w:w="11900" w:h="16838" w:orient="portrait"/>
          <w:cols w:equalWidth="0" w:num="2">
            <w:col w:w="5500" w:space="660"/>
            <w:col w:w="5060"/>
          </w:cols>
          <w:pgMar w:left="240" w:top="459" w:right="439" w:bottom="1440" w:gutter="0" w:footer="0" w:header="0"/>
          <w:type w:val="continuous"/>
        </w:sect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Director Independence</w:t>
      </w:r>
    </w:p>
    <w:p>
      <w:pPr>
        <w:spacing w:after="0" w:line="200" w:lineRule="exact"/>
        <w:rPr>
          <w:sz w:val="20"/>
          <w:szCs w:val="20"/>
          <w:color w:val="auto"/>
        </w:rPr>
      </w:pPr>
    </w:p>
    <w:p>
      <w:pPr>
        <w:spacing w:after="0" w:line="202"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GM’s Bylaws and Corporate Governance Guidelines define our standards for director independence and reflect applicable New York Stock Exchange (“NYSE”) and U.S. Securities and Exchange Commission (“SEC”) requirements. At least two-thirds of our directors are and must continue to be independent under these standards. The Governance Committee annually assesses the independence of each director and makes recommendations to the Board. For a director to be “independent,” the Board must affirmatively determine that the director has no material relationship with the Company other than his or her service as a director. In addition, members of the Audit Committee and the Executive Compensation Committee (the “Compensation Committee”) must meet heightened independence standards under applicable NYSE and SEC rules. Consistent with these standards, the Board has reviewed all relationships between the Company and each director and considered all relevant quantitative and qualitative criteria. The Board has affirmatively determined that all directors were independent during 2018, and that all current members are independent, except Ms. Barra, who serves as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recommending to the Board that it determine each director is independent, the Governance Committee considered whether there were any other facts or circumstances that might impair a director’s independence. None of these transactions were material to either GM or the director.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578"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Leadership Structure</w:t>
      </w:r>
    </w:p>
    <w:p>
      <w:pPr>
        <w:spacing w:after="0" w:line="321"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Your Board has the flexibility to decide when the positions of Chairman and CEO should be combined or separated and whether an executive or an independent director should be Chairman. This allows the Board to choose the leadership structure that will best serve the interests of our shareholders at any particular time. In January 2016, the Board recombined the positions of Chairman and CEO under the leadership of Ms. Barra and designated Mr. Solso as Independent Lead Director. For 2018, your Board unanimously voted to elect Ms. Barra as Chairman of the Board, and the independent directors unanimously voted to appoint Mr. Solso as the Independent Lead Director. The Board’s key duties include oversight of strategy, risk management, and legal and regulatory compliance as well as CEO succession planning. In each of these areas, the Board determined that a combined role of Chairman and CEO together with a strong Independent Lead Director and governance best practices is the optimal Board leadership structure for GM at this time. Mr. Solso’s perspective on your Board’s leadership structure is provided on the following page.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22 </w:t>
      </w:r>
      <w:r>
        <w:rPr>
          <w:sz w:val="1"/>
          <w:szCs w:val="1"/>
          <w:color w:val="auto"/>
        </w:rPr>
        <w:drawing>
          <wp:inline distT="0" distB="0" distL="0" distR="0">
            <wp:extent cx="6852920" cy="14541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4804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9445" cy="848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 w:right="2620"/>
        <w:spacing w:after="0" w:line="260" w:lineRule="auto"/>
        <w:rPr>
          <w:sz w:val="20"/>
          <w:szCs w:val="20"/>
          <w:color w:val="auto"/>
        </w:rPr>
      </w:pPr>
      <w:r>
        <w:rPr>
          <w:rFonts w:ascii="Arial" w:cs="Arial" w:eastAsia="Arial" w:hAnsi="Arial"/>
          <w:sz w:val="31"/>
          <w:szCs w:val="31"/>
          <w:color w:val="00A1DF"/>
        </w:rPr>
        <w:t>A Message from the Independent Lead Director Regarding Your Board’s Leadership Structure</w:t>
      </w:r>
    </w:p>
    <w:p>
      <w:pPr>
        <w:spacing w:after="0" w:line="243" w:lineRule="exact"/>
        <w:rPr>
          <w:sz w:val="20"/>
          <w:szCs w:val="20"/>
          <w:color w:val="auto"/>
        </w:rPr>
      </w:pPr>
    </w:p>
    <w:p>
      <w:pPr>
        <w:jc w:val="both"/>
        <w:ind w:left="440" w:right="220"/>
        <w:spacing w:after="0" w:line="253" w:lineRule="auto"/>
        <w:rPr>
          <w:sz w:val="20"/>
          <w:szCs w:val="20"/>
          <w:color w:val="auto"/>
        </w:rPr>
      </w:pPr>
      <w:r>
        <w:rPr>
          <w:rFonts w:ascii="Arial" w:cs="Arial" w:eastAsia="Arial" w:hAnsi="Arial"/>
          <w:sz w:val="16"/>
          <w:szCs w:val="16"/>
          <w:color w:val="auto"/>
        </w:rPr>
        <w:t>As the Independent Lead Director, I regularly engage with GM’s investors and other key stakeholders on a variety of issues, including GM’s corporate governance structure and practices and, importantly, your Board’s leadership structure. I want to share with you the same message I deliver during these engagements.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A1DF"/>
        </w:rPr>
        <w:t>Mary Barra Is the Right Person to Lead Your Board</w:t>
      </w:r>
    </w:p>
    <w:p>
      <w:pPr>
        <w:spacing w:after="0" w:line="65" w:lineRule="exact"/>
        <w:rPr>
          <w:sz w:val="20"/>
          <w:szCs w:val="20"/>
          <w:color w:val="auto"/>
        </w:rPr>
      </w:pPr>
    </w:p>
    <w:p>
      <w:pPr>
        <w:jc w:val="both"/>
        <w:ind w:left="440" w:right="220"/>
        <w:spacing w:after="0" w:line="248" w:lineRule="auto"/>
        <w:rPr>
          <w:sz w:val="20"/>
          <w:szCs w:val="20"/>
          <w:color w:val="auto"/>
        </w:rPr>
      </w:pPr>
      <w:r>
        <w:rPr>
          <w:rFonts w:ascii="Arial" w:cs="Arial" w:eastAsia="Arial" w:hAnsi="Arial"/>
          <w:sz w:val="16"/>
          <w:szCs w:val="16"/>
          <w:color w:val="auto"/>
        </w:rPr>
        <w:t>Your Board carefully considers the appropriate leadership structure for GM and its shareholders on an annual basis and determines whether to combine or split the roles of Chairman and CEO. Your Board believes that Ms. Barra’s service as both Chairman and CEO has provided, and continues to provide, a clear and unified strategic vision for GM during this time of unprecedented industry change. As the individual with primary responsibility for managing the Company, Ms. Barra’s in-depth knowledge of our business and understanding of GM’s day-to-day operations brings focused leadership to your Board. She has been a key leader as we have defined our corporate purpose and vision, reset our culture of safety, and relentlessly focused on putting the customer at the center of everything we do. Her leadership of the Board is especially critical at this time as the Company implements its transformation acceleration, announced in November 2018, and prepares to negotiate important labor agreements in 2019.</w:t>
      </w:r>
    </w:p>
    <w:p>
      <w:pPr>
        <w:spacing w:after="0" w:line="33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A1DF"/>
        </w:rPr>
        <w:t>Your Board Is Independent and Holds Management Accountable</w:t>
      </w:r>
    </w:p>
    <w:p>
      <w:pPr>
        <w:spacing w:after="0" w:line="65" w:lineRule="exact"/>
        <w:rPr>
          <w:sz w:val="20"/>
          <w:szCs w:val="20"/>
          <w:color w:val="auto"/>
        </w:rPr>
      </w:pPr>
    </w:p>
    <w:p>
      <w:pPr>
        <w:jc w:val="both"/>
        <w:ind w:left="440" w:right="220"/>
        <w:spacing w:after="0" w:line="249" w:lineRule="auto"/>
        <w:rPr>
          <w:sz w:val="20"/>
          <w:szCs w:val="20"/>
          <w:color w:val="auto"/>
        </w:rPr>
      </w:pPr>
      <w:r>
        <w:rPr>
          <w:rFonts w:ascii="Arial" w:cs="Arial" w:eastAsia="Arial" w:hAnsi="Arial"/>
          <w:sz w:val="16"/>
          <w:szCs w:val="16"/>
          <w:color w:val="auto"/>
        </w:rPr>
        <w:t>Your Board holds management accountable. Ten of the eleven director nominees are independent. We have the right mix of skills, qualifications, and experiences to oversee, guide, and challenge the leadership team. We are engaged in shaping and overseeing GM’s strategy. Strategy is a part of every Board meeting, and your Board has been deeply involved in GM’s recent actions to accelerate GM’s transformation and invest in the future. During strategic discussions, Board members engage in active debate and dialogue, challenge and validate management assumptions, and shape various aspects of management’s strategy and execution.</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A1DF"/>
        </w:rPr>
        <w:t>My Role as the Independent Lead Director</w:t>
      </w:r>
    </w:p>
    <w:p>
      <w:pPr>
        <w:spacing w:after="0" w:line="65" w:lineRule="exact"/>
        <w:rPr>
          <w:sz w:val="20"/>
          <w:szCs w:val="20"/>
          <w:color w:val="auto"/>
        </w:rPr>
      </w:pPr>
    </w:p>
    <w:p>
      <w:pPr>
        <w:jc w:val="both"/>
        <w:ind w:left="440" w:right="220"/>
        <w:spacing w:after="0" w:line="260" w:lineRule="auto"/>
        <w:rPr>
          <w:sz w:val="20"/>
          <w:szCs w:val="20"/>
          <w:color w:val="auto"/>
        </w:rPr>
      </w:pPr>
      <w:r>
        <w:rPr>
          <w:rFonts w:ascii="Arial" w:cs="Arial" w:eastAsia="Arial" w:hAnsi="Arial"/>
          <w:sz w:val="16"/>
          <w:szCs w:val="16"/>
          <w:color w:val="auto"/>
        </w:rPr>
        <w:t>My job is to complement Ms. Barra’s role as Chairman by providing strong independent leadership in my role as the Independent Lead Director with the following key duties and responsibilities:</w:t>
      </w:r>
    </w:p>
    <w:p>
      <w:pPr>
        <w:sectPr>
          <w:pgSz w:w="11900" w:h="16838" w:orient="portrait"/>
          <w:cols w:equalWidth="0" w:num="1">
            <w:col w:w="11220"/>
          </w:cols>
          <w:pgMar w:left="240" w:top="459" w:right="439" w:bottom="1440" w:gutter="0" w:footer="0" w:header="0"/>
        </w:sectPr>
      </w:pPr>
    </w:p>
    <w:p>
      <w:pPr>
        <w:spacing w:after="0" w:line="143" w:lineRule="exact"/>
        <w:rPr>
          <w:sz w:val="20"/>
          <w:szCs w:val="20"/>
          <w:color w:val="auto"/>
        </w:rPr>
      </w:pPr>
    </w:p>
    <w:p>
      <w:pPr>
        <w:jc w:val="both"/>
        <w:ind w:left="580" w:hanging="199"/>
        <w:spacing w:after="0" w:line="253" w:lineRule="auto"/>
        <w:tabs>
          <w:tab w:leader="none" w:pos="560"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Presiding over all Board meetings when the Chairman is not present, including executive sessions of non-management directors, and advising the Chairman of any actions taken;</w:t>
      </w:r>
    </w:p>
    <w:p>
      <w:pPr>
        <w:spacing w:after="0" w:line="118" w:lineRule="exact"/>
        <w:rPr>
          <w:sz w:val="20"/>
          <w:szCs w:val="20"/>
          <w:color w:val="auto"/>
        </w:rPr>
      </w:pPr>
    </w:p>
    <w:p>
      <w:pPr>
        <w:jc w:val="both"/>
        <w:ind w:left="580" w:hanging="194"/>
        <w:spacing w:after="0" w:line="253" w:lineRule="auto"/>
        <w:tabs>
          <w:tab w:leader="none" w:pos="580"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Providing Board leadership if circumstances arise in which the role of the Chairman is potentially, or perceived to be, in conflict or if potential conflicts of interest arise for any director;</w:t>
      </w:r>
    </w:p>
    <w:p>
      <w:pPr>
        <w:spacing w:after="0" w:line="106" w:lineRule="exact"/>
        <w:rPr>
          <w:rFonts w:ascii="Arial" w:cs="Arial" w:eastAsia="Arial" w:hAnsi="Arial"/>
          <w:sz w:val="16"/>
          <w:szCs w:val="16"/>
          <w:color w:val="00A1DF"/>
        </w:rPr>
      </w:pPr>
    </w:p>
    <w:p>
      <w:pPr>
        <w:jc w:val="both"/>
        <w:ind w:left="580" w:hanging="194"/>
        <w:spacing w:after="0" w:line="253" w:lineRule="auto"/>
        <w:tabs>
          <w:tab w:leader="none" w:pos="580"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Calling executive sessions for non-management directors, relaying feedback from these sessions to the Chairman, and implementing decisions made by the non-management directors;</w:t>
      </w:r>
    </w:p>
    <w:p>
      <w:pPr>
        <w:spacing w:after="0" w:line="106" w:lineRule="exact"/>
        <w:rPr>
          <w:rFonts w:ascii="Arial" w:cs="Arial" w:eastAsia="Arial" w:hAnsi="Arial"/>
          <w:sz w:val="16"/>
          <w:szCs w:val="16"/>
          <w:color w:val="00A1DF"/>
        </w:rPr>
      </w:pPr>
    </w:p>
    <w:p>
      <w:pPr>
        <w:jc w:val="both"/>
        <w:ind w:left="580" w:hanging="194"/>
        <w:spacing w:after="0" w:line="253" w:lineRule="auto"/>
        <w:tabs>
          <w:tab w:leader="none" w:pos="580"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Leading non-management directors in the annual evaluation of the CEO’s performance, communicating it to the CEO, and overseeing the process for CEO succession;</w:t>
      </w:r>
    </w:p>
    <w:p>
      <w:pPr>
        <w:spacing w:after="0" w:line="106" w:lineRule="exact"/>
        <w:rPr>
          <w:rFonts w:ascii="Arial" w:cs="Arial" w:eastAsia="Arial" w:hAnsi="Arial"/>
          <w:sz w:val="16"/>
          <w:szCs w:val="16"/>
          <w:color w:val="00A1DF"/>
        </w:rPr>
      </w:pPr>
    </w:p>
    <w:p>
      <w:pPr>
        <w:jc w:val="both"/>
        <w:ind w:left="580" w:hanging="194"/>
        <w:spacing w:after="0" w:line="250" w:lineRule="auto"/>
        <w:tabs>
          <w:tab w:leader="none" w:pos="580"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Advising on the scope, quality, quantity, and timeliness of the flow of information between management and the Board and approving Board meeting agendas and materials recommended by the Chairman;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96" w:right="180" w:hanging="199"/>
        <w:spacing w:after="0" w:line="260" w:lineRule="auto"/>
        <w:tabs>
          <w:tab w:leader="none" w:pos="176"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Approving Board meeting agendas to ensure sufficient time for discussion of all agenda items;</w:t>
      </w:r>
    </w:p>
    <w:p>
      <w:pPr>
        <w:spacing w:after="0" w:line="112" w:lineRule="exact"/>
        <w:rPr>
          <w:sz w:val="20"/>
          <w:szCs w:val="20"/>
          <w:color w:val="auto"/>
        </w:rPr>
      </w:pPr>
    </w:p>
    <w:p>
      <w:pPr>
        <w:jc w:val="both"/>
        <w:ind w:left="196" w:right="200" w:hanging="196"/>
        <w:spacing w:after="0" w:line="250" w:lineRule="auto"/>
        <w:tabs>
          <w:tab w:leader="none" w:pos="196" w:val="left"/>
        </w:tabs>
        <w:numPr>
          <w:ilvl w:val="0"/>
          <w:numId w:val="34"/>
        </w:numPr>
        <w:rPr>
          <w:rFonts w:ascii="Arial" w:cs="Arial" w:eastAsia="Arial" w:hAnsi="Arial"/>
          <w:sz w:val="16"/>
          <w:szCs w:val="16"/>
          <w:color w:val="00A1DF"/>
        </w:rPr>
      </w:pPr>
      <w:r>
        <w:rPr>
          <w:rFonts w:ascii="Arial" w:cs="Arial" w:eastAsia="Arial" w:hAnsi="Arial"/>
          <w:sz w:val="16"/>
          <w:szCs w:val="16"/>
          <w:color w:val="auto"/>
        </w:rPr>
        <w:t>Serving as a liaison between non-management directors and the Chairman when requested to do so (although all non-management directors have direct and complete access to the Chairman at any time that they deem necessary or appropriate);</w:t>
      </w:r>
    </w:p>
    <w:p>
      <w:pPr>
        <w:spacing w:after="0" w:line="110" w:lineRule="exact"/>
        <w:rPr>
          <w:rFonts w:ascii="Arial" w:cs="Arial" w:eastAsia="Arial" w:hAnsi="Arial"/>
          <w:sz w:val="16"/>
          <w:szCs w:val="16"/>
          <w:color w:val="00A1DF"/>
        </w:rPr>
      </w:pPr>
    </w:p>
    <w:p>
      <w:pPr>
        <w:jc w:val="both"/>
        <w:ind w:left="196" w:right="200" w:hanging="196"/>
        <w:spacing w:after="0" w:line="253" w:lineRule="auto"/>
        <w:tabs>
          <w:tab w:leader="none" w:pos="196" w:val="left"/>
        </w:tabs>
        <w:numPr>
          <w:ilvl w:val="0"/>
          <w:numId w:val="34"/>
        </w:numPr>
        <w:rPr>
          <w:rFonts w:ascii="Arial" w:cs="Arial" w:eastAsia="Arial" w:hAnsi="Arial"/>
          <w:sz w:val="16"/>
          <w:szCs w:val="16"/>
          <w:color w:val="00A1DF"/>
        </w:rPr>
      </w:pPr>
      <w:r>
        <w:rPr>
          <w:rFonts w:ascii="Arial" w:cs="Arial" w:eastAsia="Arial" w:hAnsi="Arial"/>
          <w:sz w:val="16"/>
          <w:szCs w:val="16"/>
          <w:color w:val="auto"/>
        </w:rPr>
        <w:t>Interviewing, along with the Chair of the Governance Committee, all director candidates and making recommendations to the Governance Committee and the Board;</w:t>
      </w:r>
    </w:p>
    <w:p>
      <w:pPr>
        <w:spacing w:after="0" w:line="106" w:lineRule="exact"/>
        <w:rPr>
          <w:rFonts w:ascii="Arial" w:cs="Arial" w:eastAsia="Arial" w:hAnsi="Arial"/>
          <w:sz w:val="16"/>
          <w:szCs w:val="16"/>
          <w:color w:val="00A1DF"/>
        </w:rPr>
      </w:pPr>
    </w:p>
    <w:p>
      <w:pPr>
        <w:jc w:val="both"/>
        <w:ind w:left="196" w:right="200" w:hanging="196"/>
        <w:spacing w:after="0" w:line="257" w:lineRule="auto"/>
        <w:tabs>
          <w:tab w:leader="none" w:pos="196" w:val="left"/>
        </w:tabs>
        <w:numPr>
          <w:ilvl w:val="0"/>
          <w:numId w:val="34"/>
        </w:numPr>
        <w:rPr>
          <w:rFonts w:ascii="Arial" w:cs="Arial" w:eastAsia="Arial" w:hAnsi="Arial"/>
          <w:sz w:val="16"/>
          <w:szCs w:val="16"/>
          <w:color w:val="00A1DF"/>
        </w:rPr>
      </w:pPr>
      <w:r>
        <w:rPr>
          <w:rFonts w:ascii="Arial" w:cs="Arial" w:eastAsia="Arial" w:hAnsi="Arial"/>
          <w:sz w:val="16"/>
          <w:szCs w:val="16"/>
          <w:color w:val="auto"/>
        </w:rPr>
        <w:t>Being available to advise the Chairs of the Committees of the Board in fulfilling their designated roles and responsibilities to the Board; and</w:t>
      </w:r>
    </w:p>
    <w:p>
      <w:pPr>
        <w:spacing w:after="0" w:line="293" w:lineRule="exact"/>
        <w:rPr>
          <w:rFonts w:ascii="Arial" w:cs="Arial" w:eastAsia="Arial" w:hAnsi="Arial"/>
          <w:sz w:val="16"/>
          <w:szCs w:val="16"/>
          <w:color w:val="00A1DF"/>
        </w:rPr>
      </w:pPr>
    </w:p>
    <w:p>
      <w:pPr>
        <w:jc w:val="both"/>
        <w:ind w:left="196" w:right="200" w:hanging="196"/>
        <w:spacing w:after="0" w:line="253" w:lineRule="auto"/>
        <w:tabs>
          <w:tab w:leader="none" w:pos="196" w:val="left"/>
        </w:tabs>
        <w:numPr>
          <w:ilvl w:val="0"/>
          <w:numId w:val="34"/>
        </w:numPr>
        <w:rPr>
          <w:rFonts w:ascii="Arial" w:cs="Arial" w:eastAsia="Arial" w:hAnsi="Arial"/>
          <w:sz w:val="16"/>
          <w:szCs w:val="16"/>
          <w:color w:val="00A1DF"/>
        </w:rPr>
      </w:pPr>
      <w:r>
        <w:rPr>
          <w:rFonts w:ascii="Arial" w:cs="Arial" w:eastAsia="Arial" w:hAnsi="Arial"/>
          <w:sz w:val="16"/>
          <w:szCs w:val="16"/>
          <w:color w:val="auto"/>
        </w:rPr>
        <w:t>Being available, if requested by major shareholders, for consultation and communication in accordance with the Board’s Director-Shareholder Engagement Policy.</w:t>
      </w:r>
    </w:p>
    <w:p>
      <w:pPr>
        <w:spacing w:after="0" w:line="384" w:lineRule="exact"/>
        <w:rPr>
          <w:sz w:val="20"/>
          <w:szCs w:val="20"/>
          <w:color w:val="auto"/>
        </w:rPr>
      </w:pPr>
    </w:p>
    <w:p>
      <w:pPr>
        <w:sectPr>
          <w:pgSz w:w="11900" w:h="16838" w:orient="portrait"/>
          <w:cols w:equalWidth="0" w:num="2">
            <w:col w:w="5480" w:space="344"/>
            <w:col w:w="5396"/>
          </w:cols>
          <w:pgMar w:left="240" w:top="459" w:right="439" w:bottom="1440" w:gutter="0" w:footer="0" w:header="0"/>
          <w:type w:val="continuous"/>
        </w:sectPr>
      </w:pPr>
    </w:p>
    <w:p>
      <w:pPr>
        <w:spacing w:after="0" w:line="328" w:lineRule="exact"/>
        <w:rPr>
          <w:sz w:val="20"/>
          <w:szCs w:val="20"/>
          <w:color w:val="auto"/>
        </w:rPr>
      </w:pPr>
    </w:p>
    <w:p>
      <w:pPr>
        <w:jc w:val="both"/>
        <w:ind w:left="440" w:right="220"/>
        <w:spacing w:after="0" w:line="250" w:lineRule="auto"/>
        <w:rPr>
          <w:sz w:val="20"/>
          <w:szCs w:val="20"/>
          <w:color w:val="auto"/>
        </w:rPr>
      </w:pPr>
      <w:r>
        <w:rPr>
          <w:rFonts w:ascii="Arial" w:cs="Arial" w:eastAsia="Arial" w:hAnsi="Arial"/>
          <w:sz w:val="16"/>
          <w:szCs w:val="16"/>
          <w:color w:val="auto"/>
        </w:rPr>
        <w:t>As always, I am proud to work closely with our Chairman and CEO and my fellow directors as we drive long-term shareholder value. Your Board has significantly refreshed its membership in recent years to ensure it maintains the right mix of skills, qualifications, and experiences to help lead GM through the continued transformation of its business and the automotive industry. As a part of your Board’s refreshment and succession planning, I look forward to continuing to provide strong and independent leadership throughout this important transition.</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behalf of the entire Board, thank you for your continued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Theodore M. Solso</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181610</wp:posOffset>
            </wp:positionV>
            <wp:extent cx="6758305" cy="128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71"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23</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Executive Sessions</w:t>
      </w:r>
    </w:p>
    <w:p>
      <w:pPr>
        <w:spacing w:after="0" w:line="227"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Independent directors have an opportunity to meet in executive session without management present as part of each regularly scheduled Board and Committee meeting. Executive sessions are chaired by the Independent Lead Director, Mr. Solso, or the respective Committee Chair.</w:t>
      </w:r>
    </w:p>
    <w:p>
      <w:pPr>
        <w:spacing w:after="0" w:line="87"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During executive sessions, the independent directors may review CEO performance, compensation, and succession planning; strategy; key enterprise risks; future Board agendas and the flow of information to directors; corporate governance matters; and any other matters of importance to the Company raised during a meeting or otherwise presented by the independent directors.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non-management directors of the Board, all of whom are independent, met in executive session six times in 2018.</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Committees</w:t>
      </w:r>
    </w:p>
    <w:p>
      <w:pPr>
        <w:spacing w:after="0" w:line="22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Your Board of Directors has seven standing Committees: Audit, Cybersecurity, Executive Compensation, Finance, Governance, Risk, and Executive. The key responsibilities, recent activities, and focus areas of each Committee are set forth below, together with their current membership and the number of meetings held in 2018. Each Committee Chair meets regularly with management during the year to discuss Committee business, shape agendas, and facilitate efficient meetings. The Chairman, Ms. Barra, and the Independent Lead Director, Mr. Solso, attend all Committee meetings to serve as a resource and identify topics requiring the full Board’s attention. The Board has determined that each member of the Audit, Compensation, Governance, Cybersecurity, Finance, and Risk Committees is independent according to NYSE listing standards and our Corporate Governance Guidelines. In May 2019, we will refresh the Board’s Committee memberships and combine the Risk and the Cybersecurity Committees into a new Risk and Cybersecurity Committee. The new Committee memberships are described on pages 25 to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133985</wp:posOffset>
            </wp:positionV>
            <wp:extent cx="3169285" cy="1130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69285" cy="113030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sz w:val="1"/>
          <w:szCs w:val="1"/>
          <w:color w:val="auto"/>
        </w:rPr>
        <w:drawing>
          <wp:inline distT="0" distB="0" distL="0" distR="0">
            <wp:extent cx="308610" cy="2139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8610" cy="213995"/>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131"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Each Committee has a charter governing its activities.</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Committee charters are available on our website at</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i w:val="1"/>
          <w:iCs w:val="1"/>
          <w:color w:val="00A1DF"/>
        </w:rPr>
        <w:t>investor.gm.com/resources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310515</wp:posOffset>
            </wp:positionV>
            <wp:extent cx="68529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24</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137160</wp:posOffset>
            </wp:positionV>
            <wp:extent cx="7143750" cy="231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3750" cy="23114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560" w:right="2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Thomas M. Schoewe (Chair),</w:t>
      </w:r>
      <w:r>
        <w:rPr>
          <w:rFonts w:ascii="Arial" w:cs="Arial" w:eastAsia="Arial" w:hAnsi="Arial"/>
          <w:sz w:val="16"/>
          <w:szCs w:val="16"/>
          <w:b w:val="1"/>
          <w:bCs w:val="1"/>
          <w:i w:val="1"/>
          <w:iCs w:val="1"/>
          <w:color w:val="00A1DF"/>
        </w:rPr>
        <w:t xml:space="preserve"> </w:t>
      </w:r>
      <w:r>
        <w:rPr>
          <w:rFonts w:ascii="Arial" w:cs="Arial" w:eastAsia="Arial" w:hAnsi="Arial"/>
          <w:sz w:val="16"/>
          <w:szCs w:val="16"/>
          <w:color w:val="000000"/>
        </w:rPr>
        <w:t>Linda R. Gooden, Jane L. Mendillo, Judith A. Miscik, and Michael G.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-384810</wp:posOffset>
            </wp:positionV>
            <wp:extent cx="668020" cy="668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8020" cy="66802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00A1DF"/>
        </w:rPr>
        <w:t>Meetings held in 2018: 7</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3A0"/>
        </w:rPr>
        <w:t>Thomas M. Schoewe,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34175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540" w:hanging="330"/>
        <w:spacing w:after="0" w:line="255" w:lineRule="auto"/>
        <w:tabs>
          <w:tab w:leader="none" w:pos="469"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Monitors the effectiveness of GM’s financial reporting processes and systems and disclosure and internal controls;</w:t>
      </w:r>
    </w:p>
    <w:p>
      <w:pPr>
        <w:ind w:left="540" w:right="20" w:hanging="330"/>
        <w:spacing w:after="0" w:line="255" w:lineRule="auto"/>
        <w:tabs>
          <w:tab w:leader="none" w:pos="469"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Selects and engages GM’s external auditors and reviews and evaluates the external auditor’s audit process;</w:t>
      </w:r>
    </w:p>
    <w:p>
      <w:pPr>
        <w:ind w:left="540" w:hanging="330"/>
        <w:spacing w:after="0" w:line="255" w:lineRule="auto"/>
        <w:tabs>
          <w:tab w:leader="none" w:pos="469"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Reviews and evaluates the scope and performance of the internal audit function;</w:t>
      </w:r>
    </w:p>
    <w:p>
      <w:pPr>
        <w:ind w:left="540" w:right="20" w:hanging="330"/>
        <w:spacing w:after="0" w:line="252" w:lineRule="auto"/>
        <w:tabs>
          <w:tab w:leader="none" w:pos="469"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Facilitates ongoing communications about GM’s financial position and affairs between the Board and the external auditors, GM’s financial and senior management, and GM’s internal audit staff;</w:t>
      </w:r>
    </w:p>
    <w:p>
      <w:pPr>
        <w:ind w:left="540" w:right="20" w:hanging="330"/>
        <w:spacing w:after="0" w:line="255" w:lineRule="auto"/>
        <w:tabs>
          <w:tab w:leader="none" w:pos="469"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Reviews GM’s policies and procedures regarding ethics and compliance; and</w:t>
      </w:r>
    </w:p>
    <w:p>
      <w:pPr>
        <w:ind w:left="540" w:right="20" w:hanging="330"/>
        <w:spacing w:after="0" w:line="277" w:lineRule="auto"/>
        <w:tabs>
          <w:tab w:leader="none" w:pos="469"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Oversees the preparation of the Audit Committee Report and related disclosures for the annual Proxy Statement.</w:t>
      </w:r>
    </w:p>
    <w:p>
      <w:pPr>
        <w:spacing w:after="0" w:line="8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Board has determined that all members of the Audit Committee meet heightened independence and qualification criteria and are financially literate in accordance with the NYSE Corporate Governance Standards and SEC rules and that Ms. Gooden, Ms. Mendillo, and Mr. Schoewe are each qualified as an “audit committee financial expert” as defined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266700</wp:posOffset>
            </wp:positionV>
            <wp:extent cx="2955290" cy="16960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55290" cy="1696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320" w:right="46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Linda R. Gooden (Chair),</w:t>
      </w:r>
      <w:r>
        <w:rPr>
          <w:rFonts w:ascii="Arial" w:cs="Arial" w:eastAsia="Arial" w:hAnsi="Arial"/>
          <w:sz w:val="16"/>
          <w:szCs w:val="16"/>
          <w:b w:val="1"/>
          <w:bCs w:val="1"/>
          <w:i w:val="1"/>
          <w:iCs w:val="1"/>
          <w:color w:val="00A1DF"/>
        </w:rPr>
        <w:t xml:space="preserve"> </w:t>
      </w:r>
      <w:r>
        <w:rPr>
          <w:rFonts w:ascii="Arial" w:cs="Arial" w:eastAsia="Arial" w:hAnsi="Arial"/>
          <w:sz w:val="16"/>
          <w:szCs w:val="16"/>
          <w:color w:val="000000"/>
        </w:rPr>
        <w:t>Michael G. Mullen, and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668020" cy="668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8020" cy="66802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00A1DF"/>
        </w:rPr>
        <w:t>Meetings held in 2018: 4</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Linda R. Gooden,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3451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320" w:hanging="315"/>
        <w:spacing w:after="0" w:line="252" w:lineRule="auto"/>
        <w:tabs>
          <w:tab w:leader="none" w:pos="249" w:val="left"/>
        </w:tabs>
        <w:numPr>
          <w:ilvl w:val="0"/>
          <w:numId w:val="36"/>
        </w:numPr>
        <w:rPr>
          <w:rFonts w:ascii="Arial" w:cs="Arial" w:eastAsia="Arial" w:hAnsi="Arial"/>
          <w:sz w:val="16"/>
          <w:szCs w:val="16"/>
          <w:color w:val="00A1DF"/>
        </w:rPr>
      </w:pPr>
      <w:r>
        <w:rPr>
          <w:rFonts w:ascii="Arial" w:cs="Arial" w:eastAsia="Arial" w:hAnsi="Arial"/>
          <w:sz w:val="16"/>
          <w:szCs w:val="16"/>
          <w:color w:val="auto"/>
        </w:rPr>
        <w:t>Oversees the effectiveness of the Company’s cybersecurity programs and its practices for identifying, assessing, and mitigating cybersecurity risks;</w:t>
      </w:r>
    </w:p>
    <w:p>
      <w:pPr>
        <w:ind w:left="320" w:hanging="315"/>
        <w:spacing w:after="0" w:line="250" w:lineRule="auto"/>
        <w:tabs>
          <w:tab w:leader="none" w:pos="249" w:val="left"/>
        </w:tabs>
        <w:numPr>
          <w:ilvl w:val="0"/>
          <w:numId w:val="36"/>
        </w:numPr>
        <w:rPr>
          <w:rFonts w:ascii="Arial" w:cs="Arial" w:eastAsia="Arial" w:hAnsi="Arial"/>
          <w:sz w:val="16"/>
          <w:szCs w:val="16"/>
          <w:color w:val="00A1DF"/>
        </w:rPr>
      </w:pPr>
      <w:r>
        <w:rPr>
          <w:rFonts w:ascii="Arial" w:cs="Arial" w:eastAsia="Arial" w:hAnsi="Arial"/>
          <w:sz w:val="16"/>
          <w:szCs w:val="16"/>
          <w:color w:val="auto"/>
        </w:rPr>
        <w:t>Reviews the Company’s controls to prevent, detect, and respond to cyberattacks and breaches involving GM’s electronic information, intellectual property, sensitive data, connected products, and the connected ecosystem;</w:t>
      </w:r>
    </w:p>
    <w:p>
      <w:pPr>
        <w:spacing w:after="0" w:line="2" w:lineRule="exact"/>
        <w:rPr>
          <w:rFonts w:ascii="Arial" w:cs="Arial" w:eastAsia="Arial" w:hAnsi="Arial"/>
          <w:sz w:val="16"/>
          <w:szCs w:val="16"/>
          <w:color w:val="00A1DF"/>
        </w:rPr>
      </w:pPr>
    </w:p>
    <w:p>
      <w:pPr>
        <w:ind w:left="320" w:hanging="315"/>
        <w:spacing w:after="0" w:line="252" w:lineRule="auto"/>
        <w:tabs>
          <w:tab w:leader="none" w:pos="249" w:val="left"/>
        </w:tabs>
        <w:numPr>
          <w:ilvl w:val="0"/>
          <w:numId w:val="36"/>
        </w:numPr>
        <w:rPr>
          <w:rFonts w:ascii="Arial" w:cs="Arial" w:eastAsia="Arial" w:hAnsi="Arial"/>
          <w:sz w:val="16"/>
          <w:szCs w:val="16"/>
          <w:color w:val="00A1DF"/>
        </w:rPr>
      </w:pPr>
      <w:r>
        <w:rPr>
          <w:rFonts w:ascii="Arial" w:cs="Arial" w:eastAsia="Arial" w:hAnsi="Arial"/>
          <w:sz w:val="16"/>
          <w:szCs w:val="16"/>
          <w:color w:val="auto"/>
        </w:rPr>
        <w:t>Oversees management’s implementation of cybersecurity programs and risk policies and procedures and management’s actions to safeguard their effectiveness; and</w:t>
      </w:r>
    </w:p>
    <w:p>
      <w:pPr>
        <w:ind w:left="320" w:hanging="315"/>
        <w:spacing w:after="0" w:line="277" w:lineRule="auto"/>
        <w:tabs>
          <w:tab w:leader="none" w:pos="249" w:val="left"/>
        </w:tabs>
        <w:numPr>
          <w:ilvl w:val="0"/>
          <w:numId w:val="36"/>
        </w:numPr>
        <w:rPr>
          <w:rFonts w:ascii="Arial" w:cs="Arial" w:eastAsia="Arial" w:hAnsi="Arial"/>
          <w:sz w:val="16"/>
          <w:szCs w:val="16"/>
          <w:color w:val="00A1DF"/>
        </w:rPr>
      </w:pPr>
      <w:r>
        <w:rPr>
          <w:rFonts w:ascii="Arial" w:cs="Arial" w:eastAsia="Arial" w:hAnsi="Arial"/>
          <w:sz w:val="16"/>
          <w:szCs w:val="16"/>
          <w:color w:val="auto"/>
        </w:rPr>
        <w:t>Evaluates the Company’s cyber-crisis preparedness, incident response plans, and disaster recovery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3426460" cy="22783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6460" cy="2278380"/>
                    </a:xfrm>
                    <a:prstGeom prst="rect">
                      <a:avLst/>
                    </a:prstGeom>
                    <a:noFill/>
                  </pic:spPr>
                </pic:pic>
              </a:graphicData>
            </a:graphic>
          </wp:anchor>
        </w:drawing>
      </w:r>
    </w:p>
    <w:p>
      <w:pPr>
        <w:spacing w:after="0" w:line="1458" w:lineRule="exact"/>
        <w:rPr>
          <w:sz w:val="20"/>
          <w:szCs w:val="20"/>
          <w:color w:val="auto"/>
        </w:rPr>
      </w:pPr>
    </w:p>
    <w:p>
      <w:pPr>
        <w:sectPr>
          <w:pgSz w:w="11900" w:h="16838" w:orient="portrait"/>
          <w:cols w:equalWidth="0" w:num="2">
            <w:col w:w="5600" w:space="460"/>
            <w:col w:w="538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For  additional  information  about  the  Audit  Committee  and  its  2018</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activities, see its report included in this Proxy Statement, beginning 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156210</wp:posOffset>
            </wp:positionV>
            <wp:extent cx="2963545" cy="530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63545" cy="53086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789940</wp:posOffset>
            </wp:positionV>
            <wp:extent cx="6758305" cy="128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0033A0"/>
        </w:rPr>
        <w:t>25</w:t>
      </w:r>
    </w:p>
    <w:p>
      <w:pPr>
        <w:sectPr>
          <w:pgSz w:w="11900" w:h="16838" w:orient="portrait"/>
          <w:cols w:equalWidth="0" w:num="1">
            <w:col w:w="11440"/>
          </w:cols>
          <w:pgMar w:left="240" w:top="459" w:right="2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137160</wp:posOffset>
            </wp:positionV>
            <wp:extent cx="6998335" cy="222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8335" cy="2228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20" w:right="60"/>
        <w:spacing w:after="0" w:line="266" w:lineRule="auto"/>
        <w:rPr>
          <w:sz w:val="20"/>
          <w:szCs w:val="20"/>
          <w:color w:val="auto"/>
        </w:rPr>
      </w:pPr>
      <w:r>
        <w:rPr>
          <w:rFonts w:ascii="Arial" w:cs="Arial" w:eastAsia="Arial" w:hAnsi="Arial"/>
          <w:sz w:val="16"/>
          <w:szCs w:val="16"/>
          <w:b w:val="1"/>
          <w:bCs w:val="1"/>
          <w:color w:val="00A1DF"/>
        </w:rPr>
        <w:t xml:space="preserve">Members: </w:t>
      </w:r>
      <w:r>
        <w:rPr>
          <w:rFonts w:ascii="Arial" w:cs="Arial" w:eastAsia="Arial" w:hAnsi="Arial"/>
          <w:sz w:val="16"/>
          <w:szCs w:val="16"/>
          <w:b w:val="1"/>
          <w:bCs w:val="1"/>
          <w:color w:val="000000"/>
        </w:rPr>
        <w:t>Carol M. Stephenson (Chair),</w:t>
      </w:r>
      <w:r>
        <w:rPr>
          <w:rFonts w:ascii="Arial" w:cs="Arial" w:eastAsia="Arial" w:hAnsi="Arial"/>
          <w:sz w:val="16"/>
          <w:szCs w:val="16"/>
          <w:b w:val="1"/>
          <w:bCs w:val="1"/>
          <w:color w:val="00A1DF"/>
        </w:rPr>
        <w:t xml:space="preserve"> </w:t>
      </w:r>
      <w:r>
        <w:rPr>
          <w:rFonts w:ascii="Arial" w:cs="Arial" w:eastAsia="Arial" w:hAnsi="Arial"/>
          <w:sz w:val="16"/>
          <w:szCs w:val="16"/>
          <w:b w:val="1"/>
          <w:bCs w:val="1"/>
          <w:color w:val="000000"/>
        </w:rPr>
        <w:t>Wesley G. Bush, Joseph Jimenez, James J. Mulva, and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-384810</wp:posOffset>
            </wp:positionV>
            <wp:extent cx="668020" cy="668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8020" cy="66802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00A1DF"/>
        </w:rPr>
        <w:t>Meetings held in 2018: 6</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3A0"/>
        </w:rPr>
        <w:t>Carol M. Stephenson,</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34175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540" w:right="20" w:hanging="330"/>
        <w:spacing w:after="0" w:line="255" w:lineRule="auto"/>
        <w:tabs>
          <w:tab w:leader="none" w:pos="469"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Oversees the Company’s executive compensation policies, practices, and programs;</w:t>
      </w:r>
    </w:p>
    <w:p>
      <w:pPr>
        <w:ind w:left="540" w:right="20" w:hanging="330"/>
        <w:spacing w:after="0" w:line="252" w:lineRule="auto"/>
        <w:tabs>
          <w:tab w:leader="none" w:pos="469"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Reviews and approves corporate goals and objectives for compensation, evaluates performance (along with the full Board), and determines compensation levels for the Chairman and CEO;</w:t>
      </w:r>
    </w:p>
    <w:p>
      <w:pPr>
        <w:ind w:left="540" w:right="20" w:hanging="330"/>
        <w:spacing w:after="0" w:line="255" w:lineRule="auto"/>
        <w:tabs>
          <w:tab w:leader="none" w:pos="469"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Reviews and approves compensation of NEOs, executive officers, and other senior leaders under its purview;</w:t>
      </w:r>
    </w:p>
    <w:p>
      <w:pPr>
        <w:ind w:left="540" w:right="20" w:hanging="330"/>
        <w:spacing w:after="0" w:line="255" w:lineRule="auto"/>
        <w:tabs>
          <w:tab w:leader="none" w:pos="469"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Oversees compensation policies and practices so that the plans do not encourage unnecessary or excessive risks; and</w:t>
      </w:r>
    </w:p>
    <w:p>
      <w:pPr>
        <w:ind w:left="540" w:right="20" w:hanging="330"/>
        <w:spacing w:after="0" w:line="277" w:lineRule="auto"/>
        <w:tabs>
          <w:tab w:leader="none" w:pos="469"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Oversees the Company’s compensation policies and practices that promote diversity and inclusion.</w:t>
      </w:r>
    </w:p>
    <w:p>
      <w:pPr>
        <w:spacing w:after="0" w:line="88"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Board has determined that all members of the Compensation Committee meet heightened independence and qualification criteria in accordance with NYSE listing standards and SEC rules. The Compensation Committee’s charter permits the Committee to delegate its authority to members of management and also form and delegate authority to subcommittees consisting of one or more members when it deems it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147320</wp:posOffset>
            </wp:positionV>
            <wp:extent cx="2963545" cy="22612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63545" cy="2261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3540" w:type="dxa"/>
            <w:vAlign w:val="bottom"/>
          </w:tcPr>
          <w:p>
            <w:pPr>
              <w:ind w:left="460"/>
              <w:spacing w:after="0"/>
              <w:rPr>
                <w:sz w:val="20"/>
                <w:szCs w:val="20"/>
                <w:color w:val="auto"/>
              </w:rPr>
            </w:pPr>
            <w:r>
              <w:rPr>
                <w:rFonts w:ascii="Arial" w:cs="Arial" w:eastAsia="Arial" w:hAnsi="Arial"/>
                <w:sz w:val="16"/>
                <w:szCs w:val="16"/>
                <w:b w:val="1"/>
                <w:bCs w:val="1"/>
                <w:color w:val="00A1DF"/>
              </w:rPr>
              <w:t xml:space="preserve">Members: </w:t>
            </w:r>
            <w:r>
              <w:rPr>
                <w:rFonts w:ascii="Arial" w:cs="Arial" w:eastAsia="Arial" w:hAnsi="Arial"/>
                <w:sz w:val="16"/>
                <w:szCs w:val="16"/>
                <w:b w:val="1"/>
                <w:bCs w:val="1"/>
                <w:color w:val="000000"/>
              </w:rPr>
              <w:t>James J. Mulva (Chair),</w:t>
            </w:r>
          </w:p>
        </w:tc>
      </w:tr>
      <w:tr>
        <w:trPr>
          <w:trHeight w:val="189"/>
        </w:trPr>
        <w:tc>
          <w:tcPr>
            <w:tcW w:w="1960" w:type="dxa"/>
            <w:vAlign w:val="bottom"/>
          </w:tcPr>
          <w:p>
            <w:pPr>
              <w:spacing w:after="0"/>
              <w:rPr>
                <w:sz w:val="16"/>
                <w:szCs w:val="16"/>
                <w:color w:val="auto"/>
              </w:rPr>
            </w:pPr>
          </w:p>
        </w:tc>
        <w:tc>
          <w:tcPr>
            <w:tcW w:w="3540" w:type="dxa"/>
            <w:vAlign w:val="bottom"/>
          </w:tcPr>
          <w:p>
            <w:pPr>
              <w:ind w:left="460"/>
              <w:spacing w:after="0"/>
              <w:rPr>
                <w:sz w:val="20"/>
                <w:szCs w:val="20"/>
                <w:color w:val="auto"/>
              </w:rPr>
            </w:pPr>
            <w:r>
              <w:rPr>
                <w:rFonts w:ascii="Arial" w:cs="Arial" w:eastAsia="Arial" w:hAnsi="Arial"/>
                <w:sz w:val="16"/>
                <w:szCs w:val="16"/>
                <w:b w:val="1"/>
                <w:bCs w:val="1"/>
                <w:color w:val="auto"/>
              </w:rPr>
              <w:t>Wesley G. Bush, Jane L. Mendillo,</w:t>
            </w:r>
          </w:p>
        </w:tc>
      </w:tr>
      <w:tr>
        <w:trPr>
          <w:trHeight w:val="189"/>
        </w:trPr>
        <w:tc>
          <w:tcPr>
            <w:tcW w:w="1960" w:type="dxa"/>
            <w:vAlign w:val="bottom"/>
          </w:tcPr>
          <w:p>
            <w:pPr>
              <w:spacing w:after="0"/>
              <w:rPr>
                <w:sz w:val="16"/>
                <w:szCs w:val="16"/>
                <w:color w:val="auto"/>
              </w:rPr>
            </w:pPr>
          </w:p>
        </w:tc>
        <w:tc>
          <w:tcPr>
            <w:tcW w:w="3540" w:type="dxa"/>
            <w:vAlign w:val="bottom"/>
          </w:tcPr>
          <w:p>
            <w:pPr>
              <w:ind w:left="460"/>
              <w:spacing w:after="0"/>
              <w:rPr>
                <w:sz w:val="20"/>
                <w:szCs w:val="20"/>
                <w:color w:val="auto"/>
              </w:rPr>
            </w:pPr>
            <w:r>
              <w:rPr>
                <w:rFonts w:ascii="Arial" w:cs="Arial" w:eastAsia="Arial" w:hAnsi="Arial"/>
                <w:sz w:val="16"/>
                <w:szCs w:val="16"/>
                <w:b w:val="1"/>
                <w:bCs w:val="1"/>
                <w:color w:val="auto"/>
              </w:rPr>
              <w:t>Patricia F. Russo, and Thomas M.</w:t>
            </w:r>
          </w:p>
        </w:tc>
      </w:tr>
      <w:tr>
        <w:trPr>
          <w:trHeight w:val="214"/>
        </w:trPr>
        <w:tc>
          <w:tcPr>
            <w:tcW w:w="1960" w:type="dxa"/>
            <w:vAlign w:val="bottom"/>
          </w:tcPr>
          <w:p>
            <w:pPr>
              <w:spacing w:after="0"/>
              <w:rPr>
                <w:sz w:val="18"/>
                <w:szCs w:val="18"/>
                <w:color w:val="auto"/>
              </w:rPr>
            </w:pPr>
          </w:p>
        </w:tc>
        <w:tc>
          <w:tcPr>
            <w:tcW w:w="3540" w:type="dxa"/>
            <w:vAlign w:val="bottom"/>
          </w:tcPr>
          <w:p>
            <w:pPr>
              <w:ind w:left="460"/>
              <w:spacing w:after="0"/>
              <w:rPr>
                <w:sz w:val="20"/>
                <w:szCs w:val="20"/>
                <w:color w:val="auto"/>
              </w:rPr>
            </w:pPr>
            <w:r>
              <w:rPr>
                <w:rFonts w:ascii="Arial" w:cs="Arial" w:eastAsia="Arial" w:hAnsi="Arial"/>
                <w:sz w:val="16"/>
                <w:szCs w:val="16"/>
                <w:b w:val="1"/>
                <w:bCs w:val="1"/>
                <w:color w:val="auto"/>
              </w:rPr>
              <w:t>Schoewe</w:t>
            </w:r>
          </w:p>
        </w:tc>
      </w:tr>
      <w:tr>
        <w:trPr>
          <w:trHeight w:val="469"/>
        </w:trPr>
        <w:tc>
          <w:tcPr>
            <w:tcW w:w="1960" w:type="dxa"/>
            <w:vAlign w:val="bottom"/>
          </w:tcPr>
          <w:p>
            <w:pPr>
              <w:ind w:left="120"/>
              <w:spacing w:after="0"/>
              <w:rPr>
                <w:sz w:val="20"/>
                <w:szCs w:val="20"/>
                <w:color w:val="auto"/>
              </w:rPr>
            </w:pPr>
            <w:r>
              <w:rPr>
                <w:rFonts w:ascii="Arial" w:cs="Arial" w:eastAsia="Arial" w:hAnsi="Arial"/>
                <w:sz w:val="18"/>
                <w:szCs w:val="18"/>
                <w:b w:val="1"/>
                <w:bCs w:val="1"/>
                <w:color w:val="0033A0"/>
              </w:rPr>
              <w:t>James J. Mulva,</w:t>
            </w:r>
          </w:p>
        </w:tc>
        <w:tc>
          <w:tcPr>
            <w:tcW w:w="3540" w:type="dxa"/>
            <w:vAlign w:val="bottom"/>
          </w:tcPr>
          <w:p>
            <w:pPr>
              <w:ind w:left="460"/>
              <w:spacing w:after="0"/>
              <w:rPr>
                <w:sz w:val="20"/>
                <w:szCs w:val="20"/>
                <w:color w:val="auto"/>
              </w:rPr>
            </w:pPr>
            <w:r>
              <w:rPr>
                <w:rFonts w:ascii="Arial" w:cs="Arial" w:eastAsia="Arial" w:hAnsi="Arial"/>
                <w:sz w:val="16"/>
                <w:szCs w:val="16"/>
                <w:b w:val="1"/>
                <w:bCs w:val="1"/>
                <w:i w:val="1"/>
                <w:iCs w:val="1"/>
                <w:color w:val="00A1DF"/>
              </w:rPr>
              <w:t>Meetings held in 2018: 4</w:t>
            </w:r>
          </w:p>
        </w:tc>
      </w:tr>
      <w:tr>
        <w:trPr>
          <w:trHeight w:val="239"/>
        </w:trPr>
        <w:tc>
          <w:tcPr>
            <w:tcW w:w="1960" w:type="dxa"/>
            <w:vAlign w:val="bottom"/>
          </w:tcPr>
          <w:p>
            <w:pPr>
              <w:ind w:left="120"/>
              <w:spacing w:after="0"/>
              <w:rPr>
                <w:sz w:val="20"/>
                <w:szCs w:val="20"/>
                <w:color w:val="auto"/>
              </w:rPr>
            </w:pPr>
            <w:r>
              <w:rPr>
                <w:rFonts w:ascii="Arial" w:cs="Arial" w:eastAsia="Arial" w:hAnsi="Arial"/>
                <w:sz w:val="18"/>
                <w:szCs w:val="18"/>
                <w:b w:val="1"/>
                <w:bCs w:val="1"/>
                <w:color w:val="0033A0"/>
              </w:rPr>
              <w:t>Chair</w:t>
            </w:r>
          </w:p>
        </w:tc>
        <w:tc>
          <w:tcPr>
            <w:tcW w:w="3540" w:type="dxa"/>
            <w:vAlign w:val="bottom"/>
          </w:tcPr>
          <w:p>
            <w:pPr>
              <w:spacing w:after="0"/>
              <w:rPr>
                <w:sz w:val="20"/>
                <w:szCs w:val="20"/>
                <w:color w:val="auto"/>
              </w:rPr>
            </w:pPr>
          </w:p>
        </w:tc>
      </w:tr>
      <w:tr>
        <w:trPr>
          <w:trHeight w:val="40"/>
        </w:trPr>
        <w:tc>
          <w:tcPr>
            <w:tcW w:w="1960" w:type="dxa"/>
            <w:vAlign w:val="bottom"/>
            <w:tcBorders>
              <w:bottom w:val="single" w:sz="8" w:color="0033A0"/>
            </w:tcBorders>
          </w:tcPr>
          <w:p>
            <w:pPr>
              <w:spacing w:after="0"/>
              <w:rPr>
                <w:sz w:val="3"/>
                <w:szCs w:val="3"/>
                <w:color w:val="auto"/>
              </w:rPr>
            </w:pPr>
          </w:p>
        </w:tc>
        <w:tc>
          <w:tcPr>
            <w:tcW w:w="3540" w:type="dxa"/>
            <w:vAlign w:val="bottom"/>
            <w:tcBorders>
              <w:bottom w:val="single" w:sz="8" w:color="0033A0"/>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-967105</wp:posOffset>
            </wp:positionV>
            <wp:extent cx="668020" cy="668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8020" cy="66802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440" w:hanging="325"/>
        <w:spacing w:after="0" w:line="255" w:lineRule="auto"/>
        <w:tabs>
          <w:tab w:leader="none" w:pos="360"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Assists the Board in its oversight of financial policies, strategies, and capital structure;</w:t>
      </w:r>
    </w:p>
    <w:p>
      <w:pPr>
        <w:ind w:left="440" w:hanging="325"/>
        <w:spacing w:after="0" w:line="250" w:lineRule="auto"/>
        <w:tabs>
          <w:tab w:leader="none" w:pos="369"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Reviews the Company’s cash management policies and proposed capital plans, capital expenditures, dividend actions, stock repurchases, issuances of debt or equity securities, and credit facility and other borrowings;</w:t>
      </w:r>
    </w:p>
    <w:p>
      <w:pPr>
        <w:spacing w:after="0" w:line="2" w:lineRule="exact"/>
        <w:rPr>
          <w:rFonts w:ascii="Arial" w:cs="Arial" w:eastAsia="Arial" w:hAnsi="Arial"/>
          <w:sz w:val="16"/>
          <w:szCs w:val="16"/>
          <w:color w:val="00A1DF"/>
        </w:rPr>
      </w:pPr>
    </w:p>
    <w:p>
      <w:pPr>
        <w:ind w:left="440" w:hanging="325"/>
        <w:spacing w:after="0" w:line="250" w:lineRule="auto"/>
        <w:tabs>
          <w:tab w:leader="none" w:pos="369"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Reviews any significant financial exposures and contingent liabilities of the Company, including foreign exchange, interest rate, and commodities exposures, and the use of derivatives to hedge those exposures; and</w:t>
      </w:r>
    </w:p>
    <w:p>
      <w:pPr>
        <w:spacing w:after="0" w:line="2" w:lineRule="exact"/>
        <w:rPr>
          <w:rFonts w:ascii="Arial" w:cs="Arial" w:eastAsia="Arial" w:hAnsi="Arial"/>
          <w:sz w:val="16"/>
          <w:szCs w:val="16"/>
          <w:color w:val="00A1DF"/>
        </w:rPr>
      </w:pPr>
    </w:p>
    <w:p>
      <w:pPr>
        <w:ind w:left="440" w:hanging="325"/>
        <w:spacing w:after="0" w:line="262" w:lineRule="auto"/>
        <w:tabs>
          <w:tab w:leader="none" w:pos="369"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Reviews the regulatory compliance, administration, financing, investment performance, risk and liability profile, and funding of the Company’s U.S. 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1612265</wp:posOffset>
            </wp:positionV>
            <wp:extent cx="2963545" cy="530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63545" cy="530860"/>
                    </a:xfrm>
                    <a:prstGeom prst="rect">
                      <a:avLst/>
                    </a:prstGeom>
                    <a:noFill/>
                  </pic:spPr>
                </pic:pic>
              </a:graphicData>
            </a:graphic>
          </wp:anchor>
        </w:drawing>
      </w:r>
    </w:p>
    <w:p>
      <w:pPr>
        <w:spacing w:after="0" w:line="1265" w:lineRule="exact"/>
        <w:rPr>
          <w:sz w:val="20"/>
          <w:szCs w:val="20"/>
          <w:color w:val="auto"/>
        </w:rPr>
      </w:pPr>
    </w:p>
    <w:p>
      <w:pPr>
        <w:sectPr>
          <w:pgSz w:w="11900" w:h="16838" w:orient="portrait"/>
          <w:cols w:equalWidth="0" w:num="2">
            <w:col w:w="5600" w:space="120"/>
            <w:col w:w="55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26 </w:t>
      </w:r>
      <w:r>
        <w:rPr>
          <w:sz w:val="1"/>
          <w:szCs w:val="1"/>
          <w:color w:val="auto"/>
        </w:rPr>
        <w:drawing>
          <wp:inline distT="0" distB="0" distL="0" distR="0">
            <wp:extent cx="6852920" cy="14541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380" w:type="dxa"/>
            <w:vAlign w:val="bottom"/>
            <w:tcBorders>
              <w:bottom w:val="single" w:sz="8" w:color="00A1DF"/>
            </w:tcBorders>
          </w:tcPr>
          <w:p>
            <w:pPr>
              <w:spacing w:after="0"/>
              <w:rPr>
                <w:sz w:val="15"/>
                <w:szCs w:val="15"/>
                <w:color w:val="auto"/>
              </w:rPr>
            </w:pPr>
          </w:p>
        </w:tc>
        <w:tc>
          <w:tcPr>
            <w:tcW w:w="240" w:type="dxa"/>
            <w:vAlign w:val="bottom"/>
            <w:tcBorders>
              <w:bottom w:val="single" w:sz="8" w:color="00A1DF"/>
            </w:tcBorders>
          </w:tcPr>
          <w:p>
            <w:pPr>
              <w:spacing w:after="0"/>
              <w:rPr>
                <w:sz w:val="15"/>
                <w:szCs w:val="15"/>
                <w:color w:val="auto"/>
              </w:rPr>
            </w:pPr>
          </w:p>
        </w:tc>
        <w:tc>
          <w:tcPr>
            <w:tcW w:w="5380" w:type="dxa"/>
            <w:vAlign w:val="bottom"/>
            <w:tcBorders>
              <w:bottom w:val="single" w:sz="8" w:color="00A1DF"/>
            </w:tcBorders>
          </w:tcPr>
          <w:p>
            <w:pPr>
              <w:ind w:left="3400"/>
              <w:spacing w:after="0"/>
              <w:rPr>
                <w:sz w:val="20"/>
                <w:szCs w:val="20"/>
                <w:color w:val="auto"/>
              </w:rPr>
            </w:pPr>
            <w:r>
              <w:rPr>
                <w:rFonts w:ascii="Arial" w:cs="Arial" w:eastAsia="Arial" w:hAnsi="Arial"/>
                <w:sz w:val="14"/>
                <w:szCs w:val="14"/>
                <w:b w:val="1"/>
                <w:bCs w:val="1"/>
                <w:color w:val="0033A0"/>
              </w:rPr>
              <w:t>CORPORATE GOVERNANCE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1"/>
        </w:trPr>
        <w:tc>
          <w:tcPr>
            <w:tcW w:w="5620" w:type="dxa"/>
            <w:vAlign w:val="bottom"/>
            <w:gridSpan w:val="2"/>
          </w:tcPr>
          <w:p>
            <w:pPr>
              <w:ind w:left="2340"/>
              <w:spacing w:after="0"/>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Patricia F. Russo (Chair),</w:t>
            </w:r>
          </w:p>
        </w:tc>
        <w:tc>
          <w:tcPr>
            <w:tcW w:w="5480" w:type="dxa"/>
            <w:vAlign w:val="bottom"/>
            <w:gridSpan w:val="2"/>
          </w:tcPr>
          <w:p>
            <w:pPr>
              <w:ind w:left="2460"/>
              <w:spacing w:after="0"/>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Michael G. Mullen (Chair),</w:t>
            </w:r>
          </w:p>
        </w:tc>
        <w:tc>
          <w:tcPr>
            <w:tcW w:w="0" w:type="dxa"/>
            <w:vAlign w:val="bottom"/>
          </w:tcPr>
          <w:p>
            <w:pPr>
              <w:spacing w:after="0"/>
              <w:rPr>
                <w:sz w:val="1"/>
                <w:szCs w:val="1"/>
                <w:color w:val="auto"/>
              </w:rPr>
            </w:pPr>
          </w:p>
        </w:tc>
      </w:tr>
      <w:tr>
        <w:trPr>
          <w:trHeight w:val="189"/>
        </w:trPr>
        <w:tc>
          <w:tcPr>
            <w:tcW w:w="5620" w:type="dxa"/>
            <w:vAlign w:val="bottom"/>
            <w:gridSpan w:val="2"/>
          </w:tcPr>
          <w:p>
            <w:pPr>
              <w:ind w:left="2340"/>
              <w:spacing w:after="0"/>
              <w:rPr>
                <w:sz w:val="20"/>
                <w:szCs w:val="20"/>
                <w:color w:val="auto"/>
              </w:rPr>
            </w:pPr>
            <w:r>
              <w:rPr>
                <w:rFonts w:ascii="Arial" w:cs="Arial" w:eastAsia="Arial" w:hAnsi="Arial"/>
                <w:sz w:val="16"/>
                <w:szCs w:val="16"/>
                <w:color w:val="auto"/>
              </w:rPr>
              <w:t>Joseph Jimenez, and Carol M.</w:t>
            </w:r>
          </w:p>
        </w:tc>
        <w:tc>
          <w:tcPr>
            <w:tcW w:w="5480" w:type="dxa"/>
            <w:vAlign w:val="bottom"/>
            <w:gridSpan w:val="2"/>
          </w:tcPr>
          <w:p>
            <w:pPr>
              <w:ind w:left="2460"/>
              <w:spacing w:after="0"/>
              <w:rPr>
                <w:sz w:val="20"/>
                <w:szCs w:val="20"/>
                <w:color w:val="auto"/>
              </w:rPr>
            </w:pPr>
            <w:r>
              <w:rPr>
                <w:rFonts w:ascii="Arial" w:cs="Arial" w:eastAsia="Arial" w:hAnsi="Arial"/>
                <w:sz w:val="16"/>
                <w:szCs w:val="16"/>
                <w:color w:val="auto"/>
              </w:rPr>
              <w:t>Linda R. Gooden, Judith A. Miscik, James</w:t>
            </w:r>
          </w:p>
        </w:tc>
        <w:tc>
          <w:tcPr>
            <w:tcW w:w="0" w:type="dxa"/>
            <w:vAlign w:val="bottom"/>
          </w:tcPr>
          <w:p>
            <w:pPr>
              <w:spacing w:after="0"/>
              <w:rPr>
                <w:sz w:val="1"/>
                <w:szCs w:val="1"/>
                <w:color w:val="auto"/>
              </w:rPr>
            </w:pPr>
          </w:p>
        </w:tc>
      </w:tr>
      <w:tr>
        <w:trPr>
          <w:trHeight w:val="189"/>
        </w:trPr>
        <w:tc>
          <w:tcPr>
            <w:tcW w:w="5620" w:type="dxa"/>
            <w:vAlign w:val="bottom"/>
            <w:gridSpan w:val="2"/>
          </w:tcPr>
          <w:p>
            <w:pPr>
              <w:ind w:left="2340"/>
              <w:spacing w:after="0"/>
              <w:rPr>
                <w:sz w:val="20"/>
                <w:szCs w:val="20"/>
                <w:color w:val="auto"/>
              </w:rPr>
            </w:pPr>
            <w:r>
              <w:rPr>
                <w:rFonts w:ascii="Arial" w:cs="Arial" w:eastAsia="Arial" w:hAnsi="Arial"/>
                <w:sz w:val="16"/>
                <w:szCs w:val="16"/>
                <w:color w:val="auto"/>
              </w:rPr>
              <w:t>Stephenson</w:t>
            </w:r>
          </w:p>
        </w:tc>
        <w:tc>
          <w:tcPr>
            <w:tcW w:w="5480" w:type="dxa"/>
            <w:vAlign w:val="bottom"/>
            <w:gridSpan w:val="2"/>
          </w:tcPr>
          <w:p>
            <w:pPr>
              <w:ind w:left="2460"/>
              <w:spacing w:after="0"/>
              <w:rPr>
                <w:sz w:val="20"/>
                <w:szCs w:val="20"/>
                <w:color w:val="auto"/>
              </w:rPr>
            </w:pPr>
            <w:r>
              <w:rPr>
                <w:rFonts w:ascii="Arial" w:cs="Arial" w:eastAsia="Arial" w:hAnsi="Arial"/>
                <w:sz w:val="16"/>
                <w:szCs w:val="16"/>
                <w:color w:val="auto"/>
              </w:rPr>
              <w:t>J. Mulva, Thomas M. Schoewe, and Devin</w:t>
            </w:r>
          </w:p>
        </w:tc>
        <w:tc>
          <w:tcPr>
            <w:tcW w:w="0" w:type="dxa"/>
            <w:vAlign w:val="bottom"/>
          </w:tcPr>
          <w:p>
            <w:pPr>
              <w:spacing w:after="0"/>
              <w:rPr>
                <w:sz w:val="1"/>
                <w:szCs w:val="1"/>
                <w:color w:val="auto"/>
              </w:rPr>
            </w:pPr>
          </w:p>
        </w:tc>
      </w:tr>
      <w:tr>
        <w:trPr>
          <w:trHeight w:val="194"/>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gridSpan w:val="2"/>
          </w:tcPr>
          <w:p>
            <w:pPr>
              <w:ind w:left="2460"/>
              <w:spacing w:after="0"/>
              <w:rPr>
                <w:sz w:val="20"/>
                <w:szCs w:val="20"/>
                <w:color w:val="auto"/>
              </w:rPr>
            </w:pPr>
            <w:r>
              <w:rPr>
                <w:rFonts w:ascii="Arial" w:cs="Arial" w:eastAsia="Arial" w:hAnsi="Arial"/>
                <w:sz w:val="16"/>
                <w:szCs w:val="16"/>
                <w:color w:val="auto"/>
              </w:rPr>
              <w:t>N. Wenig</w:t>
            </w:r>
          </w:p>
        </w:tc>
        <w:tc>
          <w:tcPr>
            <w:tcW w:w="0" w:type="dxa"/>
            <w:vAlign w:val="bottom"/>
          </w:tcPr>
          <w:p>
            <w:pPr>
              <w:spacing w:after="0"/>
              <w:rPr>
                <w:sz w:val="1"/>
                <w:szCs w:val="1"/>
                <w:color w:val="auto"/>
              </w:rPr>
            </w:pPr>
          </w:p>
        </w:tc>
      </w:tr>
      <w:tr>
        <w:trPr>
          <w:trHeight w:val="256"/>
        </w:trPr>
        <w:tc>
          <w:tcPr>
            <w:tcW w:w="5620" w:type="dxa"/>
            <w:vAlign w:val="bottom"/>
            <w:gridSpan w:val="2"/>
          </w:tcPr>
          <w:p>
            <w:pPr>
              <w:ind w:left="3520"/>
              <w:spacing w:after="0"/>
              <w:rPr>
                <w:sz w:val="20"/>
                <w:szCs w:val="20"/>
                <w:color w:val="auto"/>
              </w:rPr>
            </w:pPr>
            <w:r>
              <w:rPr>
                <w:rFonts w:ascii="Arial" w:cs="Arial" w:eastAsia="Arial" w:hAnsi="Arial"/>
                <w:sz w:val="16"/>
                <w:szCs w:val="16"/>
                <w:b w:val="1"/>
                <w:bCs w:val="1"/>
                <w:i w:val="1"/>
                <w:iCs w:val="1"/>
                <w:color w:val="00A1DF"/>
              </w:rPr>
              <w:t>Meetings held in 2018: 4</w:t>
            </w:r>
          </w:p>
        </w:tc>
        <w:tc>
          <w:tcPr>
            <w:tcW w:w="54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0033A0"/>
              </w:rPr>
              <w:t xml:space="preserve">Admiral Michael G. Mullen, </w:t>
            </w:r>
            <w:r>
              <w:rPr>
                <w:rFonts w:ascii="Arial" w:cs="Arial" w:eastAsia="Arial" w:hAnsi="Arial"/>
                <w:sz w:val="32"/>
                <w:szCs w:val="32"/>
                <w:b w:val="1"/>
                <w:bCs w:val="1"/>
                <w:i w:val="1"/>
                <w:iCs w:val="1"/>
                <w:color w:val="00A1DF"/>
                <w:vertAlign w:val="superscript"/>
              </w:rPr>
              <w:t>Meetings held in 2018: 4</w:t>
            </w:r>
          </w:p>
        </w:tc>
        <w:tc>
          <w:tcPr>
            <w:tcW w:w="0" w:type="dxa"/>
            <w:vAlign w:val="bottom"/>
          </w:tcPr>
          <w:p>
            <w:pPr>
              <w:spacing w:after="0"/>
              <w:rPr>
                <w:sz w:val="1"/>
                <w:szCs w:val="1"/>
                <w:color w:val="auto"/>
              </w:rPr>
            </w:pPr>
          </w:p>
        </w:tc>
      </w:tr>
      <w:tr>
        <w:trPr>
          <w:trHeight w:val="212"/>
        </w:trPr>
        <w:tc>
          <w:tcPr>
            <w:tcW w:w="5620" w:type="dxa"/>
            <w:vAlign w:val="bottom"/>
            <w:gridSpan w:val="2"/>
          </w:tcPr>
          <w:p>
            <w:pPr>
              <w:spacing w:after="0"/>
              <w:rPr>
                <w:sz w:val="20"/>
                <w:szCs w:val="20"/>
                <w:color w:val="auto"/>
              </w:rPr>
            </w:pPr>
            <w:r>
              <w:rPr>
                <w:rFonts w:ascii="Arial" w:cs="Arial" w:eastAsia="Arial" w:hAnsi="Arial"/>
                <w:sz w:val="18"/>
                <w:szCs w:val="18"/>
                <w:b w:val="1"/>
                <w:bCs w:val="1"/>
                <w:color w:val="0033A0"/>
              </w:rPr>
              <w:t>Patricia F. Russo,</w:t>
            </w:r>
          </w:p>
        </w:tc>
        <w:tc>
          <w:tcPr>
            <w:tcW w:w="5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620" w:type="dxa"/>
            <w:vAlign w:val="bottom"/>
            <w:gridSpan w:val="2"/>
          </w:tcPr>
          <w:p>
            <w:pPr>
              <w:spacing w:after="0"/>
              <w:rPr>
                <w:sz w:val="20"/>
                <w:szCs w:val="20"/>
                <w:color w:val="auto"/>
              </w:rPr>
            </w:pPr>
            <w:r>
              <w:rPr>
                <w:rFonts w:ascii="Arial" w:cs="Arial" w:eastAsia="Arial" w:hAnsi="Arial"/>
                <w:sz w:val="18"/>
                <w:szCs w:val="18"/>
                <w:b w:val="1"/>
                <w:bCs w:val="1"/>
                <w:color w:val="0033A0"/>
              </w:rPr>
              <w:t>Chair</w:t>
            </w:r>
          </w:p>
        </w:tc>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0033A0"/>
              </w:rPr>
              <w:t>Chair</w:t>
            </w:r>
          </w:p>
        </w:tc>
        <w:tc>
          <w:tcPr>
            <w:tcW w:w="0" w:type="dxa"/>
            <w:vAlign w:val="bottom"/>
          </w:tcPr>
          <w:p>
            <w:pPr>
              <w:spacing w:after="0"/>
              <w:rPr>
                <w:sz w:val="1"/>
                <w:szCs w:val="1"/>
                <w:color w:val="auto"/>
              </w:rPr>
            </w:pPr>
          </w:p>
        </w:tc>
      </w:tr>
      <w:tr>
        <w:trPr>
          <w:trHeight w:val="40"/>
        </w:trPr>
        <w:tc>
          <w:tcPr>
            <w:tcW w:w="5380" w:type="dxa"/>
            <w:vAlign w:val="bottom"/>
            <w:tcBorders>
              <w:bottom w:val="single" w:sz="8" w:color="0033A0"/>
            </w:tcBorders>
          </w:tcPr>
          <w:p>
            <w:pPr>
              <w:spacing w:after="0"/>
              <w:rPr>
                <w:sz w:val="3"/>
                <w:szCs w:val="3"/>
                <w:color w:val="auto"/>
              </w:rPr>
            </w:pPr>
          </w:p>
        </w:tc>
        <w:tc>
          <w:tcPr>
            <w:tcW w:w="240" w:type="dxa"/>
            <w:vAlign w:val="bottom"/>
          </w:tcPr>
          <w:p>
            <w:pPr>
              <w:spacing w:after="0"/>
              <w:rPr>
                <w:sz w:val="3"/>
                <w:szCs w:val="3"/>
                <w:color w:val="auto"/>
              </w:rPr>
            </w:pPr>
          </w:p>
        </w:tc>
        <w:tc>
          <w:tcPr>
            <w:tcW w:w="5480" w:type="dxa"/>
            <w:vAlign w:val="bottom"/>
            <w:tcBorders>
              <w:bottom w:val="single" w:sz="8" w:color="0033A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5620" w:type="dxa"/>
            <w:vAlign w:val="bottom"/>
            <w:gridSpan w:val="2"/>
          </w:tcPr>
          <w:p>
            <w:pPr>
              <w:spacing w:after="0"/>
              <w:rPr>
                <w:sz w:val="20"/>
                <w:szCs w:val="20"/>
                <w:color w:val="auto"/>
              </w:rPr>
            </w:pPr>
            <w:r>
              <w:rPr>
                <w:rFonts w:ascii="Arial" w:cs="Arial" w:eastAsia="Arial" w:hAnsi="Arial"/>
                <w:sz w:val="16"/>
                <w:szCs w:val="16"/>
                <w:b w:val="1"/>
                <w:bCs w:val="1"/>
                <w:i w:val="1"/>
                <w:iCs w:val="1"/>
                <w:color w:val="00A1DF"/>
              </w:rPr>
              <w:t>Key Responsibilities</w:t>
            </w:r>
          </w:p>
        </w:tc>
        <w:tc>
          <w:tcPr>
            <w:tcW w:w="54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A1DF"/>
              </w:rPr>
              <w:t>Key Responsibilities</w:t>
            </w: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Company’s corporate governance framework, including all</w:t>
            </w:r>
          </w:p>
        </w:tc>
        <w:tc>
          <w:tcPr>
            <w:tcW w:w="5480" w:type="dxa"/>
            <w:vAlign w:val="bottom"/>
            <w:gridSpan w:val="2"/>
          </w:tcPr>
          <w:p>
            <w:pPr>
              <w:ind w:left="4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Assists the Board in its oversight of the Company’s risk management</w:t>
            </w:r>
          </w:p>
        </w:tc>
        <w:tc>
          <w:tcPr>
            <w:tcW w:w="0" w:type="dxa"/>
            <w:vAlign w:val="bottom"/>
          </w:tcPr>
          <w:p>
            <w:pPr>
              <w:spacing w:after="0"/>
              <w:rPr>
                <w:sz w:val="1"/>
                <w:szCs w:val="1"/>
                <w:color w:val="auto"/>
              </w:rPr>
            </w:pPr>
          </w:p>
        </w:tc>
      </w:tr>
      <w:tr>
        <w:trPr>
          <w:trHeight w:val="185"/>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significant governance policies and procedures;</w:t>
            </w:r>
          </w:p>
        </w:tc>
        <w:tc>
          <w:tcPr>
            <w:tcW w:w="5480" w:type="dxa"/>
            <w:vAlign w:val="bottom"/>
            <w:gridSpan w:val="2"/>
          </w:tcPr>
          <w:p>
            <w:pPr>
              <w:ind w:left="380"/>
              <w:spacing w:after="0"/>
              <w:rPr>
                <w:sz w:val="20"/>
                <w:szCs w:val="20"/>
                <w:color w:val="auto"/>
              </w:rPr>
            </w:pPr>
            <w:r>
              <w:rPr>
                <w:rFonts w:ascii="Arial" w:cs="Arial" w:eastAsia="Arial" w:hAnsi="Arial"/>
                <w:sz w:val="16"/>
                <w:szCs w:val="16"/>
                <w:color w:val="auto"/>
              </w:rPr>
              <w:t>framework and practices;</w:t>
            </w: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Company  policies  and  strategies  related  to  corporate</w:t>
            </w:r>
          </w:p>
        </w:tc>
        <w:tc>
          <w:tcPr>
            <w:tcW w:w="5480" w:type="dxa"/>
            <w:vAlign w:val="bottom"/>
            <w:gridSpan w:val="2"/>
          </w:tcPr>
          <w:p>
            <w:pPr>
              <w:ind w:left="4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Company’s risk culture, including open risk discussions</w:t>
            </w:r>
          </w:p>
        </w:tc>
        <w:tc>
          <w:tcPr>
            <w:tcW w:w="0" w:type="dxa"/>
            <w:vAlign w:val="bottom"/>
          </w:tcPr>
          <w:p>
            <w:pPr>
              <w:spacing w:after="0"/>
              <w:rPr>
                <w:sz w:val="1"/>
                <w:szCs w:val="1"/>
                <w:color w:val="auto"/>
              </w:rPr>
            </w:pPr>
          </w:p>
        </w:tc>
      </w:tr>
      <w:tr>
        <w:trPr>
          <w:trHeight w:val="197"/>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responsibility, sustainability, and political contributions and lobbying</w:t>
            </w:r>
          </w:p>
        </w:tc>
        <w:tc>
          <w:tcPr>
            <w:tcW w:w="5480" w:type="dxa"/>
            <w:vAlign w:val="bottom"/>
            <w:gridSpan w:val="2"/>
          </w:tcPr>
          <w:p>
            <w:pPr>
              <w:ind w:left="380"/>
              <w:spacing w:after="0"/>
              <w:rPr>
                <w:sz w:val="20"/>
                <w:szCs w:val="20"/>
                <w:color w:val="auto"/>
              </w:rPr>
            </w:pPr>
            <w:r>
              <w:rPr>
                <w:rFonts w:ascii="Arial" w:cs="Arial" w:eastAsia="Arial" w:hAnsi="Arial"/>
                <w:sz w:val="16"/>
                <w:szCs w:val="16"/>
                <w:color w:val="auto"/>
              </w:rPr>
              <w:t>and the integration of risk management into the Company’s behaviors,</w:t>
            </w:r>
          </w:p>
        </w:tc>
        <w:tc>
          <w:tcPr>
            <w:tcW w:w="0" w:type="dxa"/>
            <w:vAlign w:val="bottom"/>
          </w:tcPr>
          <w:p>
            <w:pPr>
              <w:spacing w:after="0"/>
              <w:rPr>
                <w:sz w:val="1"/>
                <w:szCs w:val="1"/>
                <w:color w:val="auto"/>
              </w:rPr>
            </w:pPr>
          </w:p>
        </w:tc>
      </w:tr>
      <w:tr>
        <w:trPr>
          <w:trHeight w:val="189"/>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activities;</w:t>
            </w:r>
          </w:p>
        </w:tc>
        <w:tc>
          <w:tcPr>
            <w:tcW w:w="5480" w:type="dxa"/>
            <w:vAlign w:val="bottom"/>
            <w:gridSpan w:val="2"/>
          </w:tcPr>
          <w:p>
            <w:pPr>
              <w:ind w:left="380"/>
              <w:spacing w:after="0"/>
              <w:rPr>
                <w:sz w:val="20"/>
                <w:szCs w:val="20"/>
                <w:color w:val="auto"/>
              </w:rPr>
            </w:pPr>
            <w:r>
              <w:rPr>
                <w:rFonts w:ascii="Arial" w:cs="Arial" w:eastAsia="Arial" w:hAnsi="Arial"/>
                <w:sz w:val="16"/>
                <w:szCs w:val="16"/>
                <w:color w:val="auto"/>
              </w:rPr>
              <w:t>decision making, and processes;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-2030730</wp:posOffset>
            </wp:positionV>
            <wp:extent cx="7032625" cy="933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32625" cy="933450"/>
                    </a:xfrm>
                    <a:prstGeom prst="rect">
                      <a:avLst/>
                    </a:prstGeom>
                    <a:noFill/>
                  </pic:spPr>
                </pic:pic>
              </a:graphicData>
            </a:graphic>
          </wp:anchor>
        </w:drawing>
      </w:r>
    </w:p>
    <w:p>
      <w:pPr>
        <w:ind w:left="460" w:hanging="250"/>
        <w:spacing w:after="0"/>
        <w:tabs>
          <w:tab w:leader="none" w:pos="460" w:val="left"/>
        </w:tabs>
        <w:numPr>
          <w:ilvl w:val="0"/>
          <w:numId w:val="39"/>
        </w:numPr>
        <w:rPr>
          <w:rFonts w:ascii="Arial" w:cs="Arial" w:eastAsia="Arial" w:hAnsi="Arial"/>
          <w:sz w:val="16"/>
          <w:szCs w:val="16"/>
          <w:color w:val="00A1DF"/>
        </w:rPr>
      </w:pPr>
      <w:r>
        <w:rPr>
          <w:rFonts w:ascii="Arial" w:cs="Arial" w:eastAsia="Arial" w:hAnsi="Arial"/>
          <w:sz w:val="16"/>
          <w:szCs w:val="16"/>
          <w:color w:val="auto"/>
        </w:rPr>
        <w:t>Reviews the appropriate composition of the Board and recommends</w:t>
      </w:r>
      <w:r>
        <w:rPr>
          <w:rFonts w:ascii="Arial" w:cs="Arial" w:eastAsia="Arial" w:hAnsi="Arial"/>
          <w:sz w:val="16"/>
          <w:szCs w:val="16"/>
          <w:color w:val="00A1DF"/>
        </w:rPr>
        <w:t xml:space="preserve">u  </w:t>
      </w:r>
      <w:r>
        <w:rPr>
          <w:rFonts w:ascii="Arial" w:cs="Arial" w:eastAsia="Arial" w:hAnsi="Arial"/>
          <w:sz w:val="16"/>
          <w:szCs w:val="16"/>
          <w:color w:val="000000"/>
        </w:rPr>
        <w:t>Reviews management’s evaluation of strategic and operating risks—</w:t>
      </w:r>
    </w:p>
    <w:p>
      <w:pPr>
        <w:spacing w:after="0" w:line="1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520" w:type="dxa"/>
            <w:vAlign w:val="bottom"/>
          </w:tcPr>
          <w:p>
            <w:pPr>
              <w:ind w:left="320"/>
              <w:spacing w:after="0"/>
              <w:rPr>
                <w:sz w:val="20"/>
                <w:szCs w:val="20"/>
                <w:color w:val="auto"/>
              </w:rPr>
            </w:pPr>
            <w:r>
              <w:rPr>
                <w:rFonts w:ascii="Arial" w:cs="Arial" w:eastAsia="Arial" w:hAnsi="Arial"/>
                <w:sz w:val="16"/>
                <w:szCs w:val="16"/>
                <w:color w:val="auto"/>
              </w:rPr>
              <w:t>director nominees;</w:t>
            </w:r>
          </w:p>
        </w:tc>
        <w:tc>
          <w:tcPr>
            <w:tcW w:w="5580" w:type="dxa"/>
            <w:vAlign w:val="bottom"/>
          </w:tcPr>
          <w:p>
            <w:pPr>
              <w:ind w:left="480"/>
              <w:spacing w:after="0"/>
              <w:rPr>
                <w:sz w:val="20"/>
                <w:szCs w:val="20"/>
                <w:color w:val="auto"/>
              </w:rPr>
            </w:pPr>
            <w:r>
              <w:rPr>
                <w:rFonts w:ascii="Arial" w:cs="Arial" w:eastAsia="Arial" w:hAnsi="Arial"/>
                <w:sz w:val="16"/>
                <w:szCs w:val="16"/>
                <w:color w:val="auto"/>
              </w:rPr>
              <w:t>including risk concentrations, mitigating measures and the types and</w:t>
            </w:r>
          </w:p>
        </w:tc>
      </w:tr>
      <w:tr>
        <w:trPr>
          <w:trHeight w:val="201"/>
        </w:trPr>
        <w:tc>
          <w:tcPr>
            <w:tcW w:w="5520" w:type="dxa"/>
            <w:vAlign w:val="bottom"/>
          </w:tcPr>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the self-evaluation process of the Board and Committees;</w:t>
            </w:r>
          </w:p>
        </w:tc>
        <w:tc>
          <w:tcPr>
            <w:tcW w:w="5580" w:type="dxa"/>
            <w:vAlign w:val="bottom"/>
          </w:tcPr>
          <w:p>
            <w:pPr>
              <w:ind w:left="480"/>
              <w:spacing w:after="0"/>
              <w:rPr>
                <w:sz w:val="20"/>
                <w:szCs w:val="20"/>
                <w:color w:val="auto"/>
              </w:rPr>
            </w:pPr>
            <w:r>
              <w:rPr>
                <w:rFonts w:ascii="Arial" w:cs="Arial" w:eastAsia="Arial" w:hAnsi="Arial"/>
                <w:sz w:val="16"/>
                <w:szCs w:val="16"/>
                <w:color w:val="auto"/>
              </w:rPr>
              <w:t>levels of risk that are acceptable in the pursuit and protection of</w:t>
            </w:r>
          </w:p>
        </w:tc>
      </w:tr>
      <w:tr>
        <w:trPr>
          <w:trHeight w:val="177"/>
        </w:trPr>
        <w:tc>
          <w:tcPr>
            <w:tcW w:w="5520" w:type="dxa"/>
            <w:vAlign w:val="bottom"/>
          </w:tcPr>
          <w:p>
            <w:pPr>
              <w:spacing w:after="0" w:line="178" w:lineRule="exact"/>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Recommends compensation of non-employee directors to the Board;</w:t>
            </w:r>
          </w:p>
        </w:tc>
        <w:tc>
          <w:tcPr>
            <w:tcW w:w="5580" w:type="dxa"/>
            <w:vAlign w:val="bottom"/>
          </w:tcPr>
          <w:p>
            <w:pPr>
              <w:ind w:left="480"/>
              <w:spacing w:after="0" w:line="178" w:lineRule="exact"/>
              <w:rPr>
                <w:sz w:val="20"/>
                <w:szCs w:val="20"/>
                <w:color w:val="auto"/>
              </w:rPr>
            </w:pPr>
            <w:r>
              <w:rPr>
                <w:rFonts w:ascii="Arial" w:cs="Arial" w:eastAsia="Arial" w:hAnsi="Arial"/>
                <w:sz w:val="16"/>
                <w:szCs w:val="16"/>
                <w:color w:val="auto"/>
              </w:rPr>
              <w:t>shareholder value;</w:t>
            </w:r>
          </w:p>
        </w:tc>
      </w:tr>
      <w:tr>
        <w:trPr>
          <w:trHeight w:val="214"/>
        </w:trPr>
        <w:tc>
          <w:tcPr>
            <w:tcW w:w="5520" w:type="dxa"/>
            <w:vAlign w:val="bottom"/>
          </w:tcPr>
          <w:p>
            <w:pPr>
              <w:ind w:left="320"/>
              <w:spacing w:after="0"/>
              <w:rPr>
                <w:sz w:val="20"/>
                <w:szCs w:val="20"/>
                <w:color w:val="auto"/>
              </w:rPr>
            </w:pPr>
            <w:r>
              <w:rPr>
                <w:rFonts w:ascii="Arial" w:cs="Arial" w:eastAsia="Arial" w:hAnsi="Arial"/>
                <w:sz w:val="16"/>
                <w:szCs w:val="16"/>
                <w:color w:val="auto"/>
              </w:rPr>
              <w:t>and</w:t>
            </w:r>
          </w:p>
        </w:tc>
        <w:tc>
          <w:tcPr>
            <w:tcW w:w="5580" w:type="dxa"/>
            <w:vAlign w:val="bottom"/>
          </w:tcPr>
          <w:p>
            <w:pPr>
              <w:ind w:left="14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impact of the Company’s programs and practices regarding</w:t>
            </w:r>
          </w:p>
        </w:tc>
      </w:tr>
      <w:tr>
        <w:trPr>
          <w:trHeight w:val="177"/>
        </w:trPr>
        <w:tc>
          <w:tcPr>
            <w:tcW w:w="5520" w:type="dxa"/>
            <w:vAlign w:val="bottom"/>
          </w:tcPr>
          <w:p>
            <w:pPr>
              <w:spacing w:after="0" w:line="178" w:lineRule="exact"/>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and approves related party transactions and any potential</w:t>
            </w:r>
          </w:p>
        </w:tc>
        <w:tc>
          <w:tcPr>
            <w:tcW w:w="5580" w:type="dxa"/>
            <w:vAlign w:val="bottom"/>
          </w:tcPr>
          <w:p>
            <w:pPr>
              <w:ind w:left="480"/>
              <w:spacing w:after="0" w:line="178" w:lineRule="exact"/>
              <w:rPr>
                <w:sz w:val="20"/>
                <w:szCs w:val="20"/>
                <w:color w:val="auto"/>
              </w:rPr>
            </w:pPr>
            <w:r>
              <w:rPr>
                <w:rFonts w:ascii="Arial" w:cs="Arial" w:eastAsia="Arial" w:hAnsi="Arial"/>
                <w:sz w:val="16"/>
                <w:szCs w:val="16"/>
                <w:color w:val="auto"/>
              </w:rPr>
              <w:t>vehicle and workplace safety; and</w:t>
            </w:r>
          </w:p>
        </w:tc>
      </w:tr>
      <w:tr>
        <w:trPr>
          <w:trHeight w:val="214"/>
        </w:trPr>
        <w:tc>
          <w:tcPr>
            <w:tcW w:w="5520" w:type="dxa"/>
            <w:vAlign w:val="bottom"/>
          </w:tcPr>
          <w:p>
            <w:pPr>
              <w:ind w:left="320"/>
              <w:spacing w:after="0"/>
              <w:rPr>
                <w:sz w:val="20"/>
                <w:szCs w:val="20"/>
                <w:color w:val="auto"/>
              </w:rPr>
            </w:pPr>
            <w:r>
              <w:rPr>
                <w:rFonts w:ascii="Arial" w:cs="Arial" w:eastAsia="Arial" w:hAnsi="Arial"/>
                <w:sz w:val="16"/>
                <w:szCs w:val="16"/>
                <w:color w:val="auto"/>
              </w:rPr>
              <w:t>Board conflicts of interest, as applicable.</w:t>
            </w:r>
          </w:p>
        </w:tc>
        <w:tc>
          <w:tcPr>
            <w:tcW w:w="5580" w:type="dxa"/>
            <w:vAlign w:val="bottom"/>
          </w:tcPr>
          <w:p>
            <w:pPr>
              <w:ind w:left="14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risks related to the Company’s public policy positions in the</w:t>
            </w:r>
          </w:p>
        </w:tc>
      </w:tr>
      <w:tr>
        <w:trPr>
          <w:trHeight w:val="194"/>
        </w:trPr>
        <w:tc>
          <w:tcPr>
            <w:tcW w:w="5520" w:type="dxa"/>
            <w:vAlign w:val="bottom"/>
          </w:tcPr>
          <w:p>
            <w:pPr>
              <w:spacing w:after="0"/>
              <w:rPr>
                <w:sz w:val="16"/>
                <w:szCs w:val="16"/>
                <w:color w:val="auto"/>
              </w:rPr>
            </w:pPr>
          </w:p>
        </w:tc>
        <w:tc>
          <w:tcPr>
            <w:tcW w:w="5580" w:type="dxa"/>
            <w:vAlign w:val="bottom"/>
          </w:tcPr>
          <w:p>
            <w:pPr>
              <w:ind w:left="480"/>
              <w:spacing w:after="0"/>
              <w:rPr>
                <w:sz w:val="20"/>
                <w:szCs w:val="20"/>
                <w:color w:val="auto"/>
              </w:rPr>
            </w:pPr>
            <w:r>
              <w:rPr>
                <w:rFonts w:ascii="Arial" w:cs="Arial" w:eastAsia="Arial" w:hAnsi="Arial"/>
                <w:sz w:val="16"/>
                <w:szCs w:val="16"/>
                <w:color w:val="auto"/>
              </w:rPr>
              <w:t>U.S. and internationally.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2505075</wp:posOffset>
            </wp:positionV>
            <wp:extent cx="1276350" cy="650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6350" cy="65087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38100</wp:posOffset>
            </wp:positionV>
            <wp:extent cx="6586855" cy="2295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86855"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320" w:right="100"/>
        <w:spacing w:after="0" w:line="237" w:lineRule="auto"/>
        <w:rPr>
          <w:sz w:val="20"/>
          <w:szCs w:val="20"/>
          <w:color w:val="auto"/>
        </w:rPr>
      </w:pPr>
      <w:r>
        <w:rPr>
          <w:rFonts w:ascii="Arial" w:cs="Arial" w:eastAsia="Arial" w:hAnsi="Arial"/>
          <w:sz w:val="16"/>
          <w:szCs w:val="16"/>
          <w:color w:val="auto"/>
        </w:rPr>
        <w:t>Your Board has an Executive Committee composed of the Chairman and CEO, the Independent Lead Director, and the Chairs of all other standing Committees. The Executive Committee is chaired by Ms. Barra, and it can act on certain limited</w:t>
      </w:r>
    </w:p>
    <w:p>
      <w:pPr>
        <w:spacing w:after="0" w:line="1" w:lineRule="exact"/>
        <w:rPr>
          <w:sz w:val="20"/>
          <w:szCs w:val="20"/>
          <w:color w:val="auto"/>
        </w:rPr>
      </w:pPr>
    </w:p>
    <w:p>
      <w:pPr>
        <w:jc w:val="both"/>
        <w:ind w:left="2320" w:right="100" w:hanging="1559"/>
        <w:spacing w:after="0" w:line="253" w:lineRule="auto"/>
        <w:tabs>
          <w:tab w:leader="none" w:pos="2300" w:val="left"/>
        </w:tabs>
        <w:rPr>
          <w:sz w:val="20"/>
          <w:szCs w:val="20"/>
          <w:color w:val="auto"/>
        </w:rPr>
      </w:pPr>
      <w:r>
        <w:rPr>
          <w:rFonts w:ascii="Arial" w:cs="Arial" w:eastAsia="Arial" w:hAnsi="Arial"/>
          <w:sz w:val="16"/>
          <w:szCs w:val="16"/>
          <w:color w:val="FFFFFF"/>
        </w:rPr>
        <w:t>EXECUTIVE</w:t>
      </w:r>
      <w:r>
        <w:rPr>
          <w:sz w:val="20"/>
          <w:szCs w:val="20"/>
          <w:color w:val="auto"/>
        </w:rPr>
        <w:tab/>
      </w:r>
      <w:r>
        <w:rPr>
          <w:rFonts w:ascii="Arial" w:cs="Arial" w:eastAsia="Arial" w:hAnsi="Arial"/>
          <w:sz w:val="16"/>
          <w:szCs w:val="16"/>
          <w:color w:val="auto"/>
        </w:rPr>
        <w:t>matters for the full Board in intervals between meetings of the Board. The Executive Committee meets as necessary, and all actions by the Executive Committee are reported and ratified at the next succeeding Board meeting. The Executive Committee did not meet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143510</wp:posOffset>
            </wp:positionV>
            <wp:extent cx="6758305"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10" w:lineRule="exact"/>
        <w:rPr>
          <w:sz w:val="20"/>
          <w:szCs w:val="20"/>
          <w:color w:val="auto"/>
        </w:rPr>
      </w:pPr>
    </w:p>
    <w:p>
      <w:pPr>
        <w:ind w:left="10980"/>
        <w:spacing w:after="0"/>
        <w:rPr>
          <w:sz w:val="20"/>
          <w:szCs w:val="20"/>
          <w:color w:val="auto"/>
        </w:rPr>
      </w:pPr>
      <w:r>
        <w:rPr>
          <w:rFonts w:ascii="Arial" w:cs="Arial" w:eastAsia="Arial" w:hAnsi="Arial"/>
          <w:sz w:val="14"/>
          <w:szCs w:val="14"/>
          <w:color w:val="0033A0"/>
        </w:rPr>
        <w:t>27</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Access to Outside Advisors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Board and each Board Committee can select and retain the services of outside advisors at the Company’s expense.</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and Committee Meetings and Attendance</w:t>
      </w:r>
    </w:p>
    <w:p>
      <w:pPr>
        <w:spacing w:after="0" w:line="18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In 2018, your Board held a total of 10 meetings, and average director attendance at Board and Committee meetings was 96%. Each director standing for re-election attended at least 75% of the total meetings of the Board and Committees on which he or she served in 2018. Directors are expected to attend our Annual Meeting of Shareholders, which is held in conjunction with a regularly scheduled Board meeting. All directors in office at such time attended the 2018 Annual Meeting.</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and Committee Oversight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236855</wp:posOffset>
            </wp:positionV>
            <wp:extent cx="6852920" cy="2929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2920" cy="292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Your Board has the overall responsibility for risk oversight, with a focus on the most significant risks facing the Company. At GM, effective risk management is everyone’s responsibility, with the tone established by Ms. Barra, our CEO and Chief Risk Officer, and other members of management, specifically the Senior Leadership Team. The Senior Leadership Team also utilizes our Risk Advisory Council, an executive-level body with delegates from each business and function to discuss and monitor the most significant enterprise risks in a cross-functional setting. They are tasked with championing risk management practices and integrating them into their functional or regional business units. An annual risk assessment to prioritize the most significant enterprise risks to GM is reviewed with the Risk Committee and serves to guide the focus and selection of risks that are brought to the Risk Committee for review or covered by the full Board or Committees. Your Board discharges its risk oversight responsibilities both as a whole and through delegation to its Committees, particularly the Risk Committee. The Board receives regular reports from management on particular risks within the Company through review of the Company’s strategic plan and through regular communication with its Committees. Management provides comprehensive reports to the Risk Committee on the key strategic, operating, vehicle and workplace safety, financial, and compliance risks facing the Company, including management’s response to managing and mitigating such risks, as appropriate. The Strategic Risk Management, Compliance, and GM Audit Service teams play a key role in setting GM’s risk management guidelines, providing a consistent approach to risk and controls and independent assurance, which assists the Risk, Audit, and Cybersecurity Committees in fulfilling their oversight obligations.</w:t>
      </w:r>
    </w:p>
    <w:p>
      <w:pPr>
        <w:spacing w:after="0" w:line="101"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Chair of the Risk Committee coordinates with the Chairs of the other Board Committees in their review of the Company’s risks that have been delegated to these Committees to support them in coordinating the relationship between risk management policies and practices and their respective oversight responsibilities. Each of the other Committees, which meet regularly and report back to the Board, is responsible for oversight of risk management practices for categories of risks relevant to the subject matter of such Committee.</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28 </w:t>
      </w:r>
      <w:r>
        <w:rPr>
          <w:sz w:val="1"/>
          <w:szCs w:val="1"/>
          <w:color w:val="auto"/>
        </w:rPr>
        <w:drawing>
          <wp:inline distT="0" distB="0" distL="0" distR="0">
            <wp:extent cx="6852920" cy="14541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structure allows the Company to pursue its risk management vision of:</w:t>
      </w:r>
    </w:p>
    <w:p>
      <w:pPr>
        <w:spacing w:after="0" w:line="126" w:lineRule="exact"/>
        <w:rPr>
          <w:sz w:val="20"/>
          <w:szCs w:val="20"/>
          <w:color w:val="auto"/>
        </w:rPr>
      </w:pPr>
    </w:p>
    <w:p>
      <w:pPr>
        <w:ind w:left="540" w:hanging="330"/>
        <w:spacing w:after="0"/>
        <w:tabs>
          <w:tab w:leader="none" w:pos="540"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Creating a risk-aware culture across the enterprise to facilitate open transparent dialogue;</w:t>
      </w:r>
    </w:p>
    <w:p>
      <w:pPr>
        <w:spacing w:after="0" w:line="18" w:lineRule="exact"/>
        <w:rPr>
          <w:rFonts w:ascii="Arial" w:cs="Arial" w:eastAsia="Arial" w:hAnsi="Arial"/>
          <w:sz w:val="16"/>
          <w:szCs w:val="16"/>
          <w:color w:val="00A1DF"/>
        </w:rPr>
      </w:pPr>
    </w:p>
    <w:p>
      <w:pPr>
        <w:ind w:left="540" w:hanging="330"/>
        <w:spacing w:after="0"/>
        <w:tabs>
          <w:tab w:leader="none" w:pos="540"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Striving to focus on strategic and cross-functional analysis to identify future and emerging risks; and</w:t>
      </w:r>
    </w:p>
    <w:p>
      <w:pPr>
        <w:spacing w:after="0" w:line="18" w:lineRule="exact"/>
        <w:rPr>
          <w:rFonts w:ascii="Arial" w:cs="Arial" w:eastAsia="Arial" w:hAnsi="Arial"/>
          <w:sz w:val="16"/>
          <w:szCs w:val="16"/>
          <w:color w:val="00A1DF"/>
        </w:rPr>
      </w:pPr>
    </w:p>
    <w:p>
      <w:pPr>
        <w:ind w:left="540" w:hanging="330"/>
        <w:spacing w:after="0"/>
        <w:tabs>
          <w:tab w:leader="none" w:pos="540"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Making sure risks are taken into consideration before critical decisions are made.</w:t>
      </w:r>
    </w:p>
    <w:p>
      <w:pPr>
        <w:spacing w:after="0" w:line="126"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As part of the risk management process, each of the Company’s business units and functions is responsible for identifying key risks that could affect the achievement of business goals and strategies or impact our customers or the environment, for assessing and prioritizing the risks, and for proposing actions to be taken to manage and mitigate such risks, as appropriate. In 2018, the Company launched a new forum, which includes the CEO and CFO, to encourage and monitor risk at a business and functional level. Each business unit and functional head reports on various risk management issues, including the integration of risk management practices into its area of responsibility, key risks to its business area, and any emerging risks. By the end of 2019, each of the Company’s business units and functions will have conducted such a review. Highlights of these reviews are provided to the Risk Committee on a quarterly basis.</w:t>
      </w:r>
    </w:p>
    <w:p>
      <w:pPr>
        <w:spacing w:after="0" w:line="99"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Your Board believes that its structure for risk oversight provides for open communication between management and the Board and its Committees, which effectively supports management’s enterprise risk management program. In addition, strong independent directors chair each of the Committees involved in risk oversight, and all directors are involved in the risk assessment and ongoing risk reviews.</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29"/>
          <w:szCs w:val="29"/>
          <w:color w:val="00A1DF"/>
        </w:rPr>
        <w:t>People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206375</wp:posOffset>
            </wp:positionV>
            <wp:extent cx="1224915" cy="788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24915" cy="788035"/>
                    </a:xfrm>
                    <a:prstGeom prst="rect">
                      <a:avLst/>
                    </a:prstGeom>
                    <a:noFill/>
                  </pic:spPr>
                </pic:pic>
              </a:graphicData>
            </a:graphic>
          </wp:anchor>
        </w:drawing>
      </w:r>
    </w:p>
    <w:p>
      <w:pPr>
        <w:spacing w:after="0" w:line="325" w:lineRule="exact"/>
        <w:rPr>
          <w:sz w:val="20"/>
          <w:szCs w:val="20"/>
          <w:color w:val="auto"/>
        </w:rPr>
      </w:pPr>
    </w:p>
    <w:tbl>
      <w:tblPr>
        <w:tblLayout w:type="fixed"/>
        <w:tblInd w:w="220" w:type="dxa"/>
        <w:tblCellMar>
          <w:top w:w="0" w:type="dxa"/>
          <w:left w:w="0" w:type="dxa"/>
          <w:bottom w:w="0" w:type="dxa"/>
          <w:right w:w="0" w:type="dxa"/>
        </w:tblCellMar>
      </w:tblPr>
      <w:tr>
        <w:trPr>
          <w:trHeight w:val="292"/>
        </w:trPr>
        <w:tc>
          <w:tcPr>
            <w:tcW w:w="8800" w:type="dxa"/>
            <w:vAlign w:val="bottom"/>
          </w:tcPr>
          <w:p>
            <w:pPr>
              <w:spacing w:after="0"/>
              <w:rPr>
                <w:sz w:val="20"/>
                <w:szCs w:val="20"/>
                <w:color w:val="auto"/>
              </w:rPr>
            </w:pPr>
            <w:r>
              <w:rPr>
                <w:rFonts w:ascii="Arial" w:cs="Arial" w:eastAsia="Arial" w:hAnsi="Arial"/>
                <w:sz w:val="16"/>
                <w:szCs w:val="16"/>
                <w:color w:val="auto"/>
              </w:rPr>
              <w:t>Your Board believes that one of its primary responsibilities is to oversee the development of executive-level</w:t>
            </w:r>
          </w:p>
        </w:tc>
        <w:tc>
          <w:tcPr>
            <w:tcW w:w="140" w:type="dxa"/>
            <w:vAlign w:val="bottom"/>
            <w:shd w:val="clear" w:color="auto" w:fill="D8F0FA"/>
          </w:tcPr>
          <w:p>
            <w:pPr>
              <w:spacing w:after="0"/>
              <w:rPr>
                <w:sz w:val="24"/>
                <w:szCs w:val="24"/>
                <w:color w:val="auto"/>
              </w:rPr>
            </w:pPr>
          </w:p>
        </w:tc>
        <w:tc>
          <w:tcPr>
            <w:tcW w:w="1540" w:type="dxa"/>
            <w:vAlign w:val="bottom"/>
          </w:tcPr>
          <w:p>
            <w:pPr>
              <w:jc w:val="center"/>
              <w:ind w:left="19"/>
              <w:spacing w:after="0"/>
              <w:rPr>
                <w:sz w:val="20"/>
                <w:szCs w:val="20"/>
                <w:color w:val="auto"/>
              </w:rPr>
            </w:pPr>
            <w:r>
              <w:rPr>
                <w:rFonts w:ascii="Arial" w:cs="Arial" w:eastAsia="Arial" w:hAnsi="Arial"/>
                <w:sz w:val="16"/>
                <w:szCs w:val="16"/>
                <w:b w:val="1"/>
                <w:bCs w:val="1"/>
                <w:color w:val="0033A0"/>
              </w:rPr>
              <w:t>Board oversight</w:t>
            </w:r>
          </w:p>
        </w:tc>
      </w:tr>
      <w:tr>
        <w:trPr>
          <w:trHeight w:val="189"/>
        </w:trPr>
        <w:tc>
          <w:tcPr>
            <w:tcW w:w="8800" w:type="dxa"/>
            <w:vAlign w:val="bottom"/>
          </w:tcPr>
          <w:p>
            <w:pPr>
              <w:spacing w:after="0"/>
              <w:rPr>
                <w:sz w:val="20"/>
                <w:szCs w:val="20"/>
                <w:color w:val="auto"/>
              </w:rPr>
            </w:pPr>
            <w:r>
              <w:rPr>
                <w:rFonts w:ascii="Arial" w:cs="Arial" w:eastAsia="Arial" w:hAnsi="Arial"/>
                <w:sz w:val="16"/>
                <w:szCs w:val="16"/>
                <w:color w:val="auto"/>
              </w:rPr>
              <w:t>talent to successfully execute GM’s strategy. Management succession is regularly discussed by the directors</w:t>
            </w:r>
          </w:p>
        </w:tc>
        <w:tc>
          <w:tcPr>
            <w:tcW w:w="140" w:type="dxa"/>
            <w:vAlign w:val="bottom"/>
            <w:shd w:val="clear" w:color="auto" w:fill="D8F0FA"/>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033A0"/>
              </w:rPr>
              <w:t>drives culture and</w:t>
            </w:r>
          </w:p>
        </w:tc>
      </w:tr>
      <w:tr>
        <w:trPr>
          <w:trHeight w:val="189"/>
        </w:trPr>
        <w:tc>
          <w:tcPr>
            <w:tcW w:w="8800" w:type="dxa"/>
            <w:vAlign w:val="bottom"/>
          </w:tcPr>
          <w:p>
            <w:pPr>
              <w:spacing w:after="0"/>
              <w:rPr>
                <w:sz w:val="20"/>
                <w:szCs w:val="20"/>
                <w:color w:val="auto"/>
              </w:rPr>
            </w:pPr>
            <w:r>
              <w:rPr>
                <w:rFonts w:ascii="Arial" w:cs="Arial" w:eastAsia="Arial" w:hAnsi="Arial"/>
                <w:sz w:val="16"/>
                <w:szCs w:val="16"/>
                <w:color w:val="auto"/>
              </w:rPr>
              <w:t>with the CEO and during the Board’s executive sessions. The Board reviews candidates for all senior executive</w:t>
            </w:r>
          </w:p>
        </w:tc>
        <w:tc>
          <w:tcPr>
            <w:tcW w:w="140" w:type="dxa"/>
            <w:vAlign w:val="bottom"/>
            <w:shd w:val="clear" w:color="auto" w:fill="D8F0FA"/>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033A0"/>
              </w:rPr>
              <w:t>increases diversity</w:t>
            </w:r>
          </w:p>
        </w:tc>
      </w:tr>
      <w:tr>
        <w:trPr>
          <w:trHeight w:val="189"/>
        </w:trPr>
        <w:tc>
          <w:tcPr>
            <w:tcW w:w="8800" w:type="dxa"/>
            <w:vAlign w:val="bottom"/>
          </w:tcPr>
          <w:p>
            <w:pPr>
              <w:spacing w:after="0"/>
              <w:rPr>
                <w:sz w:val="20"/>
                <w:szCs w:val="20"/>
                <w:color w:val="auto"/>
              </w:rPr>
            </w:pPr>
            <w:r>
              <w:rPr>
                <w:rFonts w:ascii="Arial" w:cs="Arial" w:eastAsia="Arial" w:hAnsi="Arial"/>
                <w:sz w:val="16"/>
                <w:szCs w:val="16"/>
                <w:color w:val="auto"/>
              </w:rPr>
              <w:t>positions to confirm that qualified and diverse successor-candidates are available for all positions and that</w:t>
            </w:r>
          </w:p>
        </w:tc>
        <w:tc>
          <w:tcPr>
            <w:tcW w:w="140" w:type="dxa"/>
            <w:vAlign w:val="bottom"/>
            <w:shd w:val="clear" w:color="auto" w:fill="D8F0FA"/>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033A0"/>
              </w:rPr>
              <w:t>and inclusive</w:t>
            </w:r>
          </w:p>
        </w:tc>
      </w:tr>
      <w:tr>
        <w:trPr>
          <w:trHeight w:val="214"/>
        </w:trPr>
        <w:tc>
          <w:tcPr>
            <w:tcW w:w="8800" w:type="dxa"/>
            <w:vAlign w:val="bottom"/>
          </w:tcPr>
          <w:p>
            <w:pPr>
              <w:spacing w:after="0"/>
              <w:rPr>
                <w:sz w:val="20"/>
                <w:szCs w:val="20"/>
                <w:color w:val="auto"/>
              </w:rPr>
            </w:pPr>
            <w:r>
              <w:rPr>
                <w:rFonts w:ascii="Arial" w:cs="Arial" w:eastAsia="Arial" w:hAnsi="Arial"/>
                <w:sz w:val="16"/>
                <w:szCs w:val="16"/>
                <w:color w:val="auto"/>
              </w:rPr>
              <w:t>development plans are being utilized to strengthen the skills and qualifications of successor-candidates.</w:t>
            </w:r>
          </w:p>
        </w:tc>
        <w:tc>
          <w:tcPr>
            <w:tcW w:w="140" w:type="dxa"/>
            <w:vAlign w:val="bottom"/>
            <w:shd w:val="clear" w:color="auto" w:fill="D8F0FA"/>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033A0"/>
              </w:rPr>
              <w:t>behaviors.</w:t>
            </w:r>
          </w:p>
        </w:tc>
      </w:tr>
      <w:tr>
        <w:trPr>
          <w:trHeight w:val="127"/>
        </w:trPr>
        <w:tc>
          <w:tcPr>
            <w:tcW w:w="8800" w:type="dxa"/>
            <w:vAlign w:val="bottom"/>
          </w:tcPr>
          <w:p>
            <w:pPr>
              <w:spacing w:after="0"/>
              <w:rPr>
                <w:sz w:val="11"/>
                <w:szCs w:val="11"/>
                <w:color w:val="auto"/>
              </w:rPr>
            </w:pPr>
          </w:p>
        </w:tc>
        <w:tc>
          <w:tcPr>
            <w:tcW w:w="140" w:type="dxa"/>
            <w:vAlign w:val="bottom"/>
            <w:shd w:val="clear" w:color="auto" w:fill="D8F0FA"/>
          </w:tcPr>
          <w:p>
            <w:pPr>
              <w:spacing w:after="0"/>
              <w:rPr>
                <w:sz w:val="11"/>
                <w:szCs w:val="11"/>
                <w:color w:val="auto"/>
              </w:rPr>
            </w:pPr>
          </w:p>
        </w:tc>
        <w:tc>
          <w:tcPr>
            <w:tcW w:w="1540" w:type="dxa"/>
            <w:vAlign w:val="bottom"/>
          </w:tcPr>
          <w:p>
            <w:pPr>
              <w:spacing w:after="0"/>
              <w:rPr>
                <w:sz w:val="11"/>
                <w:szCs w:val="11"/>
                <w:color w:val="auto"/>
              </w:rPr>
            </w:pPr>
          </w:p>
        </w:tc>
      </w:tr>
    </w:tbl>
    <w:p>
      <w:pPr>
        <w:spacing w:after="0" w:line="11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Board’s investment in people development does not stop with management succession planning. It actively takes an interest in making sure all employees are fully engaged and realizing their potential. To accomplish this, the Board annually reviews the diversity pipeline at all levels of the Company and receives an update on various hiring initiatives for diversity groups supported by the Company. At this time, the Board believes it has a deep and diverse talent pipeline from which to promote employees at all levels of the Company.</w:t>
      </w:r>
    </w:p>
    <w:p>
      <w:pPr>
        <w:spacing w:after="0" w:line="97"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Since 2012, another tool the Board has used to monitor people development is review of results from the Company’s salaried and hourly Workplace of Choice survey. This provides the Board with feedback and enables it to hold leaders accountable for developing talent and maintaining a winning culture.</w:t>
      </w:r>
    </w:p>
    <w:p>
      <w:pPr>
        <w:spacing w:after="0" w:line="8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Board also believes that visits to Company facilities enable it to judge the Company’s cultural journey first-hand. For example, within the past year, the Board has visited the Company’s Global Propulsion Engineering Center, its Performance and Racing Center, its Research and Development laboratories, and its autonomous vehicle subsidiary, Cruise. These experiences enable the Board to judge whether the Company is adopting business practices that create the engaged and stable workforce that is needed to create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55880</wp:posOffset>
            </wp:positionV>
            <wp:extent cx="4770755" cy="6934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70755" cy="693420"/>
                    </a:xfrm>
                    <a:prstGeom prst="rect">
                      <a:avLst/>
                    </a:prstGeom>
                    <a:noFill/>
                  </pic:spPr>
                </pic:pic>
              </a:graphicData>
            </a:graphic>
          </wp:anchor>
        </w:drawing>
      </w:r>
    </w:p>
    <w:p>
      <w:pPr>
        <w:spacing w:after="0" w:line="212" w:lineRule="exact"/>
        <w:rPr>
          <w:sz w:val="20"/>
          <w:szCs w:val="20"/>
          <w:color w:val="auto"/>
        </w:rPr>
      </w:pPr>
    </w:p>
    <w:p>
      <w:pPr>
        <w:jc w:val="center"/>
        <w:ind w:left="600" w:right="2400"/>
        <w:spacing w:after="0" w:line="253" w:lineRule="auto"/>
        <w:rPr>
          <w:sz w:val="20"/>
          <w:szCs w:val="20"/>
          <w:color w:val="auto"/>
        </w:rPr>
      </w:pPr>
      <w:r>
        <w:rPr>
          <w:rFonts w:ascii="Arial" w:cs="Arial" w:eastAsia="Arial" w:hAnsi="Arial"/>
          <w:sz w:val="16"/>
          <w:szCs w:val="16"/>
          <w:color w:val="0033A0"/>
        </w:rPr>
        <w:t xml:space="preserve">For additional information on human capital management initiatives and actions to create an inclusive culture, see our Sustainability Report at </w:t>
      </w:r>
      <w:r>
        <w:rPr>
          <w:rFonts w:ascii="Arial" w:cs="Arial" w:eastAsia="Arial" w:hAnsi="Arial"/>
          <w:sz w:val="16"/>
          <w:szCs w:val="16"/>
          <w:i w:val="1"/>
          <w:iCs w:val="1"/>
          <w:color w:val="00A1DF"/>
        </w:rPr>
        <w:t>gmsustainability.com</w:t>
      </w:r>
      <w:r>
        <w:rPr>
          <w:rFonts w:ascii="Arial" w:cs="Arial" w:eastAsia="Arial" w:hAnsi="Arial"/>
          <w:sz w:val="16"/>
          <w:szCs w:val="16"/>
          <w:color w:val="0033A0"/>
        </w:rPr>
        <w:t xml:space="preserve"> and Diversity and Inclusion Report at</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00A1DF"/>
        </w:rPr>
        <w:t>gm.com/content/dam/company/docs/us/en/gmcom/GM_Diversity_and_Inclusion.pdf</w:t>
      </w: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CEO Succession Planning</w:t>
      </w:r>
    </w:p>
    <w:p>
      <w:pPr>
        <w:spacing w:after="0" w:line="294"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Our Independent Lead Director oversees the process for CEO succession and leads, at least annually, the Board’s discussion of CEO succession planning. Our CEO provides the Board with recommendations for and evaluations of potential CEO successors and reviews with the Board development plans for these successors. Directors engage with potential CEO and senior management talent at Board and Committee meetings and in less formal settings to enable directors to personally assess candidates. The Board reviews management succession in the ordinary course of business as well as contingency planning in the event of an emergency or unanticipated event.</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Board and Committee Evaluations</w:t>
      </w:r>
    </w:p>
    <w:p>
      <w:pPr>
        <w:spacing w:after="0" w:line="308"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The Board and each Committee conduct an annual self-evaluation to assess effectiveness and consider opportunities for improvement. As part of the evaluation process, each director completes a written questionnaire and is also interviewed by the Chairman and, if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80010</wp:posOffset>
            </wp:positionV>
            <wp:extent cx="6758305"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10"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29</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or needed, the Independent Lead Director. The results of the written questionnaires are compiled anonymously by the Corporate Secretary in the form of summaries for the full Board and each Committee. The feedback received from the questionnaires and interviews is reviewed and discussed by the Governance Committee (as it relates to both the Board and all Committees) and each other Committee (as it relates to such Committee). Following review and discussion by the Committees, the Chairman and the Chair of the Governance Committee summarize the results of the evaluations and report to the full Board for discussion and any action items. In addition, the Chairman and, if applicable, the Independent Lead Director provide feedback from the individual director interviews to the full Board.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Matters considered in evaluations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164465</wp:posOffset>
            </wp:positionV>
            <wp:extent cx="6989445" cy="10795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89445" cy="107950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effectiveness of the Board’s leadership and Committee structure;</w:t>
      </w:r>
    </w:p>
    <w:p>
      <w:pPr>
        <w:spacing w:after="0" w:line="99" w:lineRule="exact"/>
        <w:rPr>
          <w:sz w:val="20"/>
          <w:szCs w:val="20"/>
          <w:color w:val="auto"/>
        </w:rPr>
      </w:pPr>
    </w:p>
    <w:p>
      <w:pPr>
        <w:ind w:left="48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Board and Committee skills’ composition and diversity and Board</w:t>
      </w:r>
      <w:r>
        <w:rPr>
          <w:rFonts w:ascii="Arial" w:cs="Arial" w:eastAsia="Arial" w:hAnsi="Arial"/>
          <w:sz w:val="16"/>
          <w:szCs w:val="16"/>
          <w:color w:val="00A1DF"/>
        </w:rPr>
        <w:t xml:space="preserve"> </w:t>
      </w:r>
      <w:r>
        <w:rPr>
          <w:rFonts w:ascii="Arial" w:cs="Arial" w:eastAsia="Arial" w:hAnsi="Arial"/>
          <w:sz w:val="16"/>
          <w:szCs w:val="16"/>
          <w:color w:val="000000"/>
        </w:rPr>
        <w:t>succession planning;</w:t>
      </w:r>
    </w:p>
    <w:p>
      <w:pPr>
        <w:spacing w:after="0" w:line="24" w:lineRule="exact"/>
        <w:rPr>
          <w:sz w:val="20"/>
          <w:szCs w:val="20"/>
          <w:color w:val="auto"/>
        </w:rPr>
      </w:pPr>
    </w:p>
    <w:p>
      <w:pPr>
        <w:ind w:left="480" w:right="2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Board and Committee culture and dynamics, including the effectiveness</w:t>
      </w:r>
      <w:r>
        <w:rPr>
          <w:rFonts w:ascii="Arial" w:cs="Arial" w:eastAsia="Arial" w:hAnsi="Arial"/>
          <w:sz w:val="16"/>
          <w:szCs w:val="16"/>
          <w:color w:val="00A1DF"/>
        </w:rPr>
        <w:t xml:space="preserve"> </w:t>
      </w:r>
      <w:r>
        <w:rPr>
          <w:rFonts w:ascii="Arial" w:cs="Arial" w:eastAsia="Arial" w:hAnsi="Arial"/>
          <w:sz w:val="16"/>
          <w:szCs w:val="16"/>
          <w:color w:val="000000"/>
        </w:rPr>
        <w:t>of discussion and debate at Board and Committee meetings;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ind w:right="12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quality of Board and Committee agendas and the appropriateness</w:t>
      </w:r>
      <w:r>
        <w:rPr>
          <w:rFonts w:ascii="Arial" w:cs="Arial" w:eastAsia="Arial" w:hAnsi="Arial"/>
          <w:sz w:val="16"/>
          <w:szCs w:val="16"/>
          <w:color w:val="00A1DF"/>
        </w:rPr>
        <w:t xml:space="preserve"> </w:t>
      </w:r>
      <w:r>
        <w:rPr>
          <w:rFonts w:ascii="Arial" w:cs="Arial" w:eastAsia="Arial" w:hAnsi="Arial"/>
          <w:sz w:val="16"/>
          <w:szCs w:val="16"/>
          <w:color w:val="000000"/>
        </w:rPr>
        <w:t>of Board and Committee priorities;</w:t>
      </w:r>
    </w:p>
    <w:p>
      <w:pPr>
        <w:spacing w:after="0" w:line="24" w:lineRule="exact"/>
        <w:rPr>
          <w:sz w:val="20"/>
          <w:szCs w:val="20"/>
          <w:color w:val="auto"/>
        </w:rPr>
      </w:pPr>
    </w:p>
    <w:p>
      <w:pPr>
        <w:jc w:val="both"/>
        <w:ind w:right="120" w:hanging="161"/>
        <w:spacing w:after="0" w:line="269"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dynamics between the Board and management, including the</w:t>
      </w:r>
      <w:r>
        <w:rPr>
          <w:rFonts w:ascii="Arial" w:cs="Arial" w:eastAsia="Arial" w:hAnsi="Arial"/>
          <w:sz w:val="16"/>
          <w:szCs w:val="16"/>
          <w:color w:val="00A1DF"/>
        </w:rPr>
        <w:t xml:space="preserve"> </w:t>
      </w:r>
      <w:r>
        <w:rPr>
          <w:rFonts w:ascii="Arial" w:cs="Arial" w:eastAsia="Arial" w:hAnsi="Arial"/>
          <w:sz w:val="16"/>
          <w:szCs w:val="16"/>
          <w:color w:val="000000"/>
        </w:rPr>
        <w:t>quality of management presentations and information provided to the Board and Committees; and</w:t>
      </w:r>
    </w:p>
    <w:p>
      <w:pPr>
        <w:spacing w:after="0" w:line="42" w:lineRule="exact"/>
        <w:rPr>
          <w:sz w:val="20"/>
          <w:szCs w:val="20"/>
          <w:color w:val="auto"/>
        </w:rPr>
      </w:pPr>
    </w:p>
    <w:p>
      <w:pPr>
        <w:jc w:val="both"/>
        <w:ind w:right="12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contributions and performance of individual directors, including the</w:t>
      </w:r>
      <w:r>
        <w:rPr>
          <w:rFonts w:ascii="Arial" w:cs="Arial" w:eastAsia="Arial" w:hAnsi="Arial"/>
          <w:sz w:val="16"/>
          <w:szCs w:val="16"/>
          <w:color w:val="00A1DF"/>
        </w:rPr>
        <w:t xml:space="preserve"> </w:t>
      </w:r>
      <w:r>
        <w:rPr>
          <w:rFonts w:ascii="Arial" w:cs="Arial" w:eastAsia="Arial" w:hAnsi="Arial"/>
          <w:sz w:val="16"/>
          <w:szCs w:val="16"/>
          <w:color w:val="000000"/>
        </w:rPr>
        <w:t>Chairman, Independent Lead Director, and Committee Chairs.</w:t>
      </w:r>
    </w:p>
    <w:p>
      <w:pPr>
        <w:spacing w:after="0" w:line="200" w:lineRule="exact"/>
        <w:rPr>
          <w:sz w:val="20"/>
          <w:szCs w:val="20"/>
          <w:color w:val="auto"/>
        </w:rPr>
      </w:pPr>
    </w:p>
    <w:p>
      <w:pPr>
        <w:sectPr>
          <w:pgSz w:w="11900" w:h="16838" w:orient="portrait"/>
          <w:cols w:equalWidth="0" w:num="2">
            <w:col w:w="5720" w:space="380"/>
            <w:col w:w="5120"/>
          </w:cols>
          <w:pgMar w:left="240" w:top="459" w:right="439" w:bottom="1440" w:gutter="0" w:footer="0" w:header="0"/>
          <w:type w:val="continuous"/>
        </w:sectPr>
      </w:pPr>
    </w:p>
    <w:p>
      <w:pPr>
        <w:spacing w:after="0" w:line="170"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Annual Evaluation of CEO</w:t>
      </w:r>
    </w:p>
    <w:p>
      <w:pPr>
        <w:spacing w:after="0" w:line="30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CEO reports annually to the Board regarding achievement of previously established goals and objectives. The non-management directors, meeting separately in executive session, annually conduct a formal evaluation of the CEO, which is communicated to the CEO by the Independent Lead Director. The evaluation is based on both objective and subjective criteria, including, but not limited to: the Company’s financial performance; accomplishment of ongoing initiatives in furtherance of the Company’s long-term strategic objectives; and development of the Company’s top management team. The results of the evaluation are considered by the Compensation Committee in its deliberations when determining the compensation of the CEO as further described in “Executive Compensation” on page 37.</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Director Orientation and Continuing Education</w:t>
      </w:r>
    </w:p>
    <w:p>
      <w:pPr>
        <w:spacing w:after="0" w:line="29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All new directors participate in the Company’s director orientation program, which generally commences promptly after the meeting at which a new director is elected. The Governance Committee oversees this orientation program to on-board new directors through the preparation of GM-specific and other background materials and meetings with senior management. The orientation also includes tours of one or more GM plants, a visit to the Design Studio at the Warren Technical Center, dealer visits, and/or attendance at auto show events. The orientation enables new directors to become familiar with the Company’s business and strategic plans; significant financial matters; core values, including ethics, compliance programs, and corporate governance practices; and other key policies and practices, including, but not limited to sustainability, vehicle and workplace safety, public policy and governance relations, risk management, and investor relations.</w:t>
      </w:r>
    </w:p>
    <w:p>
      <w:pPr>
        <w:spacing w:after="0" w:line="99"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Continuing education opportunities are provided to keep directors updated with information about the Company and its strategy, operations, products, and other matters relevant to Board service. Board members are encouraged to visit GM facilities and dealers and attend auto shows and other key corporate and industry events to enhance their understanding of the Company and its competitors in the auto industry. In addition, all directors are encouraged to attend, at our expense, director continuing education programs sponsored by governance organizations and other institutions.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30 </w:t>
      </w:r>
      <w:r>
        <w:rPr>
          <w:sz w:val="1"/>
          <w:szCs w:val="1"/>
          <w:color w:val="auto"/>
        </w:rPr>
        <w:drawing>
          <wp:inline distT="0" distB="0" distL="0" distR="0">
            <wp:extent cx="6852920" cy="14541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Director Service on Other Public Company Boards</w:t>
      </w:r>
    </w:p>
    <w:p>
      <w:pPr>
        <w:spacing w:after="0" w:line="29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Board recognizes that service on other public company boards provides valuable governance and leadership experience that benefits the Company. The Board also believes, however, that it is critical that directors dedicate sufficient time to their service on the Company’s Board. Directors are expected to advise the Chairman of the Board, Independent Lead Director, or Chair of the Governance Committee in advance of accepting an invitation to serve on another board of directors or any audit committee of another public company board. This provides an opportunity to assess the impact of joining another board based on various factors relevant to the specific situation, including the nature and extent of a director’s other professional obligations and the time commitment attendant to the new position. Directors who are engaged in active, full-time employment, for example, could have less time to devote to Board service than a director whose principal occupation is serving on boards.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Corporate Governance Guidelines provide that without obtaining the approval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143510</wp:posOffset>
            </wp:positionV>
            <wp:extent cx="4916805" cy="813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16805" cy="8134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520" w:right="1960" w:hanging="334"/>
        <w:spacing w:after="0" w:line="255" w:lineRule="auto"/>
        <w:tabs>
          <w:tab w:leader="none" w:pos="2440"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A director may not serve on the boards of more than four other public companies (excluding nonprofits and subsidiaries).</w:t>
      </w:r>
    </w:p>
    <w:p>
      <w:pPr>
        <w:ind w:left="2520" w:right="1960" w:hanging="334"/>
        <w:spacing w:after="0" w:line="277" w:lineRule="auto"/>
        <w:tabs>
          <w:tab w:leader="none" w:pos="2504"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No member of the Audit Committee may serve on more than two other public company audit committees.</w:t>
      </w:r>
    </w:p>
    <w:p>
      <w:pPr>
        <w:spacing w:after="0" w:line="200" w:lineRule="exact"/>
        <w:rPr>
          <w:sz w:val="20"/>
          <w:szCs w:val="20"/>
          <w:color w:val="auto"/>
        </w:rPr>
      </w:pPr>
    </w:p>
    <w:p>
      <w:pPr>
        <w:spacing w:after="0" w:line="239"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In general, senior members of management may not serve on the board of more than one other public company or for-profit entity and must obtain the approval of the Governance Committee prior to accepting an invitation to serve on an outside board.</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 directors and senior members of management are in compliance with this policy.</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29"/>
          <w:szCs w:val="29"/>
          <w:color w:val="00A1DF"/>
        </w:rPr>
        <w:t>Compensation Committee Interlocks and Insider Participation</w:t>
      </w:r>
    </w:p>
    <w:p>
      <w:pPr>
        <w:spacing w:after="0" w:line="293"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Mses. Stephenson and Russo and Messrs. Bush, Jimenez, and Mulva served on the Compensation Committee in 2018. During 2018 and as of the date of this Proxy Statement, none of the members of the Compensation Committee was or is an officer or employee of the Company, and no executive officer of the Company served or serves on the compensation committee or board of any company that employed or employs any member of the Company’s Compensation Committee or Board of Directors.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Shareholder Engagement</w:t>
      </w:r>
    </w:p>
    <w:p>
      <w:pPr>
        <w:spacing w:after="0" w:line="18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A priority for the Board is to meet with and hear from shareholders. Your Board and management regularly engage with shareholders in a variety of forums – from in-person and telephonic meetings to investor events and industry conferences. This dialogue helps the Board and management gain feedback on a variety of topics, including strategic and financial performance, operations, products, executive compensation, Board composition, and leadership structure, as well as on important environmental and social issues. The constructive insights, experiences, and ideas exchanged during these engagements enable your Board to further evaluate and assess key initiatives from different perspectives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86360</wp:posOffset>
            </wp:positionV>
            <wp:extent cx="6758305" cy="128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21"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31</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8890</wp:posOffset>
            </wp:positionV>
            <wp:extent cx="6998335" cy="51479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8335" cy="51479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line="261" w:lineRule="auto"/>
        <w:rPr>
          <w:sz w:val="20"/>
          <w:szCs w:val="20"/>
          <w:color w:val="auto"/>
        </w:rPr>
      </w:pPr>
      <w:r>
        <w:rPr>
          <w:rFonts w:ascii="Arial" w:cs="Arial" w:eastAsia="Arial" w:hAnsi="Arial"/>
          <w:sz w:val="16"/>
          <w:szCs w:val="16"/>
          <w:b w:val="1"/>
          <w:bCs w:val="1"/>
          <w:color w:val="00A1DF"/>
        </w:rPr>
        <w:t>DIRECTOR-SHAREHOLDER ENGAGEMENT POLICY</w:t>
      </w:r>
    </w:p>
    <w:p>
      <w:pPr>
        <w:ind w:left="360"/>
        <w:spacing w:after="0"/>
        <w:rPr>
          <w:sz w:val="20"/>
          <w:szCs w:val="20"/>
          <w:color w:val="auto"/>
        </w:rPr>
      </w:pPr>
      <w:r>
        <w:rPr>
          <w:rFonts w:ascii="Arial" w:cs="Arial" w:eastAsia="Arial" w:hAnsi="Arial"/>
          <w:sz w:val="14"/>
          <w:szCs w:val="14"/>
          <w:color w:val="auto"/>
        </w:rPr>
        <w:t>(adopted in 2016)</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Frequent and</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recurring proactive</w:t>
      </w:r>
    </w:p>
    <w:p>
      <w:pPr>
        <w:spacing w:after="0" w:line="5" w:lineRule="exact"/>
        <w:rPr>
          <w:sz w:val="20"/>
          <w:szCs w:val="20"/>
          <w:color w:val="auto"/>
        </w:rPr>
      </w:pPr>
    </w:p>
    <w:p>
      <w:pPr>
        <w:jc w:val="both"/>
        <w:ind w:left="360" w:right="320"/>
        <w:spacing w:after="0" w:line="253" w:lineRule="auto"/>
        <w:rPr>
          <w:sz w:val="20"/>
          <w:szCs w:val="20"/>
          <w:color w:val="auto"/>
        </w:rPr>
      </w:pPr>
      <w:r>
        <w:rPr>
          <w:rFonts w:ascii="Arial" w:cs="Arial" w:eastAsia="Arial" w:hAnsi="Arial"/>
          <w:sz w:val="16"/>
          <w:szCs w:val="16"/>
          <w:color w:val="auto"/>
        </w:rPr>
        <w:t>and reactive engagement sessions with our largest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200" w:right="1380"/>
        <w:spacing w:after="0" w:line="260" w:lineRule="auto"/>
        <w:rPr>
          <w:sz w:val="20"/>
          <w:szCs w:val="20"/>
          <w:color w:val="auto"/>
        </w:rPr>
      </w:pPr>
      <w:r>
        <w:rPr>
          <w:rFonts w:ascii="Arial" w:cs="Arial" w:eastAsia="Arial" w:hAnsi="Arial"/>
          <w:sz w:val="16"/>
          <w:szCs w:val="16"/>
          <w:color w:val="auto"/>
        </w:rPr>
        <w:t>The table below provides an overview of the common themes we have heard since our last annual meeting that led to boardroom discussion and action.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Borders>
              <w:top w:val="single" w:sz="8" w:color="00A1DF"/>
            </w:tcBorders>
          </w:tcPr>
          <w:p>
            <w:pPr>
              <w:ind w:left="1860"/>
              <w:spacing w:after="0"/>
              <w:rPr>
                <w:sz w:val="20"/>
                <w:szCs w:val="20"/>
                <w:color w:val="auto"/>
              </w:rPr>
            </w:pPr>
            <w:r>
              <w:rPr>
                <w:rFonts w:ascii="Arial" w:cs="Arial" w:eastAsia="Arial" w:hAnsi="Arial"/>
                <w:sz w:val="16"/>
                <w:szCs w:val="16"/>
                <w:b w:val="1"/>
                <w:bCs w:val="1"/>
                <w:color w:val="00A1DF"/>
              </w:rPr>
              <w:t>Message</w:t>
            </w:r>
          </w:p>
        </w:tc>
        <w:tc>
          <w:tcPr>
            <w:tcW w:w="3960" w:type="dxa"/>
            <w:vAlign w:val="bottom"/>
            <w:tcBorders>
              <w:top w:val="single" w:sz="8" w:color="00A1DF"/>
            </w:tcBorders>
          </w:tcPr>
          <w:p>
            <w:pPr>
              <w:ind w:left="1760"/>
              <w:spacing w:after="0"/>
              <w:rPr>
                <w:sz w:val="20"/>
                <w:szCs w:val="20"/>
                <w:color w:val="auto"/>
              </w:rPr>
            </w:pPr>
            <w:r>
              <w:rPr>
                <w:rFonts w:ascii="Arial" w:cs="Arial" w:eastAsia="Arial" w:hAnsi="Arial"/>
                <w:sz w:val="16"/>
                <w:szCs w:val="16"/>
                <w:b w:val="1"/>
                <w:bCs w:val="1"/>
                <w:color w:val="00A1DF"/>
              </w:rPr>
              <w:t>Actions</w:t>
            </w:r>
          </w:p>
        </w:tc>
      </w:tr>
      <w:tr>
        <w:trPr>
          <w:trHeight w:val="42"/>
        </w:trPr>
        <w:tc>
          <w:tcPr>
            <w:tcW w:w="4140" w:type="dxa"/>
            <w:vAlign w:val="bottom"/>
            <w:tcBorders>
              <w:bottom w:val="single" w:sz="8" w:color="00A1DF"/>
            </w:tcBorders>
          </w:tcPr>
          <w:p>
            <w:pPr>
              <w:spacing w:after="0"/>
              <w:rPr>
                <w:sz w:val="3"/>
                <w:szCs w:val="3"/>
                <w:color w:val="auto"/>
              </w:rPr>
            </w:pPr>
          </w:p>
        </w:tc>
        <w:tc>
          <w:tcPr>
            <w:tcW w:w="3960" w:type="dxa"/>
            <w:vAlign w:val="bottom"/>
            <w:tcBorders>
              <w:bottom w:val="single" w:sz="8" w:color="00A1DF"/>
            </w:tcBorders>
          </w:tcPr>
          <w:p>
            <w:pPr>
              <w:spacing w:after="0"/>
              <w:rPr>
                <w:sz w:val="3"/>
                <w:szCs w:val="3"/>
                <w:color w:val="auto"/>
              </w:rPr>
            </w:pPr>
          </w:p>
        </w:tc>
      </w:tr>
      <w:tr>
        <w:trPr>
          <w:trHeight w:val="184"/>
        </w:trPr>
        <w:tc>
          <w:tcPr>
            <w:tcW w:w="4140" w:type="dxa"/>
            <w:vAlign w:val="bottom"/>
          </w:tcPr>
          <w:p>
            <w:pPr>
              <w:ind w:left="200"/>
              <w:spacing w:after="0"/>
              <w:rPr>
                <w:sz w:val="20"/>
                <w:szCs w:val="20"/>
                <w:color w:val="auto"/>
              </w:rPr>
            </w:pPr>
            <w:r>
              <w:rPr>
                <w:rFonts w:ascii="Arial" w:cs="Arial" w:eastAsia="Arial" w:hAnsi="Arial"/>
                <w:sz w:val="16"/>
                <w:szCs w:val="16"/>
                <w:color w:val="auto"/>
              </w:rPr>
              <w:t>Encouraged to communicate the Board’s succession</w:t>
            </w:r>
          </w:p>
        </w:tc>
        <w:tc>
          <w:tcPr>
            <w:tcW w:w="3960" w:type="dxa"/>
            <w:vAlign w:val="bottom"/>
          </w:tcPr>
          <w:p>
            <w:pPr>
              <w:ind w:left="160"/>
              <w:spacing w:after="0"/>
              <w:rPr>
                <w:sz w:val="20"/>
                <w:szCs w:val="20"/>
                <w:color w:val="auto"/>
              </w:rPr>
            </w:pPr>
            <w:r>
              <w:rPr>
                <w:rFonts w:ascii="Arial" w:cs="Arial" w:eastAsia="Arial" w:hAnsi="Arial"/>
                <w:sz w:val="16"/>
                <w:szCs w:val="16"/>
                <w:color w:val="auto"/>
              </w:rPr>
              <w:t>Please see page 9 for actions taken to maintain the</w:t>
            </w:r>
          </w:p>
        </w:tc>
      </w:tr>
      <w:tr>
        <w:trPr>
          <w:trHeight w:val="189"/>
        </w:trPr>
        <w:tc>
          <w:tcPr>
            <w:tcW w:w="4140" w:type="dxa"/>
            <w:vAlign w:val="bottom"/>
          </w:tcPr>
          <w:p>
            <w:pPr>
              <w:ind w:left="200"/>
              <w:spacing w:after="0"/>
              <w:rPr>
                <w:sz w:val="20"/>
                <w:szCs w:val="20"/>
                <w:color w:val="auto"/>
              </w:rPr>
            </w:pPr>
            <w:r>
              <w:rPr>
                <w:rFonts w:ascii="Arial" w:cs="Arial" w:eastAsia="Arial" w:hAnsi="Arial"/>
                <w:sz w:val="16"/>
                <w:szCs w:val="16"/>
                <w:color w:val="auto"/>
              </w:rPr>
              <w:t>plan given retirements of Admiral Michael G. Mullen</w:t>
            </w:r>
          </w:p>
        </w:tc>
        <w:tc>
          <w:tcPr>
            <w:tcW w:w="3960" w:type="dxa"/>
            <w:vAlign w:val="bottom"/>
          </w:tcPr>
          <w:p>
            <w:pPr>
              <w:ind w:left="160"/>
              <w:spacing w:after="0"/>
              <w:rPr>
                <w:sz w:val="20"/>
                <w:szCs w:val="20"/>
                <w:color w:val="auto"/>
              </w:rPr>
            </w:pPr>
            <w:r>
              <w:rPr>
                <w:rFonts w:ascii="Arial" w:cs="Arial" w:eastAsia="Arial" w:hAnsi="Arial"/>
                <w:sz w:val="16"/>
                <w:szCs w:val="16"/>
                <w:color w:val="auto"/>
              </w:rPr>
              <w:t>right Board at the right time for GM.</w:t>
            </w:r>
          </w:p>
        </w:tc>
      </w:tr>
      <w:tr>
        <w:trPr>
          <w:trHeight w:val="197"/>
        </w:trPr>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and James J. Mulva.</w:t>
            </w:r>
          </w:p>
        </w:tc>
        <w:tc>
          <w:tcPr>
            <w:tcW w:w="3960" w:type="dxa"/>
            <w:vAlign w:val="bottom"/>
            <w:tcBorders>
              <w:bottom w:val="single" w:sz="8" w:color="auto"/>
            </w:tcBorders>
          </w:tcPr>
          <w:p>
            <w:pPr>
              <w:spacing w:after="0"/>
              <w:rPr>
                <w:sz w:val="17"/>
                <w:szCs w:val="17"/>
                <w:color w:val="auto"/>
              </w:rPr>
            </w:pPr>
          </w:p>
        </w:tc>
      </w:tr>
    </w:tbl>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Encouraged to further explain the Board’s role in capital  Please see page 5 for a description of GM’s current</w:t>
      </w:r>
    </w:p>
    <w:p>
      <w:pPr>
        <w:spacing w:after="0" w:line="5" w:lineRule="exact"/>
        <w:rPr>
          <w:sz w:val="20"/>
          <w:szCs w:val="20"/>
          <w:color w:val="auto"/>
        </w:rPr>
      </w:pPr>
    </w:p>
    <w:p>
      <w:pPr>
        <w:ind w:left="4300" w:right="400" w:hanging="4100"/>
        <w:spacing w:after="0" w:line="250" w:lineRule="auto"/>
        <w:tabs>
          <w:tab w:leader="none" w:pos="4280" w:val="left"/>
        </w:tabs>
        <w:rPr>
          <w:sz w:val="20"/>
          <w:szCs w:val="20"/>
          <w:color w:val="auto"/>
        </w:rPr>
      </w:pPr>
      <w:r>
        <w:rPr>
          <w:rFonts w:ascii="Arial" w:cs="Arial" w:eastAsia="Arial" w:hAnsi="Arial"/>
          <w:sz w:val="16"/>
          <w:szCs w:val="16"/>
          <w:color w:val="auto"/>
        </w:rPr>
        <w:t>allocation planning.</w:t>
      </w:r>
      <w:r>
        <w:rPr>
          <w:sz w:val="20"/>
          <w:szCs w:val="20"/>
          <w:color w:val="auto"/>
        </w:rPr>
        <w:tab/>
      </w:r>
      <w:r>
        <w:rPr>
          <w:rFonts w:ascii="Arial" w:cs="Arial" w:eastAsia="Arial" w:hAnsi="Arial"/>
          <w:sz w:val="16"/>
          <w:szCs w:val="16"/>
          <w:color w:val="auto"/>
        </w:rPr>
        <w:t>Capital Allocation Framework and the Board’s oversight role in its development and oversight.</w:t>
      </w:r>
    </w:p>
    <w:p>
      <w:pPr>
        <w:spacing w:after="0" w:line="1" w:lineRule="exact"/>
        <w:rPr>
          <w:sz w:val="20"/>
          <w:szCs w:val="20"/>
          <w:color w:val="auto"/>
        </w:rPr>
      </w:pPr>
    </w:p>
    <w:p>
      <w:pPr>
        <w:sectPr>
          <w:pgSz w:w="11900" w:h="16838" w:orient="portrait"/>
          <w:cols w:equalWidth="0" w:num="2">
            <w:col w:w="2520" w:space="600"/>
            <w:col w:w="8100"/>
          </w:cols>
          <w:pgMar w:left="240" w:top="459" w:right="439" w:bottom="1440" w:gutter="0" w:footer="0" w:header="0"/>
          <w:type w:val="continuous"/>
        </w:sectPr>
      </w:pPr>
    </w:p>
    <w:p>
      <w:pPr>
        <w:ind w:left="360" w:right="280"/>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Shareholders and</w:t>
      </w:r>
      <w:r>
        <w:rPr>
          <w:rFonts w:ascii="Arial" w:cs="Arial" w:eastAsia="Arial" w:hAnsi="Arial"/>
          <w:sz w:val="16"/>
          <w:szCs w:val="16"/>
          <w:color w:val="00A1DF"/>
        </w:rPr>
        <w:t xml:space="preserve"> </w:t>
      </w:r>
      <w:r>
        <w:rPr>
          <w:rFonts w:ascii="Arial" w:cs="Arial" w:eastAsia="Arial" w:hAnsi="Arial"/>
          <w:sz w:val="16"/>
          <w:szCs w:val="16"/>
          <w:color w:val="000000"/>
        </w:rPr>
        <w:t>analysts invited to Board meetings on an annual basis</w:t>
      </w:r>
    </w:p>
    <w:p>
      <w:pPr>
        <w:spacing w:after="0" w:line="85" w:lineRule="exact"/>
        <w:rPr>
          <w:sz w:val="20"/>
          <w:szCs w:val="20"/>
          <w:color w:val="auto"/>
        </w:rPr>
      </w:pPr>
    </w:p>
    <w:p>
      <w:pPr>
        <w:ind w:left="360"/>
        <w:spacing w:after="0" w:line="252" w:lineRule="auto"/>
        <w:rPr>
          <w:sz w:val="20"/>
          <w:szCs w:val="20"/>
          <w:color w:val="auto"/>
        </w:rPr>
      </w:pPr>
      <w:r>
        <w:rPr>
          <w:rFonts w:ascii="Arial" w:cs="Arial" w:eastAsia="Arial" w:hAnsi="Arial"/>
          <w:sz w:val="16"/>
          <w:szCs w:val="16"/>
          <w:i w:val="1"/>
          <w:iCs w:val="1"/>
          <w:color w:val="auto"/>
        </w:rPr>
        <w:t>Since the beginning of 2019, members of the Board, including our Independent Lead Director, have met in person with shareholders representing approximately 21% of shares outstanding.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ind w:left="200"/>
              <w:spacing w:after="0"/>
              <w:rPr>
                <w:sz w:val="20"/>
                <w:szCs w:val="20"/>
                <w:color w:val="auto"/>
              </w:rPr>
            </w:pPr>
            <w:r>
              <w:rPr>
                <w:rFonts w:ascii="Arial" w:cs="Arial" w:eastAsia="Arial" w:hAnsi="Arial"/>
                <w:sz w:val="16"/>
                <w:szCs w:val="16"/>
                <w:color w:val="auto"/>
              </w:rPr>
              <w:t>Encouraged to further explain how GM’s corporate</w:t>
            </w:r>
          </w:p>
        </w:tc>
        <w:tc>
          <w:tcPr>
            <w:tcW w:w="3980" w:type="dxa"/>
            <w:vAlign w:val="bottom"/>
          </w:tcPr>
          <w:p>
            <w:pPr>
              <w:ind w:left="180"/>
              <w:spacing w:after="0"/>
              <w:rPr>
                <w:sz w:val="20"/>
                <w:szCs w:val="20"/>
                <w:color w:val="auto"/>
              </w:rPr>
            </w:pPr>
            <w:r>
              <w:rPr>
                <w:rFonts w:ascii="Arial" w:cs="Arial" w:eastAsia="Arial" w:hAnsi="Arial"/>
                <w:sz w:val="16"/>
                <w:szCs w:val="16"/>
                <w:color w:val="auto"/>
              </w:rPr>
              <w:t>Launched “We Are General Motors” to further align</w:t>
            </w:r>
          </w:p>
        </w:tc>
      </w:tr>
      <w:tr>
        <w:trPr>
          <w:trHeight w:val="189"/>
        </w:trPr>
        <w:tc>
          <w:tcPr>
            <w:tcW w:w="4120" w:type="dxa"/>
            <w:vAlign w:val="bottom"/>
          </w:tcPr>
          <w:p>
            <w:pPr>
              <w:ind w:left="200"/>
              <w:spacing w:after="0"/>
              <w:rPr>
                <w:sz w:val="20"/>
                <w:szCs w:val="20"/>
                <w:color w:val="auto"/>
              </w:rPr>
            </w:pPr>
            <w:r>
              <w:rPr>
                <w:rFonts w:ascii="Arial" w:cs="Arial" w:eastAsia="Arial" w:hAnsi="Arial"/>
                <w:sz w:val="16"/>
                <w:szCs w:val="16"/>
                <w:color w:val="auto"/>
              </w:rPr>
              <w:t>purpose and culture align with its long-term strategy</w:t>
            </w:r>
          </w:p>
        </w:tc>
        <w:tc>
          <w:tcPr>
            <w:tcW w:w="3980" w:type="dxa"/>
            <w:vAlign w:val="bottom"/>
          </w:tcPr>
          <w:p>
            <w:pPr>
              <w:ind w:left="180"/>
              <w:spacing w:after="0"/>
              <w:rPr>
                <w:sz w:val="20"/>
                <w:szCs w:val="20"/>
                <w:color w:val="auto"/>
              </w:rPr>
            </w:pPr>
            <w:r>
              <w:rPr>
                <w:rFonts w:ascii="Arial" w:cs="Arial" w:eastAsia="Arial" w:hAnsi="Arial"/>
                <w:sz w:val="16"/>
                <w:szCs w:val="16"/>
                <w:color w:val="auto"/>
              </w:rPr>
              <w:t>employees with our purpose and vision of zero</w:t>
            </w:r>
          </w:p>
        </w:tc>
      </w:tr>
      <w:tr>
        <w:trPr>
          <w:trHeight w:val="189"/>
        </w:trPr>
        <w:tc>
          <w:tcPr>
            <w:tcW w:w="4120" w:type="dxa"/>
            <w:vAlign w:val="bottom"/>
          </w:tcPr>
          <w:p>
            <w:pPr>
              <w:ind w:left="200"/>
              <w:spacing w:after="0"/>
              <w:rPr>
                <w:sz w:val="20"/>
                <w:szCs w:val="20"/>
                <w:color w:val="auto"/>
              </w:rPr>
            </w:pPr>
            <w:r>
              <w:rPr>
                <w:rFonts w:ascii="Arial" w:cs="Arial" w:eastAsia="Arial" w:hAnsi="Arial"/>
                <w:sz w:val="16"/>
                <w:szCs w:val="16"/>
                <w:color w:val="auto"/>
              </w:rPr>
              <w:t>and how they enhance human capital management</w:t>
            </w:r>
          </w:p>
        </w:tc>
        <w:tc>
          <w:tcPr>
            <w:tcW w:w="3980" w:type="dxa"/>
            <w:vAlign w:val="bottom"/>
          </w:tcPr>
          <w:p>
            <w:pPr>
              <w:ind w:left="180"/>
              <w:spacing w:after="0"/>
              <w:rPr>
                <w:sz w:val="20"/>
                <w:szCs w:val="20"/>
                <w:color w:val="auto"/>
              </w:rPr>
            </w:pPr>
            <w:r>
              <w:rPr>
                <w:rFonts w:ascii="Arial" w:cs="Arial" w:eastAsia="Arial" w:hAnsi="Arial"/>
                <w:sz w:val="16"/>
                <w:szCs w:val="16"/>
                <w:color w:val="auto"/>
              </w:rPr>
              <w:t>crashes, zero emissions, and zero congestion.</w:t>
            </w:r>
          </w:p>
        </w:tc>
      </w:tr>
      <w:tr>
        <w:trPr>
          <w:trHeight w:val="189"/>
        </w:trPr>
        <w:tc>
          <w:tcPr>
            <w:tcW w:w="4120" w:type="dxa"/>
            <w:vAlign w:val="bottom"/>
          </w:tcPr>
          <w:p>
            <w:pPr>
              <w:ind w:left="200"/>
              <w:spacing w:after="0"/>
              <w:rPr>
                <w:sz w:val="20"/>
                <w:szCs w:val="20"/>
                <w:color w:val="auto"/>
              </w:rPr>
            </w:pPr>
            <w:r>
              <w:rPr>
                <w:rFonts w:ascii="Arial" w:cs="Arial" w:eastAsia="Arial" w:hAnsi="Arial"/>
                <w:sz w:val="16"/>
                <w:szCs w:val="16"/>
                <w:color w:val="auto"/>
              </w:rPr>
              <w:t>initiatives.</w:t>
            </w:r>
          </w:p>
        </w:tc>
        <w:tc>
          <w:tcPr>
            <w:tcW w:w="3980" w:type="dxa"/>
            <w:vAlign w:val="bottom"/>
          </w:tcPr>
          <w:p>
            <w:pPr>
              <w:ind w:left="180"/>
              <w:spacing w:after="0"/>
              <w:rPr>
                <w:sz w:val="20"/>
                <w:szCs w:val="20"/>
                <w:color w:val="auto"/>
              </w:rPr>
            </w:pPr>
            <w:r>
              <w:rPr>
                <w:rFonts w:ascii="Arial" w:cs="Arial" w:eastAsia="Arial" w:hAnsi="Arial"/>
                <w:sz w:val="16"/>
                <w:szCs w:val="16"/>
                <w:color w:val="auto"/>
              </w:rPr>
              <w:t>Please see the Q&amp;A on page i for additional</w:t>
            </w:r>
          </w:p>
        </w:tc>
      </w:tr>
      <w:tr>
        <w:trPr>
          <w:trHeight w:val="189"/>
        </w:trPr>
        <w:tc>
          <w:tcPr>
            <w:tcW w:w="4120" w:type="dxa"/>
            <w:vAlign w:val="bottom"/>
          </w:tcPr>
          <w:p>
            <w:pPr>
              <w:spacing w:after="0"/>
              <w:rPr>
                <w:sz w:val="16"/>
                <w:szCs w:val="16"/>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information on GM’s approach to culture and</w:t>
            </w:r>
          </w:p>
        </w:tc>
      </w:tr>
      <w:tr>
        <w:trPr>
          <w:trHeight w:val="197"/>
        </w:trPr>
        <w:tc>
          <w:tcPr>
            <w:tcW w:w="41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strategy.</w:t>
            </w:r>
          </w:p>
        </w:tc>
      </w:tr>
      <w:tr>
        <w:trPr>
          <w:trHeight w:val="228"/>
        </w:trPr>
        <w:tc>
          <w:tcPr>
            <w:tcW w:w="4120" w:type="dxa"/>
            <w:vAlign w:val="bottom"/>
          </w:tcPr>
          <w:p>
            <w:pPr>
              <w:ind w:left="200"/>
              <w:spacing w:after="0"/>
              <w:rPr>
                <w:sz w:val="20"/>
                <w:szCs w:val="20"/>
                <w:color w:val="auto"/>
              </w:rPr>
            </w:pPr>
            <w:r>
              <w:rPr>
                <w:rFonts w:ascii="Arial" w:cs="Arial" w:eastAsia="Arial" w:hAnsi="Arial"/>
                <w:sz w:val="16"/>
                <w:szCs w:val="16"/>
                <w:color w:val="auto"/>
              </w:rPr>
              <w:t>Encouraged to enhance the Board’s oversight of</w:t>
            </w:r>
          </w:p>
        </w:tc>
        <w:tc>
          <w:tcPr>
            <w:tcW w:w="3980" w:type="dxa"/>
            <w:vAlign w:val="bottom"/>
          </w:tcPr>
          <w:p>
            <w:pPr>
              <w:ind w:left="180"/>
              <w:spacing w:after="0"/>
              <w:rPr>
                <w:sz w:val="20"/>
                <w:szCs w:val="20"/>
                <w:color w:val="auto"/>
              </w:rPr>
            </w:pPr>
            <w:r>
              <w:rPr>
                <w:rFonts w:ascii="Arial" w:cs="Arial" w:eastAsia="Arial" w:hAnsi="Arial"/>
                <w:sz w:val="16"/>
                <w:szCs w:val="16"/>
                <w:color w:val="auto"/>
              </w:rPr>
              <w:t>Amended the Governance Committee charter to</w:t>
            </w:r>
          </w:p>
        </w:tc>
      </w:tr>
      <w:tr>
        <w:trPr>
          <w:trHeight w:val="189"/>
        </w:trPr>
        <w:tc>
          <w:tcPr>
            <w:tcW w:w="4120" w:type="dxa"/>
            <w:vAlign w:val="bottom"/>
          </w:tcPr>
          <w:p>
            <w:pPr>
              <w:ind w:left="200"/>
              <w:spacing w:after="0"/>
              <w:rPr>
                <w:sz w:val="20"/>
                <w:szCs w:val="20"/>
                <w:color w:val="auto"/>
              </w:rPr>
            </w:pPr>
            <w:r>
              <w:rPr>
                <w:rFonts w:ascii="Arial" w:cs="Arial" w:eastAsia="Arial" w:hAnsi="Arial"/>
                <w:sz w:val="16"/>
                <w:szCs w:val="16"/>
                <w:color w:val="auto"/>
              </w:rPr>
              <w:t>lobbying activities.</w:t>
            </w:r>
          </w:p>
        </w:tc>
        <w:tc>
          <w:tcPr>
            <w:tcW w:w="3980" w:type="dxa"/>
            <w:vAlign w:val="bottom"/>
          </w:tcPr>
          <w:p>
            <w:pPr>
              <w:ind w:left="180"/>
              <w:spacing w:after="0"/>
              <w:rPr>
                <w:sz w:val="20"/>
                <w:szCs w:val="20"/>
                <w:color w:val="auto"/>
              </w:rPr>
            </w:pPr>
            <w:r>
              <w:rPr>
                <w:rFonts w:ascii="Arial" w:cs="Arial" w:eastAsia="Arial" w:hAnsi="Arial"/>
                <w:sz w:val="16"/>
                <w:szCs w:val="16"/>
                <w:color w:val="auto"/>
              </w:rPr>
              <w:t>include oversight of lobbying activities. Please see</w:t>
            </w:r>
          </w:p>
        </w:tc>
      </w:tr>
      <w:tr>
        <w:trPr>
          <w:trHeight w:val="189"/>
        </w:trPr>
        <w:tc>
          <w:tcPr>
            <w:tcW w:w="4120" w:type="dxa"/>
            <w:vAlign w:val="bottom"/>
          </w:tcPr>
          <w:p>
            <w:pPr>
              <w:spacing w:after="0"/>
              <w:rPr>
                <w:sz w:val="16"/>
                <w:szCs w:val="16"/>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page 33 for additional information on GM’s</w:t>
            </w:r>
          </w:p>
        </w:tc>
      </w:tr>
      <w:tr>
        <w:trPr>
          <w:trHeight w:val="197"/>
        </w:trPr>
        <w:tc>
          <w:tcPr>
            <w:tcW w:w="41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comprehensive political and lobbying disclosure.</w:t>
            </w:r>
          </w:p>
        </w:tc>
      </w:tr>
      <w:tr>
        <w:trPr>
          <w:trHeight w:val="187"/>
        </w:trPr>
        <w:tc>
          <w:tcPr>
            <w:tcW w:w="4120" w:type="dxa"/>
            <w:vAlign w:val="bottom"/>
          </w:tcPr>
          <w:p>
            <w:pPr>
              <w:ind w:left="200"/>
              <w:spacing w:after="0"/>
              <w:rPr>
                <w:sz w:val="20"/>
                <w:szCs w:val="20"/>
                <w:color w:val="auto"/>
              </w:rPr>
            </w:pPr>
            <w:r>
              <w:rPr>
                <w:rFonts w:ascii="Arial" w:cs="Arial" w:eastAsia="Arial" w:hAnsi="Arial"/>
                <w:sz w:val="16"/>
                <w:szCs w:val="16"/>
                <w:color w:val="auto"/>
              </w:rPr>
              <w:t>Encouraged to develop processes and disclosures</w:t>
            </w:r>
          </w:p>
        </w:tc>
        <w:tc>
          <w:tcPr>
            <w:tcW w:w="3980" w:type="dxa"/>
            <w:vAlign w:val="bottom"/>
          </w:tcPr>
          <w:p>
            <w:pPr>
              <w:ind w:left="180"/>
              <w:spacing w:after="0"/>
              <w:rPr>
                <w:sz w:val="20"/>
                <w:szCs w:val="20"/>
                <w:color w:val="auto"/>
              </w:rPr>
            </w:pPr>
            <w:r>
              <w:rPr>
                <w:rFonts w:ascii="Arial" w:cs="Arial" w:eastAsia="Arial" w:hAnsi="Arial"/>
                <w:sz w:val="16"/>
                <w:szCs w:val="16"/>
                <w:color w:val="auto"/>
              </w:rPr>
              <w:t>Conducted first internal climate workshop to analyze,</w:t>
            </w:r>
          </w:p>
        </w:tc>
      </w:tr>
      <w:tr>
        <w:trPr>
          <w:trHeight w:val="173"/>
        </w:trPr>
        <w:tc>
          <w:tcPr>
            <w:tcW w:w="4120" w:type="dxa"/>
            <w:vAlign w:val="bottom"/>
          </w:tcPr>
          <w:p>
            <w:pPr>
              <w:ind w:left="200"/>
              <w:spacing w:after="0" w:line="173" w:lineRule="exact"/>
              <w:rPr>
                <w:sz w:val="20"/>
                <w:szCs w:val="20"/>
                <w:color w:val="auto"/>
              </w:rPr>
            </w:pPr>
            <w:r>
              <w:rPr>
                <w:rFonts w:ascii="Arial" w:cs="Arial" w:eastAsia="Arial" w:hAnsi="Arial"/>
                <w:sz w:val="16"/>
                <w:szCs w:val="16"/>
                <w:color w:val="auto"/>
              </w:rPr>
              <w:t>related to climate change.</w:t>
            </w:r>
          </w:p>
        </w:tc>
        <w:tc>
          <w:tcPr>
            <w:tcW w:w="3980" w:type="dxa"/>
            <w:vAlign w:val="bottom"/>
          </w:tcPr>
          <w:p>
            <w:pPr>
              <w:ind w:left="180"/>
              <w:spacing w:after="0" w:line="173" w:lineRule="exact"/>
              <w:rPr>
                <w:sz w:val="20"/>
                <w:szCs w:val="20"/>
                <w:color w:val="auto"/>
              </w:rPr>
            </w:pPr>
            <w:r>
              <w:rPr>
                <w:rFonts w:ascii="Arial" w:cs="Arial" w:eastAsia="Arial" w:hAnsi="Arial"/>
                <w:sz w:val="16"/>
                <w:szCs w:val="16"/>
                <w:color w:val="auto"/>
              </w:rPr>
              <w:t>prepare, and adapt to two-degree scenario planning.</w:t>
            </w:r>
          </w:p>
        </w:tc>
      </w:tr>
      <w:tr>
        <w:trPr>
          <w:trHeight w:val="205"/>
        </w:trPr>
        <w:tc>
          <w:tcPr>
            <w:tcW w:w="4120" w:type="dxa"/>
            <w:vAlign w:val="bottom"/>
          </w:tcPr>
          <w:p>
            <w:pPr>
              <w:spacing w:after="0"/>
              <w:rPr>
                <w:sz w:val="17"/>
                <w:szCs w:val="17"/>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 xml:space="preserve">See Sustainability Report at </w:t>
            </w:r>
            <w:r>
              <w:rPr>
                <w:rFonts w:ascii="Arial" w:cs="Arial" w:eastAsia="Arial" w:hAnsi="Arial"/>
                <w:sz w:val="16"/>
                <w:szCs w:val="16"/>
                <w:i w:val="1"/>
                <w:iCs w:val="1"/>
                <w:color w:val="00A1DF"/>
              </w:rPr>
              <w:t>gmsustainability.com</w:t>
            </w:r>
            <w:r>
              <w:rPr>
                <w:rFonts w:ascii="Arial" w:cs="Arial" w:eastAsia="Arial" w:hAnsi="Arial"/>
                <w:sz w:val="16"/>
                <w:szCs w:val="16"/>
                <w:color w:val="auto"/>
              </w:rPr>
              <w:t xml:space="preserve"> for</w:t>
            </w:r>
          </w:p>
        </w:tc>
      </w:tr>
      <w:tr>
        <w:trPr>
          <w:trHeight w:val="197"/>
        </w:trPr>
        <w:tc>
          <w:tcPr>
            <w:tcW w:w="41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additional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-1789430</wp:posOffset>
            </wp:positionV>
            <wp:extent cx="51479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2420" w:space="700"/>
            <w:col w:w="8100"/>
          </w:cols>
          <w:pgMar w:left="240" w:top="459" w:right="439" w:bottom="1440" w:gutter="0" w:footer="0" w:header="0"/>
          <w:type w:val="continuous"/>
        </w:sectPr>
      </w:pPr>
    </w:p>
    <w:p>
      <w:pPr>
        <w:ind w:left="3320"/>
        <w:spacing w:after="0"/>
        <w:rPr>
          <w:sz w:val="20"/>
          <w:szCs w:val="20"/>
          <w:color w:val="auto"/>
        </w:rPr>
      </w:pPr>
      <w:r>
        <w:rPr>
          <w:rFonts w:ascii="Arial" w:cs="Arial" w:eastAsia="Arial" w:hAnsi="Arial"/>
          <w:sz w:val="16"/>
          <w:szCs w:val="16"/>
          <w:color w:val="auto"/>
        </w:rPr>
        <w:t>Encouraged to include safety and ESG metrics in</w:t>
      </w:r>
    </w:p>
    <w:p>
      <w:pPr>
        <w:spacing w:after="0" w:line="5"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executive compensation decisions.</w:t>
      </w:r>
    </w:p>
    <w:p>
      <w:pPr>
        <w:spacing w:after="0" w:line="20" w:lineRule="exact"/>
        <w:rPr>
          <w:sz w:val="20"/>
          <w:szCs w:val="20"/>
          <w:color w:val="auto"/>
        </w:rPr>
      </w:pPr>
      <w:r>
        <w:rPr>
          <w:sz w:val="20"/>
          <w:szCs w:val="20"/>
          <w:color w:val="auto"/>
        </w:rPr>
        <w:br w:type="column"/>
      </w:r>
    </w:p>
    <w:p>
      <w:pPr>
        <w:ind w:right="240"/>
        <w:spacing w:after="0" w:line="250" w:lineRule="auto"/>
        <w:rPr>
          <w:sz w:val="20"/>
          <w:szCs w:val="20"/>
          <w:color w:val="auto"/>
        </w:rPr>
      </w:pPr>
      <w:r>
        <w:rPr>
          <w:rFonts w:ascii="Arial" w:cs="Arial" w:eastAsia="Arial" w:hAnsi="Arial"/>
          <w:sz w:val="16"/>
          <w:szCs w:val="16"/>
          <w:color w:val="auto"/>
        </w:rPr>
        <w:t>Added safety as a consideration in individual performance for short-term incentive awards to further drive accountability and reinforce or safety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0</wp:posOffset>
            </wp:positionV>
            <wp:extent cx="51479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794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236220</wp:posOffset>
            </wp:positionV>
            <wp:extent cx="5173345" cy="1002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73345" cy="100203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236220</wp:posOffset>
            </wp:positionV>
            <wp:extent cx="5173345" cy="1002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73345" cy="1002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60" w:space="560"/>
            <w:col w:w="3800"/>
          </w:cols>
          <w:pgMar w:left="240" w:top="459" w:right="4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6100"/>
        <w:spacing w:after="0"/>
        <w:rPr>
          <w:sz w:val="20"/>
          <w:szCs w:val="20"/>
          <w:color w:val="auto"/>
        </w:rPr>
      </w:pPr>
      <w:r>
        <w:rPr>
          <w:sz w:val="1"/>
          <w:szCs w:val="1"/>
          <w:color w:val="auto"/>
        </w:rPr>
        <w:drawing>
          <wp:inline distT="0" distB="0" distL="0" distR="0">
            <wp:extent cx="308610" cy="21399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8610" cy="213995"/>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131" w:lineRule="exact"/>
        <w:rPr>
          <w:sz w:val="20"/>
          <w:szCs w:val="20"/>
          <w:color w:val="auto"/>
        </w:rPr>
      </w:pPr>
    </w:p>
    <w:p>
      <w:pPr>
        <w:ind w:left="4600" w:right="920"/>
        <w:spacing w:after="0" w:line="260" w:lineRule="auto"/>
        <w:rPr>
          <w:sz w:val="20"/>
          <w:szCs w:val="20"/>
          <w:color w:val="auto"/>
        </w:rPr>
      </w:pPr>
      <w:r>
        <w:rPr>
          <w:rFonts w:ascii="Arial" w:cs="Arial" w:eastAsia="Arial" w:hAnsi="Arial"/>
          <w:sz w:val="16"/>
          <w:szCs w:val="16"/>
          <w:color w:val="auto"/>
        </w:rPr>
        <w:t xml:space="preserve">Instructions on contacting our Board of Directors are available on our website at </w:t>
      </w:r>
      <w:r>
        <w:rPr>
          <w:rFonts w:ascii="Arial" w:cs="Arial" w:eastAsia="Arial" w:hAnsi="Arial"/>
          <w:sz w:val="16"/>
          <w:szCs w:val="16"/>
          <w:i w:val="1"/>
          <w:iCs w:val="1"/>
          <w:color w:val="00A1DF"/>
        </w:rPr>
        <w:t>investor.gm.com/resources</w:t>
      </w:r>
      <w:r>
        <w:rPr>
          <w:rFonts w:ascii="Arial" w:cs="Arial" w:eastAsia="Arial" w:hAnsi="Arial"/>
          <w:sz w:val="16"/>
          <w:szCs w:val="16"/>
          <w:i w:val="1"/>
          <w:i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9"/>
          <w:szCs w:val="29"/>
          <w:color w:val="00A1DF"/>
        </w:rPr>
        <w:t>Shareholder Protections</w:t>
      </w:r>
    </w:p>
    <w:p>
      <w:pPr>
        <w:spacing w:after="0" w:line="307"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Your Board is committed to governance structures and practices that protect shareholder value and important shareholder rights. Our Governance Committee regularly reviews these structures and practices, which include the following:</w:t>
      </w:r>
    </w:p>
    <w:p>
      <w:pPr>
        <w:sectPr>
          <w:pgSz w:w="11900" w:h="16838" w:orient="portrait"/>
          <w:cols w:equalWidth="0" w:num="1">
            <w:col w:w="11220"/>
          </w:cols>
          <w:pgMar w:left="240" w:top="459" w:right="439" w:bottom="1440" w:gutter="0" w:footer="0" w:header="0"/>
          <w:type w:val="continuous"/>
        </w:sectPr>
      </w:pPr>
    </w:p>
    <w:p>
      <w:pPr>
        <w:spacing w:after="0" w:line="249" w:lineRule="exact"/>
        <w:rPr>
          <w:sz w:val="20"/>
          <w:szCs w:val="20"/>
          <w:color w:val="auto"/>
        </w:rPr>
      </w:pPr>
    </w:p>
    <w:p>
      <w:pPr>
        <w:jc w:val="both"/>
        <w:ind w:left="500" w:hanging="209"/>
        <w:spacing w:after="0" w:line="253" w:lineRule="auto"/>
        <w:tabs>
          <w:tab w:leader="none" w:pos="500"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Supermajority of independent directors serving on the Board, with all standing committees (except the Executive Committee) composed entirely of independent directors;</w:t>
      </w:r>
    </w:p>
    <w:p>
      <w:pPr>
        <w:spacing w:after="0" w:line="106" w:lineRule="exact"/>
        <w:rPr>
          <w:rFonts w:ascii="Arial" w:cs="Arial" w:eastAsia="Arial" w:hAnsi="Arial"/>
          <w:sz w:val="16"/>
          <w:szCs w:val="16"/>
          <w:color w:val="00A1DF"/>
        </w:rPr>
      </w:pPr>
    </w:p>
    <w:p>
      <w:pPr>
        <w:ind w:left="500" w:hanging="209"/>
        <w:spacing w:after="0"/>
        <w:tabs>
          <w:tab w:leader="none" w:pos="500"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Annual election of all directors;</w:t>
      </w:r>
    </w:p>
    <w:p>
      <w:pPr>
        <w:spacing w:after="0" w:line="139" w:lineRule="exact"/>
        <w:rPr>
          <w:rFonts w:ascii="Arial" w:cs="Arial" w:eastAsia="Arial" w:hAnsi="Arial"/>
          <w:sz w:val="16"/>
          <w:szCs w:val="16"/>
          <w:color w:val="00A1DF"/>
        </w:rPr>
      </w:pPr>
    </w:p>
    <w:p>
      <w:pPr>
        <w:ind w:left="500" w:hanging="209"/>
        <w:spacing w:after="0" w:line="260" w:lineRule="auto"/>
        <w:tabs>
          <w:tab w:leader="none" w:pos="500"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Annual election by non-employee directors of Chairman and, if Chairman is CEO, Independent Lead Director;</w:t>
      </w:r>
    </w:p>
    <w:p>
      <w:pPr>
        <w:spacing w:after="0" w:line="100" w:lineRule="exact"/>
        <w:rPr>
          <w:rFonts w:ascii="Arial" w:cs="Arial" w:eastAsia="Arial" w:hAnsi="Arial"/>
          <w:sz w:val="16"/>
          <w:szCs w:val="16"/>
          <w:color w:val="00A1DF"/>
        </w:rPr>
      </w:pPr>
    </w:p>
    <w:p>
      <w:pPr>
        <w:ind w:left="500" w:hanging="209"/>
        <w:spacing w:after="0" w:line="260" w:lineRule="auto"/>
        <w:tabs>
          <w:tab w:leader="none" w:pos="500"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Oversight of code of business conduct and ethics, “Winning with Integrity;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95" w:hanging="195"/>
        <w:spacing w:after="0"/>
        <w:tabs>
          <w:tab w:leader="none" w:pos="195"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One-share, one-vote standard;</w:t>
      </w:r>
    </w:p>
    <w:p>
      <w:pPr>
        <w:spacing w:after="0" w:line="139" w:lineRule="exact"/>
        <w:rPr>
          <w:rFonts w:ascii="Arial" w:cs="Arial" w:eastAsia="Arial" w:hAnsi="Arial"/>
          <w:sz w:val="16"/>
          <w:szCs w:val="16"/>
          <w:color w:val="00A1DF"/>
        </w:rPr>
      </w:pPr>
    </w:p>
    <w:p>
      <w:pPr>
        <w:jc w:val="both"/>
        <w:ind w:left="195" w:right="20" w:hanging="195"/>
        <w:spacing w:after="0" w:line="253" w:lineRule="auto"/>
        <w:tabs>
          <w:tab w:leader="none" w:pos="195"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Majority voting standard for the election of directors in uncontested elections (plurality voting standard in contested elections), coupled with a director resignation policy;</w:t>
      </w:r>
    </w:p>
    <w:p>
      <w:pPr>
        <w:spacing w:after="0" w:line="106" w:lineRule="exact"/>
        <w:rPr>
          <w:rFonts w:ascii="Arial" w:cs="Arial" w:eastAsia="Arial" w:hAnsi="Arial"/>
          <w:sz w:val="16"/>
          <w:szCs w:val="16"/>
          <w:color w:val="00A1DF"/>
        </w:rPr>
      </w:pPr>
    </w:p>
    <w:p>
      <w:pPr>
        <w:ind w:left="195" w:hanging="195"/>
        <w:spacing w:after="0"/>
        <w:tabs>
          <w:tab w:leader="none" w:pos="195"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Shareholder right to call for a special meeting;</w:t>
      </w:r>
    </w:p>
    <w:p>
      <w:pPr>
        <w:spacing w:after="0" w:line="139" w:lineRule="exact"/>
        <w:rPr>
          <w:rFonts w:ascii="Arial" w:cs="Arial" w:eastAsia="Arial" w:hAnsi="Arial"/>
          <w:sz w:val="16"/>
          <w:szCs w:val="16"/>
          <w:color w:val="00A1DF"/>
        </w:rPr>
      </w:pPr>
    </w:p>
    <w:p>
      <w:pPr>
        <w:jc w:val="both"/>
        <w:ind w:left="195" w:right="20" w:hanging="195"/>
        <w:spacing w:after="0" w:line="253" w:lineRule="auto"/>
        <w:tabs>
          <w:tab w:leader="none" w:pos="195"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Proxy access permitting a shareholder, or a group of up to 20 shareholders owning at least 3% of the Company’s outstanding voting shares continuously for at least three years, to nominate</w:t>
      </w:r>
    </w:p>
    <w:p>
      <w:pPr>
        <w:spacing w:after="0" w:line="200" w:lineRule="exact"/>
        <w:rPr>
          <w:sz w:val="20"/>
          <w:szCs w:val="20"/>
          <w:color w:val="auto"/>
        </w:rPr>
      </w:pPr>
    </w:p>
    <w:p>
      <w:pPr>
        <w:sectPr>
          <w:pgSz w:w="11900" w:h="16838" w:orient="portrait"/>
          <w:cols w:equalWidth="0" w:num="2">
            <w:col w:w="5480" w:space="425"/>
            <w:col w:w="5315"/>
          </w:cols>
          <w:pgMar w:left="240" w:top="459" w:right="439" w:bottom="1440" w:gutter="0" w:footer="0" w:header="0"/>
          <w:type w:val="continuous"/>
        </w:sectPr>
      </w:pPr>
    </w:p>
    <w:p>
      <w:pPr>
        <w:spacing w:after="0" w:line="41"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32 </w:t>
      </w:r>
      <w:r>
        <w:rPr>
          <w:sz w:val="1"/>
          <w:szCs w:val="1"/>
          <w:color w:val="auto"/>
        </w:rPr>
        <w:drawing>
          <wp:inline distT="0" distB="0" distL="0" distR="0">
            <wp:extent cx="6852920" cy="14541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520" w:type="dxa"/>
            <w:vAlign w:val="bottom"/>
            <w:tcBorders>
              <w:bottom w:val="single" w:sz="8" w:color="00A1DF"/>
            </w:tcBorders>
          </w:tcPr>
          <w:p>
            <w:pPr>
              <w:spacing w:after="0"/>
              <w:rPr>
                <w:sz w:val="15"/>
                <w:szCs w:val="15"/>
                <w:color w:val="auto"/>
              </w:rPr>
            </w:pPr>
          </w:p>
        </w:tc>
        <w:tc>
          <w:tcPr>
            <w:tcW w:w="400" w:type="dxa"/>
            <w:vAlign w:val="bottom"/>
            <w:tcBorders>
              <w:bottom w:val="single" w:sz="8" w:color="00A1DF"/>
            </w:tcBorders>
          </w:tcPr>
          <w:p>
            <w:pPr>
              <w:spacing w:after="0"/>
              <w:rPr>
                <w:sz w:val="15"/>
                <w:szCs w:val="15"/>
                <w:color w:val="auto"/>
              </w:rPr>
            </w:pPr>
          </w:p>
        </w:tc>
        <w:tc>
          <w:tcPr>
            <w:tcW w:w="5080" w:type="dxa"/>
            <w:vAlign w:val="bottom"/>
            <w:tcBorders>
              <w:bottom w:val="single" w:sz="8" w:color="00A1DF"/>
            </w:tcBorders>
          </w:tcPr>
          <w:p>
            <w:pPr>
              <w:ind w:left="3100"/>
              <w:spacing w:after="0"/>
              <w:rPr>
                <w:sz w:val="20"/>
                <w:szCs w:val="20"/>
                <w:color w:val="auto"/>
              </w:rPr>
            </w:pPr>
            <w:r>
              <w:rPr>
                <w:rFonts w:ascii="Arial" w:cs="Arial" w:eastAsia="Arial" w:hAnsi="Arial"/>
                <w:sz w:val="14"/>
                <w:szCs w:val="14"/>
                <w:b w:val="1"/>
                <w:bCs w:val="1"/>
                <w:color w:val="0033A0"/>
              </w:rPr>
              <w:t>CORPORATE GOVERNANCE</w:t>
            </w:r>
          </w:p>
        </w:tc>
        <w:tc>
          <w:tcPr>
            <w:tcW w:w="0" w:type="dxa"/>
            <w:vAlign w:val="bottom"/>
          </w:tcPr>
          <w:p>
            <w:pPr>
              <w:spacing w:after="0"/>
              <w:rPr>
                <w:sz w:val="1"/>
                <w:szCs w:val="1"/>
                <w:color w:val="auto"/>
              </w:rPr>
            </w:pPr>
          </w:p>
        </w:tc>
      </w:tr>
      <w:tr>
        <w:trPr>
          <w:trHeight w:val="427"/>
        </w:trPr>
        <w:tc>
          <w:tcPr>
            <w:tcW w:w="5520" w:type="dxa"/>
            <w:vAlign w:val="bottom"/>
          </w:tcPr>
          <w:p>
            <w:pPr>
              <w:ind w:left="320"/>
              <w:spacing w:after="0"/>
              <w:rPr>
                <w:sz w:val="20"/>
                <w:szCs w:val="20"/>
                <w:color w:val="auto"/>
              </w:rPr>
            </w:pPr>
            <w:r>
              <w:rPr>
                <w:rFonts w:ascii="Arial" w:cs="Arial" w:eastAsia="Arial" w:hAnsi="Arial"/>
                <w:sz w:val="16"/>
                <w:szCs w:val="16"/>
                <w:color w:val="auto"/>
              </w:rPr>
              <w:t>and include in the Company’s proxy materials director nominees (two</w:t>
            </w:r>
          </w:p>
        </w:tc>
        <w:tc>
          <w:tcPr>
            <w:tcW w:w="400" w:type="dxa"/>
            <w:vAlign w:val="bottom"/>
          </w:tcPr>
          <w:p>
            <w:pPr>
              <w:ind w:left="260"/>
              <w:spacing w:after="0"/>
              <w:rPr>
                <w:sz w:val="20"/>
                <w:szCs w:val="20"/>
                <w:color w:val="auto"/>
              </w:rPr>
            </w:pPr>
            <w:r>
              <w:rPr>
                <w:rFonts w:ascii="Arial" w:cs="Arial" w:eastAsia="Arial" w:hAnsi="Arial"/>
                <w:sz w:val="16"/>
                <w:szCs w:val="16"/>
                <w:color w:val="00A1DF"/>
              </w:rPr>
              <w:t>u</w:t>
            </w:r>
          </w:p>
        </w:tc>
        <w:tc>
          <w:tcPr>
            <w:tcW w:w="5080" w:type="dxa"/>
            <w:vAlign w:val="bottom"/>
          </w:tcPr>
          <w:p>
            <w:pPr>
              <w:ind w:left="60"/>
              <w:spacing w:after="0"/>
              <w:rPr>
                <w:sz w:val="20"/>
                <w:szCs w:val="20"/>
                <w:color w:val="auto"/>
              </w:rPr>
            </w:pPr>
            <w:r>
              <w:rPr>
                <w:rFonts w:ascii="Arial" w:cs="Arial" w:eastAsia="Arial" w:hAnsi="Arial"/>
                <w:sz w:val="16"/>
                <w:szCs w:val="16"/>
                <w:color w:val="auto"/>
              </w:rPr>
              <w:t>Oversight of political contributions and lobbying;</w:t>
            </w:r>
          </w:p>
        </w:tc>
        <w:tc>
          <w:tcPr>
            <w:tcW w:w="0" w:type="dxa"/>
            <w:vAlign w:val="bottom"/>
          </w:tcPr>
          <w:p>
            <w:pPr>
              <w:spacing w:after="0"/>
              <w:rPr>
                <w:sz w:val="1"/>
                <w:szCs w:val="1"/>
                <w:color w:val="auto"/>
              </w:rPr>
            </w:pPr>
          </w:p>
        </w:tc>
      </w:tr>
      <w:tr>
        <w:trPr>
          <w:trHeight w:val="194"/>
        </w:trPr>
        <w:tc>
          <w:tcPr>
            <w:tcW w:w="5520" w:type="dxa"/>
            <w:vAlign w:val="bottom"/>
          </w:tcPr>
          <w:p>
            <w:pPr>
              <w:ind w:left="320"/>
              <w:spacing w:after="0"/>
              <w:rPr>
                <w:sz w:val="20"/>
                <w:szCs w:val="20"/>
                <w:color w:val="auto"/>
              </w:rPr>
            </w:pPr>
            <w:r>
              <w:rPr>
                <w:rFonts w:ascii="Arial" w:cs="Arial" w:eastAsia="Arial" w:hAnsi="Arial"/>
                <w:sz w:val="16"/>
                <w:szCs w:val="16"/>
                <w:color w:val="auto"/>
              </w:rPr>
              <w:t>individuals or 20% of the Board, whichever is greater);</w:t>
            </w:r>
          </w:p>
        </w:tc>
        <w:tc>
          <w:tcPr>
            <w:tcW w:w="400" w:type="dxa"/>
            <w:vAlign w:val="bottom"/>
            <w:vMerge w:val="restart"/>
          </w:tcPr>
          <w:p>
            <w:pPr>
              <w:ind w:left="260"/>
              <w:spacing w:after="0"/>
              <w:rPr>
                <w:sz w:val="20"/>
                <w:szCs w:val="20"/>
                <w:color w:val="auto"/>
              </w:rPr>
            </w:pPr>
            <w:r>
              <w:rPr>
                <w:rFonts w:ascii="Arial" w:cs="Arial" w:eastAsia="Arial" w:hAnsi="Arial"/>
                <w:sz w:val="16"/>
                <w:szCs w:val="16"/>
                <w:color w:val="00A1DF"/>
              </w:rPr>
              <w:t>u</w:t>
            </w:r>
          </w:p>
        </w:tc>
        <w:tc>
          <w:tcPr>
            <w:tcW w:w="5080" w:type="dxa"/>
            <w:vAlign w:val="bottom"/>
            <w:vMerge w:val="restart"/>
          </w:tcPr>
          <w:p>
            <w:pPr>
              <w:ind w:left="60"/>
              <w:spacing w:after="0"/>
              <w:rPr>
                <w:sz w:val="20"/>
                <w:szCs w:val="20"/>
                <w:color w:val="auto"/>
              </w:rPr>
            </w:pPr>
            <w:r>
              <w:rPr>
                <w:rFonts w:ascii="Arial" w:cs="Arial" w:eastAsia="Arial" w:hAnsi="Arial"/>
                <w:sz w:val="16"/>
                <w:szCs w:val="16"/>
                <w:color w:val="auto"/>
              </w:rPr>
              <w:t>Executive sessions without management present; and</w:t>
            </w:r>
          </w:p>
        </w:tc>
        <w:tc>
          <w:tcPr>
            <w:tcW w:w="0" w:type="dxa"/>
            <w:vAlign w:val="bottom"/>
          </w:tcPr>
          <w:p>
            <w:pPr>
              <w:spacing w:after="0"/>
              <w:rPr>
                <w:sz w:val="1"/>
                <w:szCs w:val="1"/>
                <w:color w:val="auto"/>
              </w:rPr>
            </w:pPr>
          </w:p>
        </w:tc>
      </w:tr>
      <w:tr>
        <w:trPr>
          <w:trHeight w:val="116"/>
        </w:trPr>
        <w:tc>
          <w:tcPr>
            <w:tcW w:w="55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380"/>
        <w:spacing w:after="0" w:line="1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No poison pill or dual-class shares;</w:t>
      </w:r>
    </w:p>
    <w:p>
      <w:pPr>
        <w:ind w:left="60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Director-Shareholder Engagement Policy that contemplates proactive</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and productive engagement with shareholders.</w:t>
      </w: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Corporate Political Contributions and Lobbying Expenditures</w:t>
      </w:r>
    </w:p>
    <w:p>
      <w:pPr>
        <w:spacing w:after="0" w:line="18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We participate in the political process to help shape public policy and address legislation that impacts GM, our industry, and our shareholders. GM has a history of supporting and will continue to support public policies that work to drive or are necessary to further the achievement of our long-term, sustainable growth. To guide our activities, the Board has adopted a U.S. Corporate Political Contributions and Expenditures Policy (“Political Contributions Policy”). The Political Contributions Policy and the other policies and procedures of the Company guide GM’s approach to political contributions.</w:t>
      </w:r>
    </w:p>
    <w:p>
      <w:pPr>
        <w:spacing w:after="0" w:line="286"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In addition, as specified in its charter, the Governance Committee oversees this policy and annually reviews the Company’s engagement in the public policy process. The Governance Committee also annually reviews all corporate political contributions, reviews GM Political Action Committee (“GM PAC”) contributions and expenditures (which are funded entirely by voluntary employee contributions) and the process by which they are made, and receives multiple updates each year regarding the Company’s lobbying expenditures.</w:t>
      </w:r>
    </w:p>
    <w:p>
      <w:pPr>
        <w:spacing w:after="0" w:line="97"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The Board also receives a monthly report on the most pressing public policy issues. It uses this report to continuously assess which issues are important to the Company’s long-term interests and which organizations the Company is working with to advance those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122555</wp:posOffset>
            </wp:positionV>
            <wp:extent cx="6989445" cy="1053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9445" cy="1053465"/>
                    </a:xfrm>
                    <a:prstGeom prst="rect">
                      <a:avLst/>
                    </a:prstGeom>
                    <a:noFill/>
                  </pic:spPr>
                </pic:pic>
              </a:graphicData>
            </a:graphic>
          </wp:anchor>
        </w:drawing>
      </w:r>
    </w:p>
    <w:p>
      <w:pPr>
        <w:spacing w:after="0" w:line="344" w:lineRule="exact"/>
        <w:rPr>
          <w:sz w:val="20"/>
          <w:szCs w:val="20"/>
          <w:color w:val="auto"/>
        </w:rPr>
      </w:pPr>
    </w:p>
    <w:p>
      <w:pPr>
        <w:ind w:left="440" w:right="340"/>
        <w:spacing w:after="0" w:line="286" w:lineRule="auto"/>
        <w:rPr>
          <w:sz w:val="20"/>
          <w:szCs w:val="20"/>
          <w:color w:val="auto"/>
        </w:rPr>
      </w:pPr>
      <w:r>
        <w:rPr>
          <w:rFonts w:ascii="Arial" w:cs="Arial" w:eastAsia="Arial" w:hAnsi="Arial"/>
          <w:sz w:val="16"/>
          <w:szCs w:val="16"/>
          <w:b w:val="1"/>
          <w:bCs w:val="1"/>
          <w:color w:val="0033A0"/>
        </w:rPr>
        <w:t xml:space="preserve">In keeping with our goal of transparency, our Political Contributions Policy and annual voluntary report of U.S. political contributions (the “Report”) are available on our website at </w:t>
      </w:r>
      <w:r>
        <w:rPr>
          <w:rFonts w:ascii="Arial" w:cs="Arial" w:eastAsia="Arial" w:hAnsi="Arial"/>
          <w:sz w:val="16"/>
          <w:szCs w:val="16"/>
          <w:b w:val="1"/>
          <w:bCs w:val="1"/>
          <w:color w:val="00A1DF"/>
        </w:rPr>
        <w:t>investor.gm.com/resources.</w:t>
      </w:r>
    </w:p>
    <w:p>
      <w:pPr>
        <w:spacing w:after="0" w:line="175" w:lineRule="exact"/>
        <w:rPr>
          <w:sz w:val="20"/>
          <w:szCs w:val="20"/>
          <w:color w:val="auto"/>
        </w:rPr>
      </w:pPr>
    </w:p>
    <w:p>
      <w:pPr>
        <w:jc w:val="both"/>
        <w:ind w:left="440" w:right="240"/>
        <w:spacing w:after="0" w:line="250" w:lineRule="auto"/>
        <w:rPr>
          <w:sz w:val="20"/>
          <w:szCs w:val="20"/>
          <w:color w:val="auto"/>
        </w:rPr>
      </w:pPr>
      <w:r>
        <w:rPr>
          <w:rFonts w:ascii="Arial" w:cs="Arial" w:eastAsia="Arial" w:hAnsi="Arial"/>
          <w:sz w:val="16"/>
          <w:szCs w:val="16"/>
          <w:color w:val="auto"/>
        </w:rPr>
        <w:t>The Report includes information about contributions to political organizations known as “section 527 organizations”; corporate contributions to individual candidates for state and local office; portions of dues or similar payments to trade associations and social welfare organizations to the extent the dues or other payments equal or exceed $50,000 and are attributable to political purposes; and links to the GM quarterly and semi-annual reports required by the Lobbying Disclosure Act.</w:t>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9"/>
          <w:szCs w:val="29"/>
          <w:color w:val="00A1DF"/>
        </w:rPr>
        <w:t>Certain Relationships and Related Party Transactions</w:t>
      </w:r>
    </w:p>
    <w:p>
      <w:pPr>
        <w:spacing w:after="0" w:line="18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Our code of business conduct and ethics, “Winning with Integrity,” requires all of our employees and directors to avoid any activity that is in conflict with our business interests. In addition, your Board has adopted a written policy regarding the review and approval or ratification of “related party transactions.” Under the Related Party Transactions Policy, which is administered by our Governance Committee, directors and executive officers must report any potential related party transactions (including transactions involving immediate family members of directors and executive officers) to the General Counsel or Corporate Secretary to determine whether the transaction constitutes a related party transaction.</w:t>
      </w:r>
    </w:p>
    <w:p>
      <w:pPr>
        <w:spacing w:after="0" w:line="98"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For purposes of our Related Party Transactions Policy, a related party transaction includes transactions in which our Company is a participant, the amount involved exceeds $120,000, and a “related party” has or will have a direct or an indirect material interest. Related parties of our Company consist of directors (including nominees for election as directors), executive officers, shareholders beneficially owning more than 5% of the Company’s voting securities, and the immediate family members of these individuals.</w:t>
      </w:r>
    </w:p>
    <w:p>
      <w:pPr>
        <w:spacing w:after="0" w:line="97"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Once a related party transaction has been identified, the Governance Committee will review all of the relevant facts and circumstances and approve or disapprove entry into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127000</wp:posOffset>
            </wp:positionV>
            <wp:extent cx="3169285" cy="10102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69285" cy="101028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sz w:val="1"/>
          <w:szCs w:val="1"/>
          <w:color w:val="auto"/>
        </w:rPr>
        <w:drawing>
          <wp:inline distT="0" distB="0" distL="0" distR="0">
            <wp:extent cx="308610" cy="21399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8610" cy="213995"/>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131"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Our Related Party Transactions Policy is available on</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 xml:space="preserve">our website at </w:t>
      </w:r>
      <w:r>
        <w:rPr>
          <w:rFonts w:ascii="Arial" w:cs="Arial" w:eastAsia="Arial" w:hAnsi="Arial"/>
          <w:sz w:val="16"/>
          <w:szCs w:val="16"/>
          <w:i w:val="1"/>
          <w:iCs w:val="1"/>
          <w:color w:val="00A1DF"/>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310515</wp:posOffset>
            </wp:positionV>
            <wp:extent cx="6758305" cy="128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33</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hanging="430"/>
        <w:spacing w:after="0"/>
        <w:tabs>
          <w:tab w:leader="none" w:pos="640" w:val="left"/>
        </w:tabs>
        <w:numPr>
          <w:ilvl w:val="0"/>
          <w:numId w:val="44"/>
        </w:numPr>
        <w:rPr>
          <w:rFonts w:ascii="Arial" w:cs="Arial" w:eastAsia="Arial" w:hAnsi="Arial"/>
          <w:sz w:val="25"/>
          <w:szCs w:val="25"/>
          <w:color w:val="0033A0"/>
        </w:rPr>
      </w:pPr>
      <w:r>
        <w:rPr>
          <w:rFonts w:ascii="Arial" w:cs="Arial" w:eastAsia="Arial" w:hAnsi="Arial"/>
          <w:sz w:val="25"/>
          <w:szCs w:val="25"/>
          <w:color w:val="auto"/>
        </w:rPr>
        <w:t>Factors Used in Assessing Related Party Transactions</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85"/>
        </w:trPr>
        <w:tc>
          <w:tcPr>
            <w:tcW w:w="5480" w:type="dxa"/>
            <w:vAlign w:val="bottom"/>
            <w:shd w:val="clear" w:color="auto" w:fill="E5F5FB"/>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terms of the related party transaction are fair to the</w:t>
            </w:r>
          </w:p>
        </w:tc>
        <w:tc>
          <w:tcPr>
            <w:tcW w:w="5520" w:type="dxa"/>
            <w:vAlign w:val="bottom"/>
            <w:shd w:val="clear" w:color="auto" w:fill="E5F5FB"/>
          </w:tcPr>
          <w:p>
            <w:pPr>
              <w:ind w:left="2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Company  was  notified  about  the  related  party</w:t>
            </w:r>
          </w:p>
        </w:tc>
        <w:tc>
          <w:tcPr>
            <w:tcW w:w="0" w:type="dxa"/>
            <w:vAlign w:val="bottom"/>
          </w:tcPr>
          <w:p>
            <w:pPr>
              <w:spacing w:after="0"/>
              <w:rPr>
                <w:sz w:val="1"/>
                <w:szCs w:val="1"/>
                <w:color w:val="auto"/>
              </w:rPr>
            </w:pPr>
          </w:p>
        </w:tc>
      </w:tr>
      <w:tr>
        <w:trPr>
          <w:trHeight w:val="189"/>
        </w:trPr>
        <w:tc>
          <w:tcPr>
            <w:tcW w:w="5480" w:type="dxa"/>
            <w:vAlign w:val="bottom"/>
            <w:shd w:val="clear" w:color="auto" w:fill="E5F5FB"/>
          </w:tcPr>
          <w:p>
            <w:pPr>
              <w:ind w:left="280"/>
              <w:spacing w:after="0"/>
              <w:rPr>
                <w:sz w:val="20"/>
                <w:szCs w:val="20"/>
                <w:color w:val="auto"/>
              </w:rPr>
            </w:pPr>
            <w:r>
              <w:rPr>
                <w:rFonts w:ascii="Arial" w:cs="Arial" w:eastAsia="Arial" w:hAnsi="Arial"/>
                <w:sz w:val="16"/>
                <w:szCs w:val="16"/>
                <w:color w:val="auto"/>
              </w:rPr>
              <w:t>Company and on the same basis as if the transaction had occurred</w:t>
            </w:r>
          </w:p>
        </w:tc>
        <w:tc>
          <w:tcPr>
            <w:tcW w:w="5520" w:type="dxa"/>
            <w:vAlign w:val="bottom"/>
            <w:shd w:val="clear" w:color="auto" w:fill="E5F5FB"/>
          </w:tcPr>
          <w:p>
            <w:pPr>
              <w:ind w:left="400"/>
              <w:spacing w:after="0"/>
              <w:rPr>
                <w:sz w:val="20"/>
                <w:szCs w:val="20"/>
                <w:color w:val="auto"/>
              </w:rPr>
            </w:pPr>
            <w:r>
              <w:rPr>
                <w:rFonts w:ascii="Arial" w:cs="Arial" w:eastAsia="Arial" w:hAnsi="Arial"/>
                <w:sz w:val="16"/>
                <w:szCs w:val="16"/>
                <w:color w:val="auto"/>
              </w:rPr>
              <w:t>transaction before its commencement, and if not, why preapproval</w:t>
            </w:r>
          </w:p>
        </w:tc>
        <w:tc>
          <w:tcPr>
            <w:tcW w:w="0" w:type="dxa"/>
            <w:vAlign w:val="bottom"/>
          </w:tcPr>
          <w:p>
            <w:pPr>
              <w:spacing w:after="0"/>
              <w:rPr>
                <w:sz w:val="1"/>
                <w:szCs w:val="1"/>
                <w:color w:val="auto"/>
              </w:rPr>
            </w:pPr>
          </w:p>
        </w:tc>
      </w:tr>
      <w:tr>
        <w:trPr>
          <w:trHeight w:val="189"/>
        </w:trPr>
        <w:tc>
          <w:tcPr>
            <w:tcW w:w="5480" w:type="dxa"/>
            <w:vAlign w:val="bottom"/>
            <w:shd w:val="clear" w:color="auto" w:fill="E5F5FB"/>
          </w:tcPr>
          <w:p>
            <w:pPr>
              <w:ind w:left="280"/>
              <w:spacing w:after="0"/>
              <w:rPr>
                <w:sz w:val="20"/>
                <w:szCs w:val="20"/>
                <w:color w:val="auto"/>
              </w:rPr>
            </w:pPr>
            <w:r>
              <w:rPr>
                <w:rFonts w:ascii="Arial" w:cs="Arial" w:eastAsia="Arial" w:hAnsi="Arial"/>
                <w:sz w:val="16"/>
                <w:szCs w:val="16"/>
                <w:color w:val="auto"/>
              </w:rPr>
              <w:t>on an arms-length basis;</w:t>
            </w:r>
          </w:p>
        </w:tc>
        <w:tc>
          <w:tcPr>
            <w:tcW w:w="5520" w:type="dxa"/>
            <w:vAlign w:val="bottom"/>
            <w:shd w:val="clear" w:color="auto" w:fill="E5F5FB"/>
          </w:tcPr>
          <w:p>
            <w:pPr>
              <w:ind w:left="400"/>
              <w:spacing w:after="0"/>
              <w:rPr>
                <w:sz w:val="20"/>
                <w:szCs w:val="20"/>
                <w:color w:val="auto"/>
              </w:rPr>
            </w:pPr>
            <w:r>
              <w:rPr>
                <w:rFonts w:ascii="Arial" w:cs="Arial" w:eastAsia="Arial" w:hAnsi="Arial"/>
                <w:sz w:val="16"/>
                <w:szCs w:val="16"/>
                <w:color w:val="auto"/>
              </w:rPr>
              <w:t>was  not  sought  and  whether  subsequent  ratification  would  be</w:t>
            </w:r>
          </w:p>
        </w:tc>
        <w:tc>
          <w:tcPr>
            <w:tcW w:w="0" w:type="dxa"/>
            <w:vAlign w:val="bottom"/>
          </w:tcPr>
          <w:p>
            <w:pPr>
              <w:spacing w:after="0"/>
              <w:rPr>
                <w:sz w:val="1"/>
                <w:szCs w:val="1"/>
                <w:color w:val="auto"/>
              </w:rPr>
            </w:pPr>
          </w:p>
        </w:tc>
      </w:tr>
      <w:tr>
        <w:trPr>
          <w:trHeight w:val="194"/>
        </w:trPr>
        <w:tc>
          <w:tcPr>
            <w:tcW w:w="5480" w:type="dxa"/>
            <w:vAlign w:val="bottom"/>
            <w:vMerge w:val="restart"/>
            <w:shd w:val="clear" w:color="auto" w:fill="E5F5FB"/>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there are any compelling business reasons for the Company</w:t>
            </w:r>
          </w:p>
        </w:tc>
        <w:tc>
          <w:tcPr>
            <w:tcW w:w="5520" w:type="dxa"/>
            <w:vAlign w:val="bottom"/>
            <w:shd w:val="clear" w:color="auto" w:fill="E5F5FB"/>
          </w:tcPr>
          <w:p>
            <w:pPr>
              <w:ind w:left="400"/>
              <w:spacing w:after="0"/>
              <w:rPr>
                <w:sz w:val="20"/>
                <w:szCs w:val="20"/>
                <w:color w:val="auto"/>
              </w:rPr>
            </w:pPr>
            <w:r>
              <w:rPr>
                <w:rFonts w:ascii="Arial" w:cs="Arial" w:eastAsia="Arial" w:hAnsi="Arial"/>
                <w:sz w:val="16"/>
                <w:szCs w:val="16"/>
                <w:color w:val="auto"/>
              </w:rPr>
              <w:t>detrimental to the Company; and</w:t>
            </w:r>
          </w:p>
        </w:tc>
        <w:tc>
          <w:tcPr>
            <w:tcW w:w="0" w:type="dxa"/>
            <w:vAlign w:val="bottom"/>
          </w:tcPr>
          <w:p>
            <w:pPr>
              <w:spacing w:after="0"/>
              <w:rPr>
                <w:sz w:val="1"/>
                <w:szCs w:val="1"/>
                <w:color w:val="auto"/>
              </w:rPr>
            </w:pPr>
          </w:p>
        </w:tc>
      </w:tr>
      <w:tr>
        <w:trPr>
          <w:trHeight w:val="116"/>
        </w:trPr>
        <w:tc>
          <w:tcPr>
            <w:tcW w:w="5480" w:type="dxa"/>
            <w:vAlign w:val="bottom"/>
            <w:vMerge w:val="continue"/>
            <w:shd w:val="clear" w:color="auto" w:fill="E5F5FB"/>
          </w:tcPr>
          <w:p>
            <w:pPr>
              <w:spacing w:after="0"/>
              <w:rPr>
                <w:sz w:val="10"/>
                <w:szCs w:val="10"/>
                <w:color w:val="auto"/>
              </w:rPr>
            </w:pPr>
          </w:p>
        </w:tc>
        <w:tc>
          <w:tcPr>
            <w:tcW w:w="5520" w:type="dxa"/>
            <w:vAlign w:val="bottom"/>
            <w:vMerge w:val="restart"/>
            <w:shd w:val="clear" w:color="auto" w:fill="E5F5FB"/>
          </w:tcPr>
          <w:p>
            <w:pPr>
              <w:ind w:left="2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related party transaction would present an improper</w:t>
            </w:r>
          </w:p>
        </w:tc>
        <w:tc>
          <w:tcPr>
            <w:tcW w:w="0" w:type="dxa"/>
            <w:vAlign w:val="bottom"/>
          </w:tcPr>
          <w:p>
            <w:pPr>
              <w:spacing w:after="0"/>
              <w:rPr>
                <w:sz w:val="1"/>
                <w:szCs w:val="1"/>
                <w:color w:val="auto"/>
              </w:rPr>
            </w:pPr>
          </w:p>
        </w:tc>
      </w:tr>
      <w:tr>
        <w:trPr>
          <w:trHeight w:val="189"/>
        </w:trPr>
        <w:tc>
          <w:tcPr>
            <w:tcW w:w="5480" w:type="dxa"/>
            <w:vAlign w:val="bottom"/>
            <w:shd w:val="clear" w:color="auto" w:fill="E5F5FB"/>
          </w:tcPr>
          <w:p>
            <w:pPr>
              <w:ind w:left="280"/>
              <w:spacing w:after="0"/>
              <w:rPr>
                <w:sz w:val="20"/>
                <w:szCs w:val="20"/>
                <w:color w:val="auto"/>
              </w:rPr>
            </w:pPr>
            <w:r>
              <w:rPr>
                <w:rFonts w:ascii="Arial" w:cs="Arial" w:eastAsia="Arial" w:hAnsi="Arial"/>
                <w:sz w:val="16"/>
                <w:szCs w:val="16"/>
                <w:color w:val="auto"/>
              </w:rPr>
              <w:t>to enter into the related party transaction and the nature of alternative</w:t>
            </w:r>
          </w:p>
        </w:tc>
        <w:tc>
          <w:tcPr>
            <w:tcW w:w="5520" w:type="dxa"/>
            <w:vAlign w:val="bottom"/>
            <w:vMerge w:val="continue"/>
            <w:shd w:val="clear" w:color="auto" w:fill="E5F5F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E5F5FB"/>
          </w:tcPr>
          <w:p>
            <w:pPr>
              <w:ind w:left="280"/>
              <w:spacing w:after="0"/>
              <w:rPr>
                <w:sz w:val="20"/>
                <w:szCs w:val="20"/>
                <w:color w:val="auto"/>
              </w:rPr>
            </w:pPr>
            <w:r>
              <w:rPr>
                <w:rFonts w:ascii="Arial" w:cs="Arial" w:eastAsia="Arial" w:hAnsi="Arial"/>
                <w:sz w:val="16"/>
                <w:szCs w:val="16"/>
                <w:color w:val="auto"/>
              </w:rPr>
              <w:t>transactions, if any;</w:t>
            </w:r>
          </w:p>
        </w:tc>
        <w:tc>
          <w:tcPr>
            <w:tcW w:w="5520" w:type="dxa"/>
            <w:vAlign w:val="bottom"/>
            <w:shd w:val="clear" w:color="auto" w:fill="E5F5FB"/>
          </w:tcPr>
          <w:p>
            <w:pPr>
              <w:ind w:left="400"/>
              <w:spacing w:after="0"/>
              <w:rPr>
                <w:sz w:val="20"/>
                <w:szCs w:val="20"/>
                <w:color w:val="auto"/>
              </w:rPr>
            </w:pPr>
            <w:r>
              <w:rPr>
                <w:rFonts w:ascii="Arial" w:cs="Arial" w:eastAsia="Arial" w:hAnsi="Arial"/>
                <w:sz w:val="16"/>
                <w:szCs w:val="16"/>
                <w:color w:val="auto"/>
              </w:rPr>
              <w:t>conflict of interest for any director or executive officer of the Company,</w:t>
            </w:r>
          </w:p>
        </w:tc>
        <w:tc>
          <w:tcPr>
            <w:tcW w:w="0" w:type="dxa"/>
            <w:vAlign w:val="bottom"/>
          </w:tcPr>
          <w:p>
            <w:pPr>
              <w:spacing w:after="0"/>
              <w:rPr>
                <w:sz w:val="1"/>
                <w:szCs w:val="1"/>
                <w:color w:val="auto"/>
              </w:rPr>
            </w:pPr>
          </w:p>
        </w:tc>
      </w:tr>
      <w:tr>
        <w:trPr>
          <w:trHeight w:val="189"/>
        </w:trPr>
        <w:tc>
          <w:tcPr>
            <w:tcW w:w="5480" w:type="dxa"/>
            <w:vAlign w:val="bottom"/>
            <w:vMerge w:val="restart"/>
            <w:shd w:val="clear" w:color="auto" w:fill="E5F5FB"/>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related party transaction would impair the independence</w:t>
            </w:r>
          </w:p>
        </w:tc>
        <w:tc>
          <w:tcPr>
            <w:tcW w:w="5520" w:type="dxa"/>
            <w:vAlign w:val="bottom"/>
            <w:shd w:val="clear" w:color="auto" w:fill="E5F5FB"/>
          </w:tcPr>
          <w:p>
            <w:pPr>
              <w:ind w:left="400"/>
              <w:spacing w:after="0"/>
              <w:rPr>
                <w:sz w:val="20"/>
                <w:szCs w:val="20"/>
                <w:color w:val="auto"/>
              </w:rPr>
            </w:pPr>
            <w:r>
              <w:rPr>
                <w:rFonts w:ascii="Arial" w:cs="Arial" w:eastAsia="Arial" w:hAnsi="Arial"/>
                <w:sz w:val="16"/>
                <w:szCs w:val="16"/>
                <w:color w:val="auto"/>
              </w:rPr>
              <w:t>taking into account the specific facts and circumstances of such</w:t>
            </w:r>
          </w:p>
        </w:tc>
        <w:tc>
          <w:tcPr>
            <w:tcW w:w="0" w:type="dxa"/>
            <w:vAlign w:val="bottom"/>
          </w:tcPr>
          <w:p>
            <w:pPr>
              <w:spacing w:after="0"/>
              <w:rPr>
                <w:sz w:val="1"/>
                <w:szCs w:val="1"/>
                <w:color w:val="auto"/>
              </w:rPr>
            </w:pPr>
          </w:p>
        </w:tc>
      </w:tr>
      <w:tr>
        <w:trPr>
          <w:trHeight w:val="121"/>
        </w:trPr>
        <w:tc>
          <w:tcPr>
            <w:tcW w:w="5480" w:type="dxa"/>
            <w:vAlign w:val="bottom"/>
            <w:vMerge w:val="continue"/>
            <w:shd w:val="clear" w:color="auto" w:fill="E5F5FB"/>
          </w:tcPr>
          <w:p>
            <w:pPr>
              <w:spacing w:after="0"/>
              <w:rPr>
                <w:sz w:val="10"/>
                <w:szCs w:val="10"/>
                <w:color w:val="auto"/>
              </w:rPr>
            </w:pPr>
          </w:p>
        </w:tc>
        <w:tc>
          <w:tcPr>
            <w:tcW w:w="5520" w:type="dxa"/>
            <w:vAlign w:val="bottom"/>
            <w:vMerge w:val="restart"/>
            <w:shd w:val="clear" w:color="auto" w:fill="E5F5FB"/>
          </w:tcPr>
          <w:p>
            <w:pPr>
              <w:ind w:left="400"/>
              <w:spacing w:after="0"/>
              <w:rPr>
                <w:sz w:val="20"/>
                <w:szCs w:val="20"/>
                <w:color w:val="auto"/>
              </w:rPr>
            </w:pPr>
            <w:r>
              <w:rPr>
                <w:rFonts w:ascii="Arial" w:cs="Arial" w:eastAsia="Arial" w:hAnsi="Arial"/>
                <w:sz w:val="16"/>
                <w:szCs w:val="16"/>
                <w:color w:val="auto"/>
              </w:rPr>
              <w:t>transaction.</w:t>
            </w:r>
          </w:p>
        </w:tc>
        <w:tc>
          <w:tcPr>
            <w:tcW w:w="0" w:type="dxa"/>
            <w:vAlign w:val="bottom"/>
          </w:tcPr>
          <w:p>
            <w:pPr>
              <w:spacing w:after="0"/>
              <w:rPr>
                <w:sz w:val="1"/>
                <w:szCs w:val="1"/>
                <w:color w:val="auto"/>
              </w:rPr>
            </w:pPr>
          </w:p>
        </w:tc>
      </w:tr>
      <w:tr>
        <w:trPr>
          <w:trHeight w:val="73"/>
        </w:trPr>
        <w:tc>
          <w:tcPr>
            <w:tcW w:w="5480" w:type="dxa"/>
            <w:vAlign w:val="bottom"/>
            <w:vMerge w:val="restart"/>
            <w:shd w:val="clear" w:color="auto" w:fill="E5F5FB"/>
          </w:tcPr>
          <w:p>
            <w:pPr>
              <w:ind w:left="280"/>
              <w:spacing w:after="0"/>
              <w:rPr>
                <w:sz w:val="20"/>
                <w:szCs w:val="20"/>
                <w:color w:val="auto"/>
              </w:rPr>
            </w:pPr>
            <w:r>
              <w:rPr>
                <w:rFonts w:ascii="Arial" w:cs="Arial" w:eastAsia="Arial" w:hAnsi="Arial"/>
                <w:sz w:val="16"/>
                <w:szCs w:val="16"/>
                <w:color w:val="auto"/>
              </w:rPr>
              <w:t>of an otherwise independent director;</w:t>
            </w:r>
          </w:p>
        </w:tc>
        <w:tc>
          <w:tcPr>
            <w:tcW w:w="5520" w:type="dxa"/>
            <w:vAlign w:val="bottom"/>
            <w:vMerge w:val="continue"/>
            <w:shd w:val="clear" w:color="auto" w:fill="E5F5FB"/>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5480" w:type="dxa"/>
            <w:vAlign w:val="bottom"/>
            <w:vMerge w:val="continue"/>
            <w:shd w:val="clear" w:color="auto" w:fill="E5F5FB"/>
          </w:tcPr>
          <w:p>
            <w:pPr>
              <w:spacing w:after="0"/>
              <w:rPr>
                <w:sz w:val="10"/>
                <w:szCs w:val="10"/>
                <w:color w:val="auto"/>
              </w:rPr>
            </w:pPr>
          </w:p>
        </w:tc>
        <w:tc>
          <w:tcPr>
            <w:tcW w:w="5520" w:type="dxa"/>
            <w:vAlign w:val="bottom"/>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480" w:type="dxa"/>
            <w:vAlign w:val="bottom"/>
            <w:shd w:val="clear" w:color="auto" w:fill="E5F5FB"/>
          </w:tcPr>
          <w:p>
            <w:pPr>
              <w:spacing w:after="0"/>
              <w:rPr>
                <w:sz w:val="15"/>
                <w:szCs w:val="15"/>
                <w:color w:val="auto"/>
              </w:rPr>
            </w:pPr>
          </w:p>
        </w:tc>
        <w:tc>
          <w:tcPr>
            <w:tcW w:w="5520" w:type="dxa"/>
            <w:vAlign w:val="bottom"/>
            <w:shd w:val="clear" w:color="auto" w:fill="E5F5FB"/>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If any member of the Governance Committee has a potential interest in any related party transaction, such member will recuse himself or herself and abstain from voting on the approval or ratification of the related party transaction, but may participate in all or a portion of the Governance Committee’s discussions of the related party transaction if requested by the Chair of the Governance Committee. As required under SEC rules, we disclose all related party transactions annually in our Proxy Statement.</w:t>
      </w:r>
    </w:p>
    <w:p>
      <w:pPr>
        <w:spacing w:after="0" w:line="9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son of Craig Glidden, Executive Vice President and General Counsel, is employed by the Company in a non-executive position and in 2018 received compensation of $248,767 and customary Company benefits. His total compensation is similar to the total compensation provided to other employees of the same level with similar responsibilities. The terms of his son’s employment with GM were approved by the Governance and Corporate Responsibility Committee pursuant to the Company’s Related Party Transactions Policy.</w:t>
      </w:r>
    </w:p>
    <w:p>
      <w:pPr>
        <w:spacing w:after="0" w:line="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In the first quarter of 2018, we repurchased 2,518,257 shares of our common stock from the UAW Retiree Medical Benefits Trust, a greater than 5% beneficial owner of GM’s common stock, at a cash price of $39.71 per share, for a total consideration of $100 million (the “Repurchase”). The price paid in the Repurchase represented a 1% discount over the closing price of our common stock on the day the Repurchase was announced. The Repurchase was made pursuant to our previously authorized stock repurchase program and was approved by the Board pursuant to the Company’s Related Party Transactions Policy.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34 </w:t>
      </w:r>
      <w:r>
        <w:rPr>
          <w:sz w:val="1"/>
          <w:szCs w:val="1"/>
          <w:color w:val="auto"/>
        </w:rPr>
        <w:drawing>
          <wp:inline distT="0" distB="0" distL="0" distR="0">
            <wp:extent cx="6852920" cy="14541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38"/>
          <w:szCs w:val="38"/>
          <w:color w:val="0033A0"/>
        </w:rPr>
        <w:t>SECURITY OWNERSHIP INFORMATION</w:t>
      </w:r>
    </w:p>
    <w:p>
      <w:pPr>
        <w:spacing w:after="0" w:line="295" w:lineRule="exact"/>
        <w:rPr>
          <w:sz w:val="20"/>
          <w:szCs w:val="20"/>
          <w:color w:val="auto"/>
        </w:rPr>
      </w:pPr>
    </w:p>
    <w:p>
      <w:pPr>
        <w:ind w:left="220" w:right="100"/>
        <w:spacing w:after="0" w:line="260" w:lineRule="auto"/>
        <w:rPr>
          <w:sz w:val="20"/>
          <w:szCs w:val="20"/>
          <w:color w:val="auto"/>
        </w:rPr>
      </w:pPr>
      <w:r>
        <w:rPr>
          <w:rFonts w:ascii="Arial" w:cs="Arial" w:eastAsia="Arial" w:hAnsi="Arial"/>
          <w:sz w:val="31"/>
          <w:szCs w:val="31"/>
          <w:color w:val="00A1DF"/>
        </w:rPr>
        <w:t>Security Ownership of Directors, Named Executive Officers, and Certain Other Beneficial Owners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and accompanying footnotes show information regarding the beneficial ownership of GM’s issued and outstanding common stock by</w:t>
      </w:r>
    </w:p>
    <w:p>
      <w:pPr>
        <w:spacing w:after="0" w:line="5" w:lineRule="exact"/>
        <w:rPr>
          <w:sz w:val="20"/>
          <w:szCs w:val="20"/>
          <w:color w:val="auto"/>
        </w:rPr>
      </w:pPr>
    </w:p>
    <w:p>
      <w:pPr>
        <w:jc w:val="both"/>
        <w:ind w:left="220" w:hanging="10"/>
        <w:spacing w:after="0" w:line="253" w:lineRule="auto"/>
        <w:tabs>
          <w:tab w:leader="none" w:pos="4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of our directors and NEOs, and all directors and executive officers as a group, each as of April 1, 2019, and (ii) each person known by us to beneficially own more than 5% of the issued and outstanding common stock as of the dates indicated in the footnotes. All directors and officers have sole voting and dispositive power over the shares.</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60" w:type="dxa"/>
            <w:vAlign w:val="bottom"/>
            <w:tcBorders>
              <w:top w:val="single" w:sz="8" w:color="00A1DF"/>
            </w:tcBorders>
          </w:tcPr>
          <w:p>
            <w:pPr>
              <w:spacing w:after="0"/>
              <w:rPr>
                <w:sz w:val="14"/>
                <w:szCs w:val="14"/>
                <w:color w:val="auto"/>
              </w:rPr>
            </w:pPr>
          </w:p>
        </w:tc>
        <w:tc>
          <w:tcPr>
            <w:tcW w:w="1780" w:type="dxa"/>
            <w:vAlign w:val="bottom"/>
            <w:tcBorders>
              <w:top w:val="single" w:sz="8" w:color="00A1DF"/>
            </w:tcBorders>
          </w:tcPr>
          <w:p>
            <w:pPr>
              <w:spacing w:after="0"/>
              <w:rPr>
                <w:sz w:val="14"/>
                <w:szCs w:val="14"/>
                <w:color w:val="auto"/>
              </w:rPr>
            </w:pPr>
          </w:p>
        </w:tc>
        <w:tc>
          <w:tcPr>
            <w:tcW w:w="100" w:type="dxa"/>
            <w:vAlign w:val="bottom"/>
            <w:tcBorders>
              <w:top w:val="single" w:sz="8" w:color="00A1DF"/>
            </w:tcBorders>
          </w:tcPr>
          <w:p>
            <w:pPr>
              <w:spacing w:after="0"/>
              <w:rPr>
                <w:sz w:val="14"/>
                <w:szCs w:val="14"/>
                <w:color w:val="auto"/>
              </w:rPr>
            </w:pPr>
          </w:p>
        </w:tc>
        <w:tc>
          <w:tcPr>
            <w:tcW w:w="460" w:type="dxa"/>
            <w:vAlign w:val="bottom"/>
            <w:tcBorders>
              <w:top w:val="single" w:sz="8" w:color="00A1DF"/>
            </w:tcBorders>
          </w:tcPr>
          <w:p>
            <w:pPr>
              <w:spacing w:after="0"/>
              <w:rPr>
                <w:sz w:val="14"/>
                <w:szCs w:val="14"/>
                <w:color w:val="auto"/>
              </w:rPr>
            </w:pPr>
          </w:p>
        </w:tc>
        <w:tc>
          <w:tcPr>
            <w:tcW w:w="4240" w:type="dxa"/>
            <w:vAlign w:val="bottom"/>
            <w:tcBorders>
              <w:top w:val="single" w:sz="8" w:color="00A1DF"/>
            </w:tcBorders>
          </w:tcPr>
          <w:p>
            <w:pPr>
              <w:spacing w:after="0"/>
              <w:rPr>
                <w:sz w:val="14"/>
                <w:szCs w:val="14"/>
                <w:color w:val="auto"/>
              </w:rPr>
            </w:pPr>
          </w:p>
        </w:tc>
        <w:tc>
          <w:tcPr>
            <w:tcW w:w="2260" w:type="dxa"/>
            <w:vAlign w:val="bottom"/>
            <w:tcBorders>
              <w:top w:val="single" w:sz="8" w:color="00A1DF"/>
            </w:tcBorders>
          </w:tcPr>
          <w:p>
            <w:pPr>
              <w:jc w:val="right"/>
              <w:spacing w:after="0" w:line="167" w:lineRule="exact"/>
              <w:rPr>
                <w:sz w:val="20"/>
                <w:szCs w:val="20"/>
                <w:color w:val="auto"/>
              </w:rPr>
            </w:pPr>
            <w:r>
              <w:rPr>
                <w:rFonts w:ascii="Arial" w:cs="Arial" w:eastAsia="Arial" w:hAnsi="Arial"/>
                <w:sz w:val="15"/>
                <w:szCs w:val="15"/>
                <w:b w:val="1"/>
                <w:bCs w:val="1"/>
                <w:color w:val="00A1DF"/>
              </w:rPr>
              <w:t>Shares of Common</w:t>
            </w:r>
          </w:p>
        </w:tc>
        <w:tc>
          <w:tcPr>
            <w:tcW w:w="600" w:type="dxa"/>
            <w:vAlign w:val="bottom"/>
            <w:tcBorders>
              <w:top w:val="single" w:sz="8" w:color="00A1DF"/>
            </w:tcBorders>
          </w:tcPr>
          <w:p>
            <w:pPr>
              <w:spacing w:after="0"/>
              <w:rPr>
                <w:sz w:val="14"/>
                <w:szCs w:val="14"/>
                <w:color w:val="auto"/>
              </w:rPr>
            </w:pPr>
          </w:p>
        </w:tc>
        <w:tc>
          <w:tcPr>
            <w:tcW w:w="1500" w:type="dxa"/>
            <w:vAlign w:val="bottom"/>
            <w:tcBorders>
              <w:top w:val="single" w:sz="8" w:color="00A1DF"/>
            </w:tcBorders>
          </w:tcPr>
          <w:p>
            <w:pPr>
              <w:jc w:val="right"/>
              <w:spacing w:after="0" w:line="167" w:lineRule="exact"/>
              <w:rPr>
                <w:sz w:val="20"/>
                <w:szCs w:val="20"/>
                <w:color w:val="auto"/>
              </w:rPr>
            </w:pPr>
            <w:r>
              <w:rPr>
                <w:rFonts w:ascii="Arial" w:cs="Arial" w:eastAsia="Arial" w:hAnsi="Arial"/>
                <w:sz w:val="15"/>
                <w:szCs w:val="15"/>
                <w:b w:val="1"/>
                <w:bCs w:val="1"/>
                <w:color w:val="00A1DF"/>
              </w:rPr>
              <w:t>Percentage of</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6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Stock Beneficially</w:t>
            </w:r>
          </w:p>
        </w:tc>
        <w:tc>
          <w:tcPr>
            <w:tcW w:w="60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Outstanding</w:t>
            </w:r>
          </w:p>
        </w:tc>
        <w:tc>
          <w:tcPr>
            <w:tcW w:w="0" w:type="dxa"/>
            <w:vAlign w:val="bottom"/>
          </w:tcPr>
          <w:p>
            <w:pPr>
              <w:spacing w:after="0"/>
              <w:rPr>
                <w:sz w:val="1"/>
                <w:szCs w:val="1"/>
                <w:color w:val="auto"/>
              </w:rPr>
            </w:pPr>
          </w:p>
        </w:tc>
      </w:tr>
      <w:tr>
        <w:trPr>
          <w:trHeight w:val="206"/>
        </w:trPr>
        <w:tc>
          <w:tcPr>
            <w:tcW w:w="6640" w:type="dxa"/>
            <w:vAlign w:val="bottom"/>
            <w:tcBorders>
              <w:bottom w:val="single" w:sz="8" w:color="00A1DF"/>
            </w:tcBorders>
            <w:gridSpan w:val="5"/>
          </w:tcPr>
          <w:p>
            <w:pPr>
              <w:ind w:left="40"/>
              <w:spacing w:after="0"/>
              <w:rPr>
                <w:sz w:val="20"/>
                <w:szCs w:val="20"/>
                <w:color w:val="auto"/>
              </w:rPr>
            </w:pPr>
            <w:r>
              <w:rPr>
                <w:rFonts w:ascii="Arial" w:cs="Arial" w:eastAsia="Arial" w:hAnsi="Arial"/>
                <w:sz w:val="15"/>
                <w:szCs w:val="15"/>
                <w:b w:val="1"/>
                <w:bCs w:val="1"/>
                <w:color w:val="00A1DF"/>
              </w:rPr>
              <w:t>Name</w:t>
            </w:r>
          </w:p>
        </w:tc>
        <w:tc>
          <w:tcPr>
            <w:tcW w:w="226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Owned</w:t>
            </w:r>
          </w:p>
        </w:tc>
        <w:tc>
          <w:tcPr>
            <w:tcW w:w="600" w:type="dxa"/>
            <w:vAlign w:val="bottom"/>
            <w:tcBorders>
              <w:bottom w:val="single" w:sz="8" w:color="00A1DF"/>
            </w:tcBorders>
          </w:tcPr>
          <w:p>
            <w:pPr>
              <w:spacing w:after="0"/>
              <w:rPr>
                <w:sz w:val="17"/>
                <w:szCs w:val="17"/>
                <w:color w:val="auto"/>
              </w:rPr>
            </w:pPr>
          </w:p>
        </w:tc>
        <w:tc>
          <w:tcPr>
            <w:tcW w:w="150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Shares</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6580" w:type="dxa"/>
            <w:vAlign w:val="bottom"/>
            <w:gridSpan w:val="4"/>
          </w:tcPr>
          <w:p>
            <w:pPr>
              <w:spacing w:after="0" w:line="42" w:lineRule="exact"/>
              <w:rPr>
                <w:sz w:val="20"/>
                <w:szCs w:val="20"/>
                <w:color w:val="auto"/>
              </w:rPr>
            </w:pPr>
            <w:r>
              <w:rPr>
                <w:rFonts w:ascii="Arial" w:cs="Arial" w:eastAsia="Arial" w:hAnsi="Arial"/>
                <w:sz w:val="4"/>
                <w:szCs w:val="4"/>
                <w:b w:val="1"/>
                <w:bCs w:val="1"/>
                <w:color w:val="auto"/>
              </w:rPr>
              <w:t>Non-Employee Directors</w:t>
            </w:r>
          </w:p>
        </w:tc>
        <w:tc>
          <w:tcPr>
            <w:tcW w:w="2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400" w:type="dxa"/>
            <w:vAlign w:val="bottom"/>
            <w:gridSpan w:val="4"/>
          </w:tcPr>
          <w:p>
            <w:pPr>
              <w:jc w:val="right"/>
              <w:ind w:right="400"/>
              <w:spacing w:after="0" w:line="145" w:lineRule="exact"/>
              <w:rPr>
                <w:sz w:val="20"/>
                <w:szCs w:val="20"/>
                <w:color w:val="auto"/>
              </w:rPr>
            </w:pPr>
            <w:r>
              <w:rPr>
                <w:rFonts w:ascii="Arial" w:cs="Arial" w:eastAsia="Arial" w:hAnsi="Arial"/>
                <w:sz w:val="13"/>
                <w:szCs w:val="13"/>
                <w:b w:val="1"/>
                <w:bCs w:val="1"/>
                <w:color w:val="auto"/>
              </w:rPr>
              <w:t>(1)</w:t>
            </w:r>
          </w:p>
        </w:tc>
        <w:tc>
          <w:tcPr>
            <w:tcW w:w="4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Wesley G. Bush</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6580" w:type="dxa"/>
            <w:vAlign w:val="bottom"/>
            <w:gridSpan w:val="4"/>
          </w:tcPr>
          <w:p>
            <w:pPr>
              <w:spacing w:after="0" w:line="159" w:lineRule="exact"/>
              <w:rPr>
                <w:sz w:val="20"/>
                <w:szCs w:val="20"/>
                <w:color w:val="auto"/>
              </w:rPr>
            </w:pPr>
            <w:r>
              <w:rPr>
                <w:rFonts w:ascii="Arial" w:cs="Arial" w:eastAsia="Arial" w:hAnsi="Arial"/>
                <w:sz w:val="15"/>
                <w:szCs w:val="15"/>
                <w:color w:val="auto"/>
              </w:rPr>
              <w:t>Linda R. Gooden</w:t>
            </w:r>
          </w:p>
        </w:tc>
        <w:tc>
          <w:tcPr>
            <w:tcW w:w="2260" w:type="dxa"/>
            <w:vAlign w:val="bottom"/>
          </w:tcPr>
          <w:p>
            <w:pPr>
              <w:jc w:val="right"/>
              <w:spacing w:after="0" w:line="159" w:lineRule="exact"/>
              <w:rPr>
                <w:sz w:val="20"/>
                <w:szCs w:val="20"/>
                <w:color w:val="auto"/>
              </w:rPr>
            </w:pPr>
            <w:r>
              <w:rPr>
                <w:rFonts w:ascii="Arial" w:cs="Arial" w:eastAsia="Arial" w:hAnsi="Arial"/>
                <w:sz w:val="15"/>
                <w:szCs w:val="15"/>
                <w:color w:val="auto"/>
              </w:rPr>
              <w:t>1,000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Joseph Jimenez</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32,330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Jane L. Mendillo</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4,560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Judith A. Miscik</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6580" w:type="dxa"/>
            <w:vAlign w:val="bottom"/>
            <w:gridSpan w:val="4"/>
          </w:tcPr>
          <w:p>
            <w:pPr>
              <w:spacing w:after="0" w:line="159" w:lineRule="exact"/>
              <w:rPr>
                <w:sz w:val="20"/>
                <w:szCs w:val="20"/>
                <w:color w:val="auto"/>
              </w:rPr>
            </w:pPr>
            <w:r>
              <w:rPr>
                <w:rFonts w:ascii="Arial" w:cs="Arial" w:eastAsia="Arial" w:hAnsi="Arial"/>
                <w:sz w:val="15"/>
                <w:szCs w:val="15"/>
                <w:color w:val="auto"/>
              </w:rPr>
              <w:t>Michael G. Mullen</w:t>
            </w:r>
          </w:p>
        </w:tc>
        <w:tc>
          <w:tcPr>
            <w:tcW w:w="2260" w:type="dxa"/>
            <w:vAlign w:val="bottom"/>
          </w:tcPr>
          <w:p>
            <w:pPr>
              <w:jc w:val="right"/>
              <w:spacing w:after="0" w:line="159" w:lineRule="exact"/>
              <w:rPr>
                <w:sz w:val="20"/>
                <w:szCs w:val="20"/>
                <w:color w:val="auto"/>
              </w:rPr>
            </w:pPr>
            <w:r>
              <w:rPr>
                <w:rFonts w:ascii="Arial" w:cs="Arial" w:eastAsia="Arial" w:hAnsi="Arial"/>
                <w:sz w:val="15"/>
                <w:szCs w:val="15"/>
                <w:color w:val="auto"/>
              </w:rPr>
              <w:t>750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James J. Mulva</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28,343</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Patricia F. Russo</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12,300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Thomas M. Schoewe</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22,005</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Theodore M. Solso</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5,000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Carol M. Stephenson</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800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(2)</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Devin N. Wenig</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6580" w:type="dxa"/>
            <w:vAlign w:val="bottom"/>
            <w:gridSpan w:val="4"/>
          </w:tcPr>
          <w:p>
            <w:pPr>
              <w:spacing w:after="0" w:line="42" w:lineRule="exact"/>
              <w:rPr>
                <w:sz w:val="20"/>
                <w:szCs w:val="20"/>
                <w:color w:val="auto"/>
              </w:rPr>
            </w:pPr>
            <w:r>
              <w:rPr>
                <w:rFonts w:ascii="Arial" w:cs="Arial" w:eastAsia="Arial" w:hAnsi="Arial"/>
                <w:sz w:val="4"/>
                <w:szCs w:val="4"/>
                <w:b w:val="1"/>
                <w:bCs w:val="1"/>
                <w:color w:val="auto"/>
              </w:rPr>
              <w:t>Named Executive Officers</w:t>
            </w:r>
          </w:p>
        </w:tc>
        <w:tc>
          <w:tcPr>
            <w:tcW w:w="2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400" w:type="dxa"/>
            <w:vAlign w:val="bottom"/>
            <w:gridSpan w:val="4"/>
          </w:tcPr>
          <w:p>
            <w:pPr>
              <w:jc w:val="right"/>
              <w:ind w:right="300"/>
              <w:spacing w:after="0" w:line="145" w:lineRule="exact"/>
              <w:rPr>
                <w:sz w:val="20"/>
                <w:szCs w:val="20"/>
                <w:color w:val="auto"/>
              </w:rPr>
            </w:pPr>
            <w:r>
              <w:rPr>
                <w:rFonts w:ascii="Arial" w:cs="Arial" w:eastAsia="Arial" w:hAnsi="Arial"/>
                <w:sz w:val="13"/>
                <w:szCs w:val="13"/>
                <w:b w:val="1"/>
                <w:bCs w:val="1"/>
                <w:color w:val="auto"/>
              </w:rPr>
              <w:t>(1)</w:t>
            </w:r>
          </w:p>
        </w:tc>
        <w:tc>
          <w:tcPr>
            <w:tcW w:w="4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Mary T. Barra</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3,703,390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(3)</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Dhivya Suryadevara</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167,043</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(3)</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Daniel Ammann</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1,009,850</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(3)</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Mark L. Reuss</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655,717</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(3)</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Alan S. Batey</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279,857</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(3)</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Charles K. Stevens III</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165,174</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(3)</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580" w:type="dxa"/>
            <w:vAlign w:val="bottom"/>
            <w:gridSpan w:val="4"/>
          </w:tcPr>
          <w:p>
            <w:pPr>
              <w:spacing w:after="0" w:line="156" w:lineRule="exact"/>
              <w:rPr>
                <w:sz w:val="20"/>
                <w:szCs w:val="20"/>
                <w:color w:val="auto"/>
              </w:rPr>
            </w:pPr>
            <w:r>
              <w:rPr>
                <w:rFonts w:ascii="Arial" w:cs="Arial" w:eastAsia="Arial" w:hAnsi="Arial"/>
                <w:sz w:val="15"/>
                <w:szCs w:val="15"/>
                <w:color w:val="auto"/>
              </w:rPr>
              <w:t>All Directors and Executive Officers as a Group (23 persons, including the foregoing)</w:t>
            </w:r>
          </w:p>
        </w:tc>
        <w:tc>
          <w:tcPr>
            <w:tcW w:w="2260" w:type="dxa"/>
            <w:vAlign w:val="bottom"/>
          </w:tcPr>
          <w:p>
            <w:pPr>
              <w:jc w:val="right"/>
              <w:spacing w:after="0" w:line="156" w:lineRule="exact"/>
              <w:rPr>
                <w:sz w:val="20"/>
                <w:szCs w:val="20"/>
                <w:color w:val="auto"/>
              </w:rPr>
            </w:pPr>
            <w:r>
              <w:rPr>
                <w:rFonts w:ascii="Arial" w:cs="Arial" w:eastAsia="Arial" w:hAnsi="Arial"/>
                <w:sz w:val="15"/>
                <w:szCs w:val="15"/>
                <w:color w:val="auto"/>
              </w:rPr>
              <w:t>7,235,093</w:t>
            </w:r>
          </w:p>
        </w:tc>
        <w:tc>
          <w:tcPr>
            <w:tcW w:w="600" w:type="dxa"/>
            <w:vAlign w:val="bottom"/>
            <w:vMerge w:val="restart"/>
          </w:tcPr>
          <w:p>
            <w:pPr>
              <w:jc w:val="right"/>
              <w:ind w:right="375"/>
              <w:spacing w:after="0"/>
              <w:rPr>
                <w:sz w:val="20"/>
                <w:szCs w:val="20"/>
                <w:color w:val="auto"/>
              </w:rPr>
            </w:pPr>
            <w:r>
              <w:rPr>
                <w:rFonts w:ascii="Arial" w:cs="Arial" w:eastAsia="Arial" w:hAnsi="Arial"/>
                <w:sz w:val="13"/>
                <w:szCs w:val="13"/>
                <w:color w:val="auto"/>
                <w:w w:val="87"/>
              </w:rPr>
              <w:t>(3)</w:t>
            </w:r>
          </w:p>
        </w:tc>
        <w:tc>
          <w:tcPr>
            <w:tcW w:w="1500" w:type="dxa"/>
            <w:vAlign w:val="bottom"/>
          </w:tcPr>
          <w:p>
            <w:pPr>
              <w:jc w:val="right"/>
              <w:ind w:right="11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580" w:type="dxa"/>
            <w:vAlign w:val="bottom"/>
            <w:gridSpan w:val="4"/>
          </w:tcPr>
          <w:p>
            <w:pPr>
              <w:spacing w:after="0" w:line="38" w:lineRule="exact"/>
              <w:rPr>
                <w:sz w:val="20"/>
                <w:szCs w:val="20"/>
                <w:color w:val="auto"/>
              </w:rPr>
            </w:pPr>
            <w:r>
              <w:rPr>
                <w:rFonts w:ascii="Arial" w:cs="Arial" w:eastAsia="Arial" w:hAnsi="Arial"/>
                <w:sz w:val="4"/>
                <w:szCs w:val="4"/>
                <w:b w:val="1"/>
                <w:bCs w:val="1"/>
                <w:color w:val="auto"/>
              </w:rPr>
              <w:t>Certain Other Beneficial Owners</w:t>
            </w:r>
          </w:p>
        </w:tc>
        <w:tc>
          <w:tcPr>
            <w:tcW w:w="2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6640" w:type="dxa"/>
            <w:vAlign w:val="bottom"/>
            <w:gridSpan w:val="5"/>
          </w:tcPr>
          <w:p>
            <w:pPr>
              <w:jc w:val="right"/>
              <w:ind w:right="4080"/>
              <w:spacing w:after="0" w:line="145" w:lineRule="exact"/>
              <w:rPr>
                <w:sz w:val="20"/>
                <w:szCs w:val="20"/>
                <w:color w:val="auto"/>
              </w:rPr>
            </w:pPr>
            <w:r>
              <w:rPr>
                <w:rFonts w:ascii="Arial" w:cs="Arial" w:eastAsia="Arial" w:hAnsi="Arial"/>
                <w:sz w:val="13"/>
                <w:szCs w:val="13"/>
                <w:color w:val="auto"/>
              </w:rPr>
              <w:t>(4)</w:t>
            </w:r>
          </w:p>
        </w:tc>
        <w:tc>
          <w:tcPr>
            <w:tcW w:w="2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580" w:type="dxa"/>
            <w:vAlign w:val="bottom"/>
            <w:gridSpan w:val="4"/>
          </w:tcPr>
          <w:p>
            <w:pPr>
              <w:spacing w:after="0" w:line="38" w:lineRule="exact"/>
              <w:rPr>
                <w:sz w:val="20"/>
                <w:szCs w:val="20"/>
                <w:color w:val="auto"/>
              </w:rPr>
            </w:pPr>
            <w:r>
              <w:rPr>
                <w:rFonts w:ascii="Arial" w:cs="Arial" w:eastAsia="Arial" w:hAnsi="Arial"/>
                <w:sz w:val="4"/>
                <w:szCs w:val="4"/>
                <w:color w:val="auto"/>
              </w:rPr>
              <w:t>Capital World Investors  **</w:t>
            </w:r>
          </w:p>
        </w:tc>
        <w:tc>
          <w:tcPr>
            <w:tcW w:w="2260" w:type="dxa"/>
            <w:vAlign w:val="bottom"/>
          </w:tcPr>
          <w:p>
            <w:pPr>
              <w:jc w:val="right"/>
              <w:spacing w:after="0" w:line="38" w:lineRule="exact"/>
              <w:rPr>
                <w:sz w:val="20"/>
                <w:szCs w:val="20"/>
                <w:color w:val="auto"/>
              </w:rPr>
            </w:pPr>
            <w:r>
              <w:rPr>
                <w:rFonts w:ascii="Arial" w:cs="Arial" w:eastAsia="Arial" w:hAnsi="Arial"/>
                <w:sz w:val="4"/>
                <w:szCs w:val="4"/>
                <w:color w:val="auto"/>
              </w:rPr>
              <w:t>103,755,329</w:t>
            </w:r>
          </w:p>
        </w:tc>
        <w:tc>
          <w:tcPr>
            <w:tcW w:w="600" w:type="dxa"/>
            <w:vAlign w:val="bottom"/>
          </w:tcPr>
          <w:p>
            <w:pPr>
              <w:spacing w:after="0"/>
              <w:rPr>
                <w:sz w:val="3"/>
                <w:szCs w:val="3"/>
                <w:color w:val="auto"/>
              </w:rPr>
            </w:pPr>
          </w:p>
        </w:tc>
        <w:tc>
          <w:tcPr>
            <w:tcW w:w="1500" w:type="dxa"/>
            <w:vAlign w:val="bottom"/>
          </w:tcPr>
          <w:p>
            <w:pPr>
              <w:jc w:val="right"/>
              <w:spacing w:after="0" w:line="38" w:lineRule="exact"/>
              <w:rPr>
                <w:sz w:val="20"/>
                <w:szCs w:val="20"/>
                <w:color w:val="auto"/>
              </w:rPr>
            </w:pPr>
            <w:r>
              <w:rPr>
                <w:rFonts w:ascii="Arial" w:cs="Arial" w:eastAsia="Arial" w:hAnsi="Arial"/>
                <w:sz w:val="4"/>
                <w:szCs w:val="4"/>
                <w:color w:val="auto"/>
              </w:rPr>
              <w:t>7.3%</w:t>
            </w:r>
          </w:p>
        </w:tc>
        <w:tc>
          <w:tcPr>
            <w:tcW w:w="0" w:type="dxa"/>
            <w:vAlign w:val="bottom"/>
          </w:tcPr>
          <w:p>
            <w:pPr>
              <w:spacing w:after="0" w:line="20" w:lineRule="exact"/>
              <w:rPr>
                <w:sz w:val="1"/>
                <w:szCs w:val="1"/>
                <w:color w:val="auto"/>
              </w:rPr>
            </w:pPr>
          </w:p>
        </w:tc>
      </w:tr>
      <w:tr>
        <w:trPr>
          <w:trHeight w:val="156"/>
        </w:trPr>
        <w:tc>
          <w:tcPr>
            <w:tcW w:w="184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The Vanguard Group</w:t>
            </w:r>
            <w:r>
              <w:rPr>
                <w:rFonts w:ascii="Arial" w:cs="Arial" w:eastAsia="Arial" w:hAnsi="Arial"/>
                <w:sz w:val="12"/>
                <w:szCs w:val="12"/>
                <w:color w:val="auto"/>
              </w:rPr>
              <w:t>(6)</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100,405,163</w:t>
            </w: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6580" w:type="dxa"/>
            <w:vAlign w:val="bottom"/>
            <w:gridSpan w:val="4"/>
          </w:tcPr>
          <w:p>
            <w:pPr>
              <w:spacing w:after="0" w:line="42" w:lineRule="exact"/>
              <w:rPr>
                <w:sz w:val="20"/>
                <w:szCs w:val="20"/>
                <w:color w:val="auto"/>
              </w:rPr>
            </w:pPr>
            <w:r>
              <w:rPr>
                <w:rFonts w:ascii="Arial" w:cs="Arial" w:eastAsia="Arial" w:hAnsi="Arial"/>
                <w:sz w:val="4"/>
                <w:szCs w:val="4"/>
                <w:color w:val="auto"/>
              </w:rPr>
              <w:t>UAW Retiree Medical Benefits Trust</w:t>
            </w:r>
          </w:p>
        </w:tc>
        <w:tc>
          <w:tcPr>
            <w:tcW w:w="2260" w:type="dxa"/>
            <w:vAlign w:val="bottom"/>
          </w:tcPr>
          <w:p>
            <w:pPr>
              <w:jc w:val="right"/>
              <w:spacing w:after="0" w:line="42" w:lineRule="exact"/>
              <w:rPr>
                <w:sz w:val="20"/>
                <w:szCs w:val="20"/>
                <w:color w:val="auto"/>
              </w:rPr>
            </w:pPr>
            <w:r>
              <w:rPr>
                <w:rFonts w:ascii="Arial" w:cs="Arial" w:eastAsia="Arial" w:hAnsi="Arial"/>
                <w:sz w:val="4"/>
                <w:szCs w:val="4"/>
                <w:color w:val="auto"/>
              </w:rPr>
              <w:t>100,150,000</w:t>
            </w:r>
          </w:p>
        </w:tc>
        <w:tc>
          <w:tcPr>
            <w:tcW w:w="600" w:type="dxa"/>
            <w:vAlign w:val="bottom"/>
          </w:tcPr>
          <w:p>
            <w:pPr>
              <w:spacing w:after="0"/>
              <w:rPr>
                <w:sz w:val="3"/>
                <w:szCs w:val="3"/>
                <w:color w:val="auto"/>
              </w:rPr>
            </w:pPr>
          </w:p>
        </w:tc>
        <w:tc>
          <w:tcPr>
            <w:tcW w:w="1500" w:type="dxa"/>
            <w:vAlign w:val="bottom"/>
          </w:tcPr>
          <w:p>
            <w:pPr>
              <w:jc w:val="right"/>
              <w:spacing w:after="0" w:line="42" w:lineRule="exact"/>
              <w:rPr>
                <w:sz w:val="20"/>
                <w:szCs w:val="20"/>
                <w:color w:val="auto"/>
              </w:rPr>
            </w:pPr>
            <w:r>
              <w:rPr>
                <w:rFonts w:ascii="Arial" w:cs="Arial" w:eastAsia="Arial" w:hAnsi="Arial"/>
                <w:sz w:val="4"/>
                <w:szCs w:val="4"/>
                <w:color w:val="auto"/>
              </w:rPr>
              <w:t>7.0%</w:t>
            </w:r>
          </w:p>
        </w:tc>
        <w:tc>
          <w:tcPr>
            <w:tcW w:w="0" w:type="dxa"/>
            <w:vAlign w:val="bottom"/>
          </w:tcPr>
          <w:p>
            <w:pPr>
              <w:spacing w:after="0"/>
              <w:rPr>
                <w:sz w:val="1"/>
                <w:szCs w:val="1"/>
                <w:color w:val="auto"/>
              </w:rPr>
            </w:pPr>
          </w:p>
        </w:tc>
      </w:tr>
      <w:tr>
        <w:trPr>
          <w:trHeight w:val="156"/>
        </w:trPr>
        <w:tc>
          <w:tcPr>
            <w:tcW w:w="6640" w:type="dxa"/>
            <w:vAlign w:val="bottom"/>
            <w:gridSpan w:val="5"/>
          </w:tcPr>
          <w:p>
            <w:pPr>
              <w:jc w:val="right"/>
              <w:ind w:right="3980"/>
              <w:spacing w:after="0"/>
              <w:rPr>
                <w:sz w:val="20"/>
                <w:szCs w:val="20"/>
                <w:color w:val="auto"/>
              </w:rPr>
            </w:pPr>
            <w:r>
              <w:rPr>
                <w:rFonts w:ascii="Arial" w:cs="Arial" w:eastAsia="Arial" w:hAnsi="Arial"/>
                <w:sz w:val="13"/>
                <w:szCs w:val="13"/>
                <w:color w:val="auto"/>
              </w:rPr>
              <w:t>(7)</w:t>
            </w: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580" w:type="dxa"/>
            <w:vAlign w:val="bottom"/>
            <w:gridSpan w:val="4"/>
          </w:tcPr>
          <w:p>
            <w:pPr>
              <w:spacing w:after="0" w:line="38" w:lineRule="exact"/>
              <w:rPr>
                <w:sz w:val="20"/>
                <w:szCs w:val="20"/>
                <w:color w:val="auto"/>
              </w:rPr>
            </w:pPr>
            <w:r>
              <w:rPr>
                <w:rFonts w:ascii="Arial" w:cs="Arial" w:eastAsia="Arial" w:hAnsi="Arial"/>
                <w:sz w:val="4"/>
                <w:szCs w:val="4"/>
                <w:color w:val="auto"/>
              </w:rPr>
              <w:t>BlackRock, Inc.  **</w:t>
            </w:r>
          </w:p>
        </w:tc>
        <w:tc>
          <w:tcPr>
            <w:tcW w:w="2260" w:type="dxa"/>
            <w:vAlign w:val="bottom"/>
          </w:tcPr>
          <w:p>
            <w:pPr>
              <w:jc w:val="right"/>
              <w:spacing w:after="0" w:line="38" w:lineRule="exact"/>
              <w:rPr>
                <w:sz w:val="20"/>
                <w:szCs w:val="20"/>
                <w:color w:val="auto"/>
              </w:rPr>
            </w:pPr>
            <w:r>
              <w:rPr>
                <w:rFonts w:ascii="Arial" w:cs="Arial" w:eastAsia="Arial" w:hAnsi="Arial"/>
                <w:sz w:val="4"/>
                <w:szCs w:val="4"/>
                <w:color w:val="auto"/>
              </w:rPr>
              <w:t>78,211,614</w:t>
            </w:r>
          </w:p>
        </w:tc>
        <w:tc>
          <w:tcPr>
            <w:tcW w:w="600" w:type="dxa"/>
            <w:vAlign w:val="bottom"/>
          </w:tcPr>
          <w:p>
            <w:pPr>
              <w:spacing w:after="0"/>
              <w:rPr>
                <w:sz w:val="3"/>
                <w:szCs w:val="3"/>
                <w:color w:val="auto"/>
              </w:rPr>
            </w:pPr>
          </w:p>
        </w:tc>
        <w:tc>
          <w:tcPr>
            <w:tcW w:w="1500" w:type="dxa"/>
            <w:vAlign w:val="bottom"/>
          </w:tcPr>
          <w:p>
            <w:pPr>
              <w:jc w:val="right"/>
              <w:spacing w:after="0" w:line="38" w:lineRule="exact"/>
              <w:rPr>
                <w:sz w:val="20"/>
                <w:szCs w:val="20"/>
                <w:color w:val="auto"/>
              </w:rPr>
            </w:pPr>
            <w:r>
              <w:rPr>
                <w:rFonts w:ascii="Arial" w:cs="Arial" w:eastAsia="Arial" w:hAnsi="Arial"/>
                <w:sz w:val="4"/>
                <w:szCs w:val="4"/>
                <w:color w:val="auto"/>
              </w:rPr>
              <w:t>5.5%</w:t>
            </w:r>
          </w:p>
        </w:tc>
        <w:tc>
          <w:tcPr>
            <w:tcW w:w="0" w:type="dxa"/>
            <w:vAlign w:val="bottom"/>
          </w:tcPr>
          <w:p>
            <w:pPr>
              <w:spacing w:after="0" w:line="20" w:lineRule="exact"/>
              <w:rPr>
                <w:sz w:val="1"/>
                <w:szCs w:val="1"/>
                <w:color w:val="auto"/>
              </w:rPr>
            </w:pPr>
          </w:p>
        </w:tc>
      </w:tr>
      <w:tr>
        <w:trPr>
          <w:trHeight w:val="156"/>
        </w:trPr>
        <w:tc>
          <w:tcPr>
            <w:tcW w:w="1840" w:type="dxa"/>
            <w:vAlign w:val="bottom"/>
            <w:gridSpan w:val="2"/>
          </w:tcPr>
          <w:p>
            <w:pPr>
              <w:jc w:val="right"/>
              <w:ind w:right="498"/>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580" w:type="dxa"/>
            <w:vAlign w:val="bottom"/>
            <w:gridSpan w:val="4"/>
          </w:tcPr>
          <w:p>
            <w:pPr>
              <w:spacing w:after="0" w:line="38" w:lineRule="exact"/>
              <w:rPr>
                <w:sz w:val="20"/>
                <w:szCs w:val="20"/>
                <w:color w:val="auto"/>
              </w:rPr>
            </w:pPr>
            <w:r>
              <w:rPr>
                <w:rFonts w:ascii="Arial" w:cs="Arial" w:eastAsia="Arial" w:hAnsi="Arial"/>
                <w:sz w:val="4"/>
                <w:szCs w:val="4"/>
                <w:color w:val="auto"/>
              </w:rPr>
              <w:t>Berkshire Hathaway Inc.</w:t>
            </w:r>
          </w:p>
        </w:tc>
        <w:tc>
          <w:tcPr>
            <w:tcW w:w="2260" w:type="dxa"/>
            <w:vAlign w:val="bottom"/>
          </w:tcPr>
          <w:p>
            <w:pPr>
              <w:jc w:val="right"/>
              <w:spacing w:after="0" w:line="38" w:lineRule="exact"/>
              <w:rPr>
                <w:sz w:val="20"/>
                <w:szCs w:val="20"/>
                <w:color w:val="auto"/>
              </w:rPr>
            </w:pPr>
            <w:r>
              <w:rPr>
                <w:rFonts w:ascii="Arial" w:cs="Arial" w:eastAsia="Arial" w:hAnsi="Arial"/>
                <w:sz w:val="4"/>
                <w:szCs w:val="4"/>
                <w:color w:val="auto"/>
              </w:rPr>
              <w:t>72,269,696</w:t>
            </w:r>
          </w:p>
        </w:tc>
        <w:tc>
          <w:tcPr>
            <w:tcW w:w="600" w:type="dxa"/>
            <w:vAlign w:val="bottom"/>
          </w:tcPr>
          <w:p>
            <w:pPr>
              <w:spacing w:after="0"/>
              <w:rPr>
                <w:sz w:val="3"/>
                <w:szCs w:val="3"/>
                <w:color w:val="auto"/>
              </w:rPr>
            </w:pPr>
          </w:p>
        </w:tc>
        <w:tc>
          <w:tcPr>
            <w:tcW w:w="1500" w:type="dxa"/>
            <w:vAlign w:val="bottom"/>
          </w:tcPr>
          <w:p>
            <w:pPr>
              <w:jc w:val="right"/>
              <w:spacing w:after="0" w:line="38" w:lineRule="exact"/>
              <w:rPr>
                <w:sz w:val="20"/>
                <w:szCs w:val="20"/>
                <w:color w:val="auto"/>
              </w:rPr>
            </w:pPr>
            <w:r>
              <w:rPr>
                <w:rFonts w:ascii="Arial" w:cs="Arial" w:eastAsia="Arial" w:hAnsi="Arial"/>
                <w:sz w:val="4"/>
                <w:szCs w:val="4"/>
                <w:color w:val="auto"/>
              </w:rPr>
              <w:t>5.1%</w:t>
            </w:r>
          </w:p>
        </w:tc>
        <w:tc>
          <w:tcPr>
            <w:tcW w:w="0" w:type="dxa"/>
            <w:vAlign w:val="bottom"/>
          </w:tcPr>
          <w:p>
            <w:pPr>
              <w:spacing w:after="0" w:line="20" w:lineRule="exact"/>
              <w:rPr>
                <w:sz w:val="1"/>
                <w:szCs w:val="1"/>
                <w:color w:val="auto"/>
              </w:rPr>
            </w:pPr>
          </w:p>
        </w:tc>
      </w:tr>
      <w:tr>
        <w:trPr>
          <w:trHeight w:val="156"/>
        </w:trPr>
        <w:tc>
          <w:tcPr>
            <w:tcW w:w="1940" w:type="dxa"/>
            <w:vAlign w:val="bottom"/>
            <w:gridSpan w:val="3"/>
          </w:tcPr>
          <w:p>
            <w:pPr>
              <w:jc w:val="right"/>
              <w:ind w:right="60"/>
              <w:spacing w:after="0"/>
              <w:rPr>
                <w:sz w:val="20"/>
                <w:szCs w:val="20"/>
                <w:color w:val="auto"/>
              </w:rPr>
            </w:pPr>
            <w:r>
              <w:rPr>
                <w:rFonts w:ascii="Arial" w:cs="Arial" w:eastAsia="Arial" w:hAnsi="Arial"/>
                <w:sz w:val="13"/>
                <w:szCs w:val="13"/>
                <w:color w:val="auto"/>
              </w:rPr>
              <w:t>(9)</w:t>
            </w:r>
          </w:p>
        </w:tc>
        <w:tc>
          <w:tcPr>
            <w:tcW w:w="4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Borders>
              <w:bottom w:val="single" w:sz="8" w:color="0033A0"/>
            </w:tcBorders>
          </w:tcPr>
          <w:p>
            <w:pPr>
              <w:spacing w:after="0"/>
              <w:rPr>
                <w:sz w:val="2"/>
                <w:szCs w:val="2"/>
                <w:color w:val="auto"/>
              </w:rPr>
            </w:pPr>
          </w:p>
        </w:tc>
        <w:tc>
          <w:tcPr>
            <w:tcW w:w="1780" w:type="dxa"/>
            <w:vAlign w:val="bottom"/>
            <w:tcBorders>
              <w:bottom w:val="single" w:sz="8" w:color="0033A0"/>
            </w:tcBorders>
          </w:tcPr>
          <w:p>
            <w:pPr>
              <w:spacing w:after="0"/>
              <w:rPr>
                <w:sz w:val="2"/>
                <w:szCs w:val="2"/>
                <w:color w:val="auto"/>
              </w:rPr>
            </w:pPr>
          </w:p>
        </w:tc>
        <w:tc>
          <w:tcPr>
            <w:tcW w:w="100" w:type="dxa"/>
            <w:vAlign w:val="bottom"/>
            <w:tcBorders>
              <w:bottom w:val="single" w:sz="8" w:color="0033A0"/>
            </w:tcBorders>
          </w:tcPr>
          <w:p>
            <w:pPr>
              <w:spacing w:after="0"/>
              <w:rPr>
                <w:sz w:val="2"/>
                <w:szCs w:val="2"/>
                <w:color w:val="auto"/>
              </w:rPr>
            </w:pPr>
          </w:p>
        </w:tc>
        <w:tc>
          <w:tcPr>
            <w:tcW w:w="460" w:type="dxa"/>
            <w:vAlign w:val="bottom"/>
            <w:tcBorders>
              <w:bottom w:val="single" w:sz="8" w:color="0033A0"/>
            </w:tcBorders>
          </w:tcPr>
          <w:p>
            <w:pPr>
              <w:spacing w:after="0"/>
              <w:rPr>
                <w:sz w:val="2"/>
                <w:szCs w:val="2"/>
                <w:color w:val="auto"/>
              </w:rPr>
            </w:pPr>
          </w:p>
        </w:tc>
        <w:tc>
          <w:tcPr>
            <w:tcW w:w="4240" w:type="dxa"/>
            <w:vAlign w:val="bottom"/>
            <w:tcBorders>
              <w:bottom w:val="single" w:sz="8" w:color="0033A0"/>
            </w:tcBorders>
          </w:tcPr>
          <w:p>
            <w:pPr>
              <w:spacing w:after="0"/>
              <w:rPr>
                <w:sz w:val="2"/>
                <w:szCs w:val="2"/>
                <w:color w:val="auto"/>
              </w:rPr>
            </w:pPr>
          </w:p>
        </w:tc>
        <w:tc>
          <w:tcPr>
            <w:tcW w:w="2260" w:type="dxa"/>
            <w:vAlign w:val="bottom"/>
            <w:tcBorders>
              <w:bottom w:val="single" w:sz="8" w:color="0033A0"/>
            </w:tcBorders>
          </w:tcPr>
          <w:p>
            <w:pPr>
              <w:spacing w:after="0"/>
              <w:rPr>
                <w:sz w:val="2"/>
                <w:szCs w:val="2"/>
                <w:color w:val="auto"/>
              </w:rPr>
            </w:pPr>
          </w:p>
        </w:tc>
        <w:tc>
          <w:tcPr>
            <w:tcW w:w="600" w:type="dxa"/>
            <w:vAlign w:val="bottom"/>
            <w:tcBorders>
              <w:bottom w:val="single" w:sz="8" w:color="0033A0"/>
            </w:tcBorders>
          </w:tcPr>
          <w:p>
            <w:pPr>
              <w:spacing w:after="0"/>
              <w:rPr>
                <w:sz w:val="2"/>
                <w:szCs w:val="2"/>
                <w:color w:val="auto"/>
              </w:rPr>
            </w:pPr>
          </w:p>
        </w:tc>
        <w:tc>
          <w:tcPr>
            <w:tcW w:w="150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Arial" w:cs="Arial" w:eastAsia="Arial" w:hAnsi="Arial"/>
                <w:sz w:val="14"/>
                <w:szCs w:val="14"/>
                <w:color w:val="0033A0"/>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-111760</wp:posOffset>
            </wp:positionV>
            <wp:extent cx="6758305" cy="1282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SECURITY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5" w:lineRule="exact"/>
        <w:rPr>
          <w:sz w:val="20"/>
          <w:szCs w:val="20"/>
          <w:color w:val="auto"/>
        </w:rPr>
      </w:pPr>
    </w:p>
    <w:p>
      <w:pPr>
        <w:ind w:left="540" w:hanging="330"/>
        <w:spacing w:after="0"/>
        <w:tabs>
          <w:tab w:leader="none" w:pos="5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68" w:lineRule="exact"/>
        <w:rPr>
          <w:sz w:val="20"/>
          <w:szCs w:val="20"/>
          <w:color w:val="auto"/>
        </w:rPr>
      </w:pPr>
    </w:p>
    <w:p>
      <w:pPr>
        <w:ind w:left="540" w:hanging="330"/>
        <w:spacing w:after="0" w:line="278" w:lineRule="auto"/>
        <w:tabs>
          <w:tab w:leader="none" w:pos="54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BlackRock, Inc., and certain affiliates of Capital World Investors provide investment management services to Company-sponsored pension plans. The total amount of the fees will fluctuate based on allocation decisions made by the applicable fiduciary.</w:t>
      </w:r>
    </w:p>
    <w:p>
      <w:pPr>
        <w:spacing w:after="0" w:line="18" w:lineRule="exact"/>
        <w:rPr>
          <w:sz w:val="20"/>
          <w:szCs w:val="20"/>
          <w:color w:val="auto"/>
        </w:rPr>
      </w:pPr>
    </w:p>
    <w:p>
      <w:pPr>
        <w:ind w:left="540" w:hanging="330"/>
        <w:spacing w:after="0"/>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c/o General Motors Company, 300 Renaissance Center, Detroit, Michigan 48265.</w:t>
      </w:r>
    </w:p>
    <w:p>
      <w:pPr>
        <w:spacing w:after="0" w:line="68" w:lineRule="exact"/>
        <w:rPr>
          <w:rFonts w:ascii="Arial" w:cs="Arial" w:eastAsia="Arial" w:hAnsi="Arial"/>
          <w:sz w:val="14"/>
          <w:szCs w:val="14"/>
          <w:i w:val="1"/>
          <w:iCs w:val="1"/>
          <w:color w:val="auto"/>
        </w:rPr>
      </w:pPr>
    </w:p>
    <w:p>
      <w:pPr>
        <w:jc w:val="both"/>
        <w:ind w:left="540" w:hanging="330"/>
        <w:spacing w:after="0" w:line="253"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Directors are granted Deferred Share Units (“DSUs”), which are unit equivalents of our common stock, under the Director Compensation Plan described on page 18. Directors hold the following number of DSUs: 16,912 DSUs for Ms. Gooden; 29,881 DSUs for Mr. Jimenez; 20,875 DSUs for Ms. Mendillo; 1,043 DSUs for Ms. Miscik; 25,103 DSUs for Adm. Mullen; 55,980 DSUs for Mr. Mulva; 35,010 DSUs for Ms. Russo; 30,005 DSUs for Mr. Schoewe; 74,342 DSUs for Mr. Solso; 59,317 DSUs for Ms. Stephenson; and 5,928 DSUs for Mr. Wenig.</w:t>
      </w:r>
    </w:p>
    <w:p>
      <w:pPr>
        <w:spacing w:after="0" w:line="36" w:lineRule="exact"/>
        <w:rPr>
          <w:rFonts w:ascii="Arial" w:cs="Arial" w:eastAsia="Arial" w:hAnsi="Arial"/>
          <w:sz w:val="14"/>
          <w:szCs w:val="14"/>
          <w:i w:val="1"/>
          <w:iCs w:val="1"/>
          <w:color w:val="auto"/>
        </w:rPr>
      </w:pPr>
    </w:p>
    <w:p>
      <w:pPr>
        <w:jc w:val="both"/>
        <w:ind w:left="540" w:hanging="330"/>
        <w:spacing w:after="0" w:line="260"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include shares that may be acquired upon exercise of stock options that are currently exercisable or will become exercisable within 60 days of April 1, 2019, as follows: 2,655,387 shares for Ms. Barra; 156,302 shares for Ms. Suryadevara; 995,850 shares for Mr. Ammann; 342,248 shares for Mr. Reuss; 189,324 shares for Mr. Batey; and 165,174 shares for Mr. Stevens.</w:t>
      </w:r>
    </w:p>
    <w:p>
      <w:pPr>
        <w:spacing w:after="0" w:line="29" w:lineRule="exact"/>
        <w:rPr>
          <w:rFonts w:ascii="Arial" w:cs="Arial" w:eastAsia="Arial" w:hAnsi="Arial"/>
          <w:sz w:val="14"/>
          <w:szCs w:val="14"/>
          <w:i w:val="1"/>
          <w:iCs w:val="1"/>
          <w:color w:val="auto"/>
        </w:rPr>
      </w:pPr>
    </w:p>
    <w:p>
      <w:pPr>
        <w:ind w:left="540" w:hanging="330"/>
        <w:spacing w:after="0" w:line="278"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 is permitted to rely on the information reported by each beneficial owner in filings with the Securities and Exchange Commission (“SEC”) and has no reason to believe that the information is incomplete or inaccurate or that the beneficial owner should have filed an amended report and did not.</w:t>
      </w:r>
    </w:p>
    <w:p>
      <w:pPr>
        <w:spacing w:after="0" w:line="18" w:lineRule="exact"/>
        <w:rPr>
          <w:rFonts w:ascii="Arial" w:cs="Arial" w:eastAsia="Arial" w:hAnsi="Arial"/>
          <w:sz w:val="14"/>
          <w:szCs w:val="14"/>
          <w:i w:val="1"/>
          <w:iCs w:val="1"/>
          <w:color w:val="auto"/>
        </w:rPr>
      </w:pPr>
    </w:p>
    <w:p>
      <w:pPr>
        <w:jc w:val="both"/>
        <w:ind w:left="540" w:hanging="330"/>
        <w:spacing w:after="0" w:line="253"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information set forth in Schedule 13G filed with the SEC on February 14, 2019, Capital World Investors reported that as of December 31, 2018, it had sole voting and dispositive power for 103,755,329 shares of GM’s outstanding common stock. No shared voting or dispositive powers were reported. Capital World Investors divisions of Capital Research and Management Company and Capital International Limited collectively provide investment management services under the name Capital World Investors. The address for Capital World Investors is 333 South Hope Street, Los Angeles, California 90071.</w:t>
      </w:r>
    </w:p>
    <w:p>
      <w:pPr>
        <w:spacing w:after="0" w:line="36" w:lineRule="exact"/>
        <w:rPr>
          <w:rFonts w:ascii="Arial" w:cs="Arial" w:eastAsia="Arial" w:hAnsi="Arial"/>
          <w:sz w:val="14"/>
          <w:szCs w:val="14"/>
          <w:i w:val="1"/>
          <w:iCs w:val="1"/>
          <w:color w:val="auto"/>
        </w:rPr>
      </w:pPr>
    </w:p>
    <w:p>
      <w:pPr>
        <w:jc w:val="both"/>
        <w:ind w:left="540" w:hanging="330"/>
        <w:spacing w:after="0" w:line="253"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13G/A filed with the SEC on February 11, 2019, The Vanguard Group reported that it and its subsidiaries listed on Appendix A of Schedule 13G/A were the beneficial owners of 100,405,163 shares of GM’s outstanding common stock as of December 31, 2018. As of December 31, 2018, The Vanguard Group had the sole power to vote 1,506,930 shares; the sole power to dispose of 98,680,854 shares; the shared power to vote 284,478 shares; and the shared power to dispose of 1,724,309 shares. The address for The Vanguard Group is 100 Vanguard Boulevard, Malvern, Pennsylvania 19355.</w:t>
      </w:r>
    </w:p>
    <w:p>
      <w:pPr>
        <w:spacing w:after="0" w:line="36" w:lineRule="exact"/>
        <w:rPr>
          <w:rFonts w:ascii="Arial" w:cs="Arial" w:eastAsia="Arial" w:hAnsi="Arial"/>
          <w:sz w:val="14"/>
          <w:szCs w:val="14"/>
          <w:i w:val="1"/>
          <w:iCs w:val="1"/>
          <w:color w:val="auto"/>
        </w:rPr>
      </w:pPr>
    </w:p>
    <w:p>
      <w:pPr>
        <w:jc w:val="both"/>
        <w:ind w:left="540" w:hanging="330"/>
        <w:spacing w:after="0" w:line="253"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information set forth in a Form 4 filed with the SEC on March 5, 2018, the UAW Retiree Medical Benefits Trust, as advised by its fiduciary and investment advisor Brock Fiduciary Services LLC, reported that as of March 5, 2018, it had shared voting and dispositive power of 100,150,000 shares of GM’s outstanding common stock. No sole voting and dispositive powers were reported. The address for the UAW Retiree Medical Benefits Trust is 200 Walker Street, Detroit, Michigan 48207. The UAW Medical Benefits Trust’s percentage ownership is based on 1,420,831,726 shares of our common stock outstanding as of April 8, 2019.</w:t>
      </w:r>
    </w:p>
    <w:p>
      <w:pPr>
        <w:spacing w:after="0" w:line="36" w:lineRule="exact"/>
        <w:rPr>
          <w:rFonts w:ascii="Arial" w:cs="Arial" w:eastAsia="Arial" w:hAnsi="Arial"/>
          <w:sz w:val="14"/>
          <w:szCs w:val="14"/>
          <w:i w:val="1"/>
          <w:iCs w:val="1"/>
          <w:color w:val="auto"/>
        </w:rPr>
      </w:pPr>
    </w:p>
    <w:p>
      <w:pPr>
        <w:jc w:val="both"/>
        <w:ind w:left="540"/>
        <w:spacing w:after="0" w:line="253" w:lineRule="auto"/>
        <w:rPr>
          <w:rFonts w:ascii="Arial" w:cs="Arial" w:eastAsia="Arial" w:hAnsi="Arial"/>
          <w:sz w:val="14"/>
          <w:szCs w:val="14"/>
          <w:i w:val="1"/>
          <w:iCs w:val="1"/>
          <w:color w:val="auto"/>
        </w:rPr>
      </w:pPr>
      <w:r>
        <w:rPr>
          <w:rFonts w:ascii="Arial" w:cs="Arial" w:eastAsia="Arial" w:hAnsi="Arial"/>
          <w:sz w:val="14"/>
          <w:szCs w:val="14"/>
          <w:i w:val="1"/>
          <w:iCs w:val="1"/>
          <w:color w:val="auto"/>
        </w:rPr>
        <w:t>Pursuant to the Stockholders Agreement dated October 15, 2009, between the Company and the UAW Retiree Medical Benefits Trust, the Trust will vote its shares of our common stock on each matter presented to the shareholders at the Annual Meeting in the same proportionate manner as the holders of our common stock other than our directors and executive officers. The Trust will be subject to the terms of the Stockholders Agreement until it beneficially owns less than 2% of the shares of our common stock then issued and outstanding.</w:t>
      </w:r>
    </w:p>
    <w:p>
      <w:pPr>
        <w:spacing w:after="0" w:line="36" w:lineRule="exact"/>
        <w:rPr>
          <w:rFonts w:ascii="Arial" w:cs="Arial" w:eastAsia="Arial" w:hAnsi="Arial"/>
          <w:sz w:val="14"/>
          <w:szCs w:val="14"/>
          <w:i w:val="1"/>
          <w:iCs w:val="1"/>
          <w:color w:val="auto"/>
        </w:rPr>
      </w:pPr>
    </w:p>
    <w:p>
      <w:pPr>
        <w:jc w:val="both"/>
        <w:ind w:left="540" w:right="20" w:hanging="330"/>
        <w:spacing w:after="0" w:line="253"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information set forth in Schedule 13G/A filed with the SEC on February 4, 2019, Blackrock, Inc., reported that it and its subsidiaries listed on Exhibit A to Schedule 13G/A were the beneficial owners of 78,211,614 shares of GM’s outstanding common stock as of December 31, 2018. BlackRock reported having sole voting power for 67,432,668 shares and sole dispositive power of 78,211,614 shares. No shared voting or dispositive powers were reported. The address for BlackRock, Inc., is 55 East 52nd Street, New York, New York 10055.</w:t>
      </w:r>
    </w:p>
    <w:p>
      <w:pPr>
        <w:spacing w:after="0" w:line="36" w:lineRule="exact"/>
        <w:rPr>
          <w:rFonts w:ascii="Arial" w:cs="Arial" w:eastAsia="Arial" w:hAnsi="Arial"/>
          <w:sz w:val="14"/>
          <w:szCs w:val="14"/>
          <w:i w:val="1"/>
          <w:iCs w:val="1"/>
          <w:color w:val="auto"/>
        </w:rPr>
      </w:pPr>
    </w:p>
    <w:p>
      <w:pPr>
        <w:jc w:val="both"/>
        <w:ind w:left="540" w:hanging="330"/>
        <w:spacing w:after="0" w:line="260" w:lineRule="auto"/>
        <w:tabs>
          <w:tab w:leader="none" w:pos="5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information set forth in Schedule 13G filed with the SEC on February 14, 2019, Warren E. Buffet and Berkshire Hathaway Inc. and its subsidiaries listed on Exhibit A to Schedule 13G reported being the beneficial owners of 72,269,696 shares of GM’s outstanding common stock as of December 31, 2018, having shared voting and dispositive power of 72,269,696 shares. No sole voting or dispositive power was reported.</w:t>
      </w: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Section 16(a) Beneficial Ownership Reporting Compliance</w:t>
      </w:r>
    </w:p>
    <w:p>
      <w:pPr>
        <w:spacing w:after="0" w:line="294"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Federal securities laws require that our directors and executive officers and shareholders that own more than 10% of our common stock report to the SEC and the Company certain changes in ownership and ownership information within specified periods. Based solely on a review of the reports furnished to us or filed with the SEC and upon information furnished by these people, we believe that during 2018 all of our directors and officers timely filed all reports they were required to file under Section 16(a) of the Securities Exchange Act of 1934.</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36 </w:t>
      </w:r>
      <w:r>
        <w:rPr>
          <w:sz w:val="1"/>
          <w:szCs w:val="1"/>
          <w:color w:val="auto"/>
        </w:rPr>
        <w:drawing>
          <wp:inline distT="0" distB="0" distL="0" distR="0">
            <wp:extent cx="6852920" cy="14541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38"/>
          <w:szCs w:val="38"/>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419100</wp:posOffset>
            </wp:positionV>
            <wp:extent cx="616712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671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560" w:type="dxa"/>
            <w:vAlign w:val="bottom"/>
            <w:gridSpan w:val="5"/>
          </w:tcPr>
          <w:p>
            <w:pPr>
              <w:spacing w:after="0"/>
              <w:rPr>
                <w:sz w:val="20"/>
                <w:szCs w:val="20"/>
                <w:color w:val="auto"/>
              </w:rPr>
            </w:pPr>
            <w:r>
              <w:rPr>
                <w:rFonts w:ascii="Arial" w:cs="Arial" w:eastAsia="Arial" w:hAnsi="Arial"/>
                <w:sz w:val="18"/>
                <w:szCs w:val="18"/>
                <w:b w:val="1"/>
                <w:bCs w:val="1"/>
                <w:color w:val="0033A0"/>
              </w:rPr>
              <w:t>Compensation Discussion and Analysis (CD&amp;A)</w:t>
            </w:r>
          </w:p>
        </w:tc>
        <w:tc>
          <w:tcPr>
            <w:tcW w:w="104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66">
              <w:r>
                <w:rPr>
                  <w:rFonts w:ascii="Arial" w:cs="Arial" w:eastAsia="Arial" w:hAnsi="Arial"/>
                  <w:sz w:val="18"/>
                  <w:szCs w:val="18"/>
                  <w:b w:val="1"/>
                  <w:bCs w:val="1"/>
                  <w:color w:val="0000EE"/>
                  <w:w w:val="99"/>
                </w:rPr>
                <w:t>Executive Compensation Tables</w:t>
              </w:r>
            </w:hyperlink>
          </w:p>
        </w:tc>
        <w:tc>
          <w:tcPr>
            <w:tcW w:w="148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760" w:type="dxa"/>
            <w:vAlign w:val="bottom"/>
            <w:gridSpan w:val="2"/>
          </w:tcPr>
          <w:p>
            <w:pPr>
              <w:spacing w:after="0"/>
              <w:rPr>
                <w:rFonts w:ascii="Arial" w:cs="Arial" w:eastAsia="Arial" w:hAnsi="Arial"/>
                <w:sz w:val="16"/>
                <w:szCs w:val="16"/>
                <w:color w:val="0000EE"/>
                <w:w w:val="98"/>
              </w:rPr>
            </w:pPr>
            <w:hyperlink w:anchor="page46">
              <w:r>
                <w:rPr>
                  <w:rFonts w:ascii="Arial" w:cs="Arial" w:eastAsia="Arial" w:hAnsi="Arial"/>
                  <w:sz w:val="16"/>
                  <w:szCs w:val="16"/>
                  <w:color w:val="0000EE"/>
                  <w:w w:val="98"/>
                </w:rPr>
                <w:t>Compensation Overview</w:t>
              </w:r>
            </w:hyperlink>
          </w:p>
        </w:tc>
        <w:tc>
          <w:tcPr>
            <w:tcW w:w="2800" w:type="dxa"/>
            <w:vAlign w:val="bottom"/>
            <w:gridSpan w:val="3"/>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38</w:t>
            </w:r>
          </w:p>
        </w:tc>
        <w:tc>
          <w:tcPr>
            <w:tcW w:w="4240" w:type="dxa"/>
            <w:vAlign w:val="bottom"/>
            <w:gridSpan w:val="10"/>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Summary Compensation Table</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560" w:type="dxa"/>
            <w:vAlign w:val="bottom"/>
            <w:gridSpan w:val="5"/>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Compensation Principles</w:t>
              </w:r>
            </w:hyperlink>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44</w:t>
            </w:r>
          </w:p>
        </w:tc>
        <w:tc>
          <w:tcPr>
            <w:tcW w:w="4240" w:type="dxa"/>
            <w:vAlign w:val="bottom"/>
            <w:gridSpan w:val="10"/>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Grants of Plan-Based Awards</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760" w:type="dxa"/>
            <w:vAlign w:val="bottom"/>
            <w:gridSpan w:val="2"/>
          </w:tcPr>
          <w:p>
            <w:pPr>
              <w:spacing w:after="0"/>
              <w:rPr>
                <w:rFonts w:ascii="Arial" w:cs="Arial" w:eastAsia="Arial" w:hAnsi="Arial"/>
                <w:sz w:val="16"/>
                <w:szCs w:val="16"/>
                <w:color w:val="0000EE"/>
                <w:w w:val="98"/>
              </w:rPr>
            </w:pPr>
            <w:hyperlink w:anchor="page52">
              <w:r>
                <w:rPr>
                  <w:rFonts w:ascii="Arial" w:cs="Arial" w:eastAsia="Arial" w:hAnsi="Arial"/>
                  <w:sz w:val="16"/>
                  <w:szCs w:val="16"/>
                  <w:color w:val="0000EE"/>
                  <w:w w:val="98"/>
                </w:rPr>
                <w:t>Compensation Elements</w:t>
              </w:r>
            </w:hyperlink>
          </w:p>
        </w:tc>
        <w:tc>
          <w:tcPr>
            <w:tcW w:w="2800" w:type="dxa"/>
            <w:vAlign w:val="bottom"/>
            <w:gridSpan w:val="3"/>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44</w:t>
            </w:r>
          </w:p>
        </w:tc>
        <w:tc>
          <w:tcPr>
            <w:tcW w:w="4240" w:type="dxa"/>
            <w:vAlign w:val="bottom"/>
            <w:gridSpan w:val="10"/>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Outstanding Equity Awards at Fiscal Year-End</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196"/>
        </w:trPr>
        <w:tc>
          <w:tcPr>
            <w:tcW w:w="1680" w:type="dxa"/>
            <w:vAlign w:val="bottom"/>
            <w:tcBorders>
              <w:top w:val="single" w:sz="8" w:color="0000EE"/>
              <w:bottom w:val="single" w:sz="8" w:color="0000EE"/>
            </w:tcBorders>
          </w:tcPr>
          <w:p>
            <w:pPr>
              <w:spacing w:after="0"/>
              <w:rPr>
                <w:rFonts w:ascii="Arial" w:cs="Arial" w:eastAsia="Arial" w:hAnsi="Arial"/>
                <w:sz w:val="16"/>
                <w:szCs w:val="16"/>
                <w:color w:val="0000EE"/>
                <w:w w:val="99"/>
              </w:rPr>
            </w:pPr>
            <w:hyperlink w:anchor="page53">
              <w:r>
                <w:rPr>
                  <w:rFonts w:ascii="Arial" w:cs="Arial" w:eastAsia="Arial" w:hAnsi="Arial"/>
                  <w:sz w:val="16"/>
                  <w:szCs w:val="16"/>
                  <w:color w:val="0000EE"/>
                  <w:w w:val="99"/>
                </w:rPr>
                <w:t>Performance Measures</w:t>
              </w:r>
            </w:hyperlink>
          </w:p>
        </w:tc>
        <w:tc>
          <w:tcPr>
            <w:tcW w:w="80" w:type="dxa"/>
            <w:vAlign w:val="bottom"/>
            <w:tcBorders>
              <w:top w:val="single" w:sz="8" w:color="0000EE"/>
            </w:tcBorders>
          </w:tcPr>
          <w:p>
            <w:pPr>
              <w:spacing w:after="0"/>
              <w:rPr>
                <w:sz w:val="17"/>
                <w:szCs w:val="17"/>
                <w:color w:val="auto"/>
              </w:rPr>
            </w:pPr>
          </w:p>
        </w:tc>
        <w:tc>
          <w:tcPr>
            <w:tcW w:w="2800" w:type="dxa"/>
            <w:vAlign w:val="bottom"/>
            <w:gridSpan w:val="3"/>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45</w:t>
            </w:r>
          </w:p>
        </w:tc>
        <w:tc>
          <w:tcPr>
            <w:tcW w:w="2540" w:type="dxa"/>
            <w:vAlign w:val="bottom"/>
            <w:tcBorders>
              <w:top w:val="single" w:sz="8" w:color="0000EE"/>
              <w:bottom w:val="single" w:sz="8" w:color="0000EE"/>
            </w:tcBorders>
            <w:gridSpan w:val="4"/>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Option Exercises and Stock Vested</w:t>
              </w:r>
            </w:hyperlink>
          </w:p>
        </w:tc>
        <w:tc>
          <w:tcPr>
            <w:tcW w:w="780" w:type="dxa"/>
            <w:vAlign w:val="bottom"/>
            <w:tcBorders>
              <w:top w:val="single" w:sz="8" w:color="0000EE"/>
            </w:tcBorders>
            <w:gridSpan w:val="5"/>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6"/>
        </w:trPr>
        <w:tc>
          <w:tcPr>
            <w:tcW w:w="3660" w:type="dxa"/>
            <w:vAlign w:val="bottom"/>
            <w:gridSpan w:val="4"/>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Performance Results and Compensation Decisions</w:t>
              </w:r>
            </w:hyperlink>
          </w:p>
        </w:tc>
        <w:tc>
          <w:tcPr>
            <w:tcW w:w="900" w:type="dxa"/>
            <w:vAlign w:val="bottom"/>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47</w:t>
            </w:r>
          </w:p>
        </w:tc>
        <w:tc>
          <w:tcPr>
            <w:tcW w:w="4240" w:type="dxa"/>
            <w:vAlign w:val="bottom"/>
            <w:gridSpan w:val="10"/>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Pension Benefits</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2400" w:type="dxa"/>
            <w:vAlign w:val="bottom"/>
            <w:gridSpan w:val="3"/>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660" w:type="dxa"/>
            <w:vAlign w:val="bottom"/>
            <w:gridSpan w:val="4"/>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Compensation Policies and Governance Practices</w:t>
              </w:r>
            </w:hyperlink>
          </w:p>
        </w:tc>
        <w:tc>
          <w:tcPr>
            <w:tcW w:w="900" w:type="dxa"/>
            <w:vAlign w:val="bottom"/>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55</w:t>
            </w:r>
          </w:p>
        </w:tc>
        <w:tc>
          <w:tcPr>
            <w:tcW w:w="4240" w:type="dxa"/>
            <w:vAlign w:val="bottom"/>
            <w:gridSpan w:val="10"/>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Nonqualified Deferred Compensation Plan</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96"/>
        </w:trPr>
        <w:tc>
          <w:tcPr>
            <w:tcW w:w="240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Compensation Committee Report</w:t>
              </w:r>
            </w:hyperlink>
          </w:p>
        </w:tc>
        <w:tc>
          <w:tcPr>
            <w:tcW w:w="126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57</w:t>
            </w:r>
          </w:p>
        </w:tc>
        <w:tc>
          <w:tcPr>
            <w:tcW w:w="2720" w:type="dxa"/>
            <w:vAlign w:val="bottom"/>
            <w:tcBorders>
              <w:top w:val="single" w:sz="8" w:color="0000EE"/>
              <w:bottom w:val="single" w:sz="8" w:color="0000EE"/>
            </w:tcBorders>
            <w:gridSpan w:val="5"/>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Potential Payments Upon Termination</w:t>
              </w:r>
            </w:hyperlink>
          </w:p>
        </w:tc>
        <w:tc>
          <w:tcPr>
            <w:tcW w:w="320" w:type="dxa"/>
            <w:vAlign w:val="bottom"/>
            <w:tcBorders>
              <w:top w:val="single" w:sz="8" w:color="0000EE"/>
            </w:tcBorders>
            <w:gridSpan w:val="3"/>
          </w:tcPr>
          <w:p>
            <w:pPr>
              <w:spacing w:after="0"/>
              <w:rPr>
                <w:sz w:val="17"/>
                <w:szCs w:val="17"/>
                <w:color w:val="auto"/>
              </w:rPr>
            </w:pPr>
          </w:p>
        </w:tc>
        <w:tc>
          <w:tcPr>
            <w:tcW w:w="1200" w:type="dxa"/>
            <w:vAlign w:val="bottom"/>
            <w:gridSpan w:val="2"/>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96"/>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Borders>
              <w:bottom w:val="single" w:sz="8" w:color="0000EE"/>
            </w:tcBorders>
            <w:gridSpan w:val="7"/>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Equity Compensation Plan Information</w:t>
              </w:r>
            </w:hyperlink>
          </w:p>
        </w:tc>
        <w:tc>
          <w:tcPr>
            <w:tcW w:w="1460" w:type="dxa"/>
            <w:vAlign w:val="bottom"/>
            <w:gridSpan w:val="3"/>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659765</wp:posOffset>
            </wp:positionV>
            <wp:extent cx="616712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671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20" w:type="dxa"/>
            <w:vAlign w:val="bottom"/>
          </w:tcPr>
          <w:p>
            <w:pPr>
              <w:spacing w:after="0"/>
              <w:rPr>
                <w:sz w:val="20"/>
                <w:szCs w:val="20"/>
                <w:color w:val="auto"/>
              </w:rPr>
            </w:pPr>
            <w:r>
              <w:rPr>
                <w:rFonts w:ascii="Arial" w:cs="Arial" w:eastAsia="Arial" w:hAnsi="Arial"/>
                <w:sz w:val="15"/>
                <w:szCs w:val="15"/>
                <w:color w:val="auto"/>
              </w:rPr>
              <w:t>AFCF</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Automotive Free Cash Flow</w:t>
            </w:r>
          </w:p>
        </w:tc>
        <w:tc>
          <w:tcPr>
            <w:tcW w:w="1460" w:type="dxa"/>
            <w:vAlign w:val="bottom"/>
          </w:tcPr>
          <w:p>
            <w:pPr>
              <w:ind w:left="940"/>
              <w:spacing w:after="0"/>
              <w:rPr>
                <w:sz w:val="20"/>
                <w:szCs w:val="20"/>
                <w:color w:val="auto"/>
              </w:rPr>
            </w:pPr>
            <w:r>
              <w:rPr>
                <w:rFonts w:ascii="Arial" w:cs="Arial" w:eastAsia="Arial" w:hAnsi="Arial"/>
                <w:sz w:val="15"/>
                <w:szCs w:val="15"/>
                <w:color w:val="auto"/>
              </w:rPr>
              <w:t>NEO</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Named Executive Officer</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0"/>
                <w:szCs w:val="20"/>
                <w:color w:val="auto"/>
              </w:rPr>
            </w:pPr>
            <w:r>
              <w:rPr>
                <w:rFonts w:ascii="Arial" w:cs="Arial" w:eastAsia="Arial" w:hAnsi="Arial"/>
                <w:sz w:val="15"/>
                <w:szCs w:val="15"/>
                <w:color w:val="auto"/>
              </w:rPr>
              <w:t>DB</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Defined Benefit</w:t>
            </w:r>
          </w:p>
        </w:tc>
        <w:tc>
          <w:tcPr>
            <w:tcW w:w="1460" w:type="dxa"/>
            <w:vAlign w:val="bottom"/>
          </w:tcPr>
          <w:p>
            <w:pPr>
              <w:ind w:left="940"/>
              <w:spacing w:after="0"/>
              <w:rPr>
                <w:sz w:val="20"/>
                <w:szCs w:val="20"/>
                <w:color w:val="auto"/>
              </w:rPr>
            </w:pPr>
            <w:r>
              <w:rPr>
                <w:rFonts w:ascii="Arial" w:cs="Arial" w:eastAsia="Arial" w:hAnsi="Arial"/>
                <w:sz w:val="15"/>
                <w:szCs w:val="15"/>
                <w:color w:val="auto"/>
              </w:rPr>
              <w:t>NQ</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Non-Qualified</w:t>
            </w:r>
          </w:p>
        </w:tc>
        <w:tc>
          <w:tcPr>
            <w:tcW w:w="0" w:type="dxa"/>
            <w:vAlign w:val="bottom"/>
          </w:tcPr>
          <w:p>
            <w:pPr>
              <w:spacing w:after="0"/>
              <w:rPr>
                <w:sz w:val="1"/>
                <w:szCs w:val="1"/>
                <w:color w:val="auto"/>
              </w:rPr>
            </w:pPr>
          </w:p>
        </w:tc>
      </w:tr>
      <w:tr>
        <w:trPr>
          <w:trHeight w:val="247"/>
        </w:trPr>
        <w:tc>
          <w:tcPr>
            <w:tcW w:w="520" w:type="dxa"/>
            <w:vAlign w:val="bottom"/>
          </w:tcPr>
          <w:p>
            <w:pPr>
              <w:spacing w:after="0"/>
              <w:rPr>
                <w:sz w:val="20"/>
                <w:szCs w:val="20"/>
                <w:color w:val="auto"/>
              </w:rPr>
            </w:pPr>
            <w:r>
              <w:rPr>
                <w:rFonts w:ascii="Arial" w:cs="Arial" w:eastAsia="Arial" w:hAnsi="Arial"/>
                <w:sz w:val="15"/>
                <w:szCs w:val="15"/>
                <w:color w:val="auto"/>
              </w:rPr>
              <w:t>DC</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Defined Contribution</w:t>
            </w:r>
          </w:p>
        </w:tc>
        <w:tc>
          <w:tcPr>
            <w:tcW w:w="1460" w:type="dxa"/>
            <w:vAlign w:val="bottom"/>
          </w:tcPr>
          <w:p>
            <w:pPr>
              <w:ind w:left="940"/>
              <w:spacing w:after="0"/>
              <w:rPr>
                <w:sz w:val="20"/>
                <w:szCs w:val="20"/>
                <w:color w:val="auto"/>
              </w:rPr>
            </w:pPr>
            <w:r>
              <w:rPr>
                <w:rFonts w:ascii="Arial" w:cs="Arial" w:eastAsia="Arial" w:hAnsi="Arial"/>
                <w:sz w:val="15"/>
                <w:szCs w:val="15"/>
                <w:color w:val="auto"/>
              </w:rPr>
              <w:t>OEM</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Original Equipment Manufacturer</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0"/>
                <w:szCs w:val="20"/>
                <w:color w:val="auto"/>
              </w:rPr>
            </w:pPr>
            <w:r>
              <w:rPr>
                <w:rFonts w:ascii="Arial" w:cs="Arial" w:eastAsia="Arial" w:hAnsi="Arial"/>
                <w:sz w:val="15"/>
                <w:szCs w:val="15"/>
                <w:color w:val="auto"/>
              </w:rPr>
              <w:t>DSV</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Driving Stockholder Value</w:t>
            </w:r>
          </w:p>
        </w:tc>
        <w:tc>
          <w:tcPr>
            <w:tcW w:w="1460" w:type="dxa"/>
            <w:vAlign w:val="bottom"/>
          </w:tcPr>
          <w:p>
            <w:pPr>
              <w:ind w:left="940"/>
              <w:spacing w:after="0"/>
              <w:rPr>
                <w:sz w:val="20"/>
                <w:szCs w:val="20"/>
                <w:color w:val="auto"/>
              </w:rPr>
            </w:pPr>
            <w:r>
              <w:rPr>
                <w:rFonts w:ascii="Arial" w:cs="Arial" w:eastAsia="Arial" w:hAnsi="Arial"/>
                <w:sz w:val="15"/>
                <w:szCs w:val="15"/>
                <w:color w:val="auto"/>
              </w:rPr>
              <w:t>PSU</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Performance Share Unit</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0"/>
                <w:szCs w:val="20"/>
                <w:color w:val="auto"/>
              </w:rPr>
            </w:pPr>
            <w:r>
              <w:rPr>
                <w:rFonts w:ascii="Arial" w:cs="Arial" w:eastAsia="Arial" w:hAnsi="Arial"/>
                <w:sz w:val="15"/>
                <w:szCs w:val="15"/>
                <w:color w:val="auto"/>
              </w:rPr>
              <w:t>EBIT</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Earnings Before Interest and Taxes</w:t>
            </w:r>
          </w:p>
        </w:tc>
        <w:tc>
          <w:tcPr>
            <w:tcW w:w="1460" w:type="dxa"/>
            <w:vAlign w:val="bottom"/>
          </w:tcPr>
          <w:p>
            <w:pPr>
              <w:ind w:left="940"/>
              <w:spacing w:after="0"/>
              <w:rPr>
                <w:sz w:val="20"/>
                <w:szCs w:val="20"/>
                <w:color w:val="auto"/>
              </w:rPr>
            </w:pPr>
            <w:r>
              <w:rPr>
                <w:rFonts w:ascii="Arial" w:cs="Arial" w:eastAsia="Arial" w:hAnsi="Arial"/>
                <w:sz w:val="15"/>
                <w:szCs w:val="15"/>
                <w:color w:val="auto"/>
              </w:rPr>
              <w:t>RSA</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Restricted Stock Award</w:t>
            </w:r>
          </w:p>
        </w:tc>
        <w:tc>
          <w:tcPr>
            <w:tcW w:w="0" w:type="dxa"/>
            <w:vAlign w:val="bottom"/>
          </w:tcPr>
          <w:p>
            <w:pPr>
              <w:spacing w:after="0"/>
              <w:rPr>
                <w:sz w:val="1"/>
                <w:szCs w:val="1"/>
                <w:color w:val="auto"/>
              </w:rPr>
            </w:pPr>
          </w:p>
        </w:tc>
      </w:tr>
      <w:tr>
        <w:trPr>
          <w:trHeight w:val="246"/>
        </w:trPr>
        <w:tc>
          <w:tcPr>
            <w:tcW w:w="520" w:type="dxa"/>
            <w:vAlign w:val="bottom"/>
          </w:tcPr>
          <w:p>
            <w:pPr>
              <w:spacing w:after="0"/>
              <w:rPr>
                <w:sz w:val="20"/>
                <w:szCs w:val="20"/>
                <w:color w:val="auto"/>
              </w:rPr>
            </w:pPr>
            <w:r>
              <w:rPr>
                <w:rFonts w:ascii="Arial" w:cs="Arial" w:eastAsia="Arial" w:hAnsi="Arial"/>
                <w:sz w:val="15"/>
                <w:szCs w:val="15"/>
                <w:color w:val="auto"/>
              </w:rPr>
              <w:t>EPS</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Earnings Per Share</w:t>
            </w:r>
          </w:p>
        </w:tc>
        <w:tc>
          <w:tcPr>
            <w:tcW w:w="1460" w:type="dxa"/>
            <w:vAlign w:val="bottom"/>
          </w:tcPr>
          <w:p>
            <w:pPr>
              <w:ind w:left="940"/>
              <w:spacing w:after="0"/>
              <w:rPr>
                <w:sz w:val="20"/>
                <w:szCs w:val="20"/>
                <w:color w:val="auto"/>
              </w:rPr>
            </w:pPr>
            <w:r>
              <w:rPr>
                <w:rFonts w:ascii="Arial" w:cs="Arial" w:eastAsia="Arial" w:hAnsi="Arial"/>
                <w:sz w:val="15"/>
                <w:szCs w:val="15"/>
                <w:color w:val="auto"/>
              </w:rPr>
              <w:t>ROIC</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Return on Invested Capital</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0"/>
                <w:szCs w:val="20"/>
                <w:color w:val="auto"/>
              </w:rPr>
            </w:pPr>
            <w:r>
              <w:rPr>
                <w:rFonts w:ascii="Arial" w:cs="Arial" w:eastAsia="Arial" w:hAnsi="Arial"/>
                <w:sz w:val="15"/>
                <w:szCs w:val="15"/>
                <w:color w:val="auto"/>
              </w:rPr>
              <w:t>ESG</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Environmental, Social, and Governance</w:t>
            </w:r>
          </w:p>
        </w:tc>
        <w:tc>
          <w:tcPr>
            <w:tcW w:w="1460" w:type="dxa"/>
            <w:vAlign w:val="bottom"/>
          </w:tcPr>
          <w:p>
            <w:pPr>
              <w:ind w:left="940"/>
              <w:spacing w:after="0"/>
              <w:rPr>
                <w:sz w:val="20"/>
                <w:szCs w:val="20"/>
                <w:color w:val="auto"/>
              </w:rPr>
            </w:pPr>
            <w:r>
              <w:rPr>
                <w:rFonts w:ascii="Arial" w:cs="Arial" w:eastAsia="Arial" w:hAnsi="Arial"/>
                <w:sz w:val="15"/>
                <w:szCs w:val="15"/>
                <w:color w:val="auto"/>
              </w:rPr>
              <w:t>RSU</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Restricted Stock Unit</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20"/>
                <w:szCs w:val="20"/>
                <w:color w:val="auto"/>
              </w:rPr>
            </w:pPr>
            <w:r>
              <w:rPr>
                <w:rFonts w:ascii="Arial" w:cs="Arial" w:eastAsia="Arial" w:hAnsi="Arial"/>
                <w:sz w:val="15"/>
                <w:szCs w:val="15"/>
                <w:color w:val="auto"/>
              </w:rPr>
              <w:t>LTIP</w:t>
            </w: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3860" w:type="dxa"/>
            <w:vAlign w:val="bottom"/>
          </w:tcPr>
          <w:p>
            <w:pPr>
              <w:ind w:left="80"/>
              <w:spacing w:after="0"/>
              <w:rPr>
                <w:sz w:val="20"/>
                <w:szCs w:val="20"/>
                <w:color w:val="auto"/>
              </w:rPr>
            </w:pPr>
            <w:r>
              <w:rPr>
                <w:rFonts w:ascii="Arial" w:cs="Arial" w:eastAsia="Arial" w:hAnsi="Arial"/>
                <w:sz w:val="15"/>
                <w:szCs w:val="15"/>
                <w:color w:val="auto"/>
              </w:rPr>
              <w:t>Long-Term Incentive Plan</w:t>
            </w:r>
          </w:p>
        </w:tc>
        <w:tc>
          <w:tcPr>
            <w:tcW w:w="1460" w:type="dxa"/>
            <w:vAlign w:val="bottom"/>
            <w:vMerge w:val="restart"/>
          </w:tcPr>
          <w:p>
            <w:pPr>
              <w:ind w:left="940"/>
              <w:spacing w:after="0"/>
              <w:rPr>
                <w:sz w:val="20"/>
                <w:szCs w:val="20"/>
                <w:color w:val="auto"/>
              </w:rPr>
            </w:pPr>
            <w:r>
              <w:rPr>
                <w:rFonts w:ascii="Arial" w:cs="Arial" w:eastAsia="Arial" w:hAnsi="Arial"/>
                <w:sz w:val="15"/>
                <w:szCs w:val="15"/>
                <w:color w:val="auto"/>
              </w:rPr>
              <w:t>STIP</w:t>
            </w:r>
          </w:p>
        </w:tc>
        <w:tc>
          <w:tcPr>
            <w:tcW w:w="28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Short-Term Incentive Plan</w:t>
            </w:r>
          </w:p>
        </w:tc>
        <w:tc>
          <w:tcPr>
            <w:tcW w:w="0" w:type="dxa"/>
            <w:vAlign w:val="bottom"/>
          </w:tcPr>
          <w:p>
            <w:pPr>
              <w:spacing w:after="0"/>
              <w:rPr>
                <w:sz w:val="1"/>
                <w:szCs w:val="1"/>
                <w:color w:val="auto"/>
              </w:rPr>
            </w:pPr>
          </w:p>
        </w:tc>
      </w:tr>
      <w:tr>
        <w:trPr>
          <w:trHeight w:val="94"/>
        </w:trPr>
        <w:tc>
          <w:tcPr>
            <w:tcW w:w="520" w:type="dxa"/>
            <w:vAlign w:val="bottom"/>
            <w:vMerge w:val="restart"/>
          </w:tcPr>
          <w:p>
            <w:pPr>
              <w:spacing w:after="0"/>
              <w:rPr>
                <w:sz w:val="20"/>
                <w:szCs w:val="20"/>
                <w:color w:val="auto"/>
              </w:rPr>
            </w:pPr>
            <w:r>
              <w:rPr>
                <w:rFonts w:ascii="Arial" w:cs="Arial" w:eastAsia="Arial" w:hAnsi="Arial"/>
                <w:sz w:val="15"/>
                <w:szCs w:val="15"/>
                <w:color w:val="auto"/>
              </w:rPr>
              <w:t>GAAP</w:t>
            </w:r>
          </w:p>
        </w:tc>
        <w:tc>
          <w:tcPr>
            <w:tcW w:w="28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3860" w:type="dxa"/>
            <w:vAlign w:val="bottom"/>
            <w:vMerge w:val="restart"/>
          </w:tcPr>
          <w:p>
            <w:pPr>
              <w:ind w:left="80"/>
              <w:spacing w:after="0"/>
              <w:rPr>
                <w:sz w:val="20"/>
                <w:szCs w:val="20"/>
                <w:color w:val="auto"/>
              </w:rPr>
            </w:pPr>
            <w:r>
              <w:rPr>
                <w:rFonts w:ascii="Arial" w:cs="Arial" w:eastAsia="Arial" w:hAnsi="Arial"/>
                <w:sz w:val="15"/>
                <w:szCs w:val="15"/>
                <w:color w:val="auto"/>
              </w:rPr>
              <w:t>Generally Accepted Accounting Principles</w:t>
            </w:r>
          </w:p>
        </w:tc>
        <w:tc>
          <w:tcPr>
            <w:tcW w:w="14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1460" w:type="dxa"/>
            <w:vAlign w:val="bottom"/>
            <w:vMerge w:val="restart"/>
          </w:tcPr>
          <w:p>
            <w:pPr>
              <w:ind w:left="940"/>
              <w:spacing w:after="0"/>
              <w:rPr>
                <w:sz w:val="20"/>
                <w:szCs w:val="20"/>
                <w:color w:val="auto"/>
              </w:rPr>
            </w:pPr>
            <w:r>
              <w:rPr>
                <w:rFonts w:ascii="Arial" w:cs="Arial" w:eastAsia="Arial" w:hAnsi="Arial"/>
                <w:sz w:val="15"/>
                <w:szCs w:val="15"/>
                <w:color w:val="auto"/>
              </w:rPr>
              <w:t>TSR</w:t>
            </w:r>
          </w:p>
        </w:tc>
        <w:tc>
          <w:tcPr>
            <w:tcW w:w="28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Total Shareholder Return</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1041400</wp:posOffset>
            </wp:positionV>
            <wp:extent cx="6706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068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758825</wp:posOffset>
            </wp:positionV>
            <wp:extent cx="616712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67120" cy="145415"/>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1101725</wp:posOffset>
            </wp:positionV>
            <wp:extent cx="316865" cy="316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-482600</wp:posOffset>
            </wp:positionV>
            <wp:extent cx="76835" cy="768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220" w:type="dxa"/>
            <w:vAlign w:val="bottom"/>
          </w:tcPr>
          <w:p>
            <w:pPr>
              <w:spacing w:after="0"/>
              <w:rPr>
                <w:sz w:val="17"/>
                <w:szCs w:val="17"/>
                <w:color w:val="auto"/>
              </w:rPr>
            </w:pPr>
          </w:p>
        </w:tc>
        <w:tc>
          <w:tcPr>
            <w:tcW w:w="2380" w:type="dxa"/>
            <w:vAlign w:val="bottom"/>
          </w:tcPr>
          <w:p>
            <w:pPr>
              <w:ind w:left="60"/>
              <w:spacing w:after="0"/>
              <w:rPr>
                <w:sz w:val="20"/>
                <w:szCs w:val="20"/>
                <w:color w:val="auto"/>
              </w:rPr>
            </w:pPr>
            <w:r>
              <w:rPr>
                <w:rFonts w:ascii="Arial" w:cs="Arial" w:eastAsia="Arial" w:hAnsi="Arial"/>
                <w:sz w:val="15"/>
                <w:szCs w:val="15"/>
                <w:b w:val="1"/>
                <w:bCs w:val="1"/>
                <w:color w:val="0033A0"/>
              </w:rPr>
              <w:t>Mary T. Barra</w:t>
            </w:r>
          </w:p>
        </w:tc>
        <w:tc>
          <w:tcPr>
            <w:tcW w:w="8180" w:type="dxa"/>
            <w:vAlign w:val="bottom"/>
          </w:tcPr>
          <w:p>
            <w:pPr>
              <w:ind w:left="320"/>
              <w:spacing w:after="0"/>
              <w:rPr>
                <w:sz w:val="20"/>
                <w:szCs w:val="20"/>
                <w:color w:val="auto"/>
              </w:rPr>
            </w:pPr>
            <w:r>
              <w:rPr>
                <w:rFonts w:ascii="Arial" w:cs="Arial" w:eastAsia="Arial" w:hAnsi="Arial"/>
                <w:sz w:val="15"/>
                <w:szCs w:val="15"/>
                <w:color w:val="auto"/>
              </w:rPr>
              <w:t>Chairman and Chief Executive Officer</w:t>
            </w:r>
          </w:p>
        </w:tc>
      </w:tr>
      <w:tr>
        <w:trPr>
          <w:trHeight w:val="237"/>
        </w:trPr>
        <w:tc>
          <w:tcPr>
            <w:tcW w:w="2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r>
      <w:tr>
        <w:trPr>
          <w:trHeight w:val="417"/>
        </w:trPr>
        <w:tc>
          <w:tcPr>
            <w:tcW w:w="22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5"/>
                <w:szCs w:val="15"/>
                <w:b w:val="1"/>
                <w:bCs w:val="1"/>
                <w:color w:val="0033A0"/>
              </w:rPr>
              <w:t>Dhivya Suryadevara</w:t>
            </w:r>
          </w:p>
        </w:tc>
        <w:tc>
          <w:tcPr>
            <w:tcW w:w="8180" w:type="dxa"/>
            <w:vAlign w:val="bottom"/>
          </w:tcPr>
          <w:p>
            <w:pPr>
              <w:ind w:left="320"/>
              <w:spacing w:after="0"/>
              <w:rPr>
                <w:sz w:val="20"/>
                <w:szCs w:val="20"/>
                <w:color w:val="auto"/>
              </w:rPr>
            </w:pPr>
            <w:r>
              <w:rPr>
                <w:rFonts w:ascii="Arial" w:cs="Arial" w:eastAsia="Arial" w:hAnsi="Arial"/>
                <w:sz w:val="15"/>
                <w:szCs w:val="15"/>
                <w:color w:val="auto"/>
              </w:rPr>
              <w:t>Executive Vice President and Chief Financial Officer</w:t>
            </w:r>
          </w:p>
        </w:tc>
      </w:tr>
      <w:tr>
        <w:trPr>
          <w:trHeight w:val="237"/>
        </w:trPr>
        <w:tc>
          <w:tcPr>
            <w:tcW w:w="2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r>
      <w:tr>
        <w:trPr>
          <w:trHeight w:val="417"/>
        </w:trPr>
        <w:tc>
          <w:tcPr>
            <w:tcW w:w="22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5"/>
                <w:szCs w:val="15"/>
                <w:b w:val="1"/>
                <w:bCs w:val="1"/>
                <w:color w:val="0033A0"/>
              </w:rPr>
              <w:t>Daniel Ammann</w:t>
            </w:r>
          </w:p>
        </w:tc>
        <w:tc>
          <w:tcPr>
            <w:tcW w:w="8180" w:type="dxa"/>
            <w:vAlign w:val="bottom"/>
          </w:tcPr>
          <w:p>
            <w:pPr>
              <w:ind w:left="320"/>
              <w:spacing w:after="0"/>
              <w:rPr>
                <w:sz w:val="20"/>
                <w:szCs w:val="20"/>
                <w:color w:val="auto"/>
              </w:rPr>
            </w:pPr>
            <w:r>
              <w:rPr>
                <w:rFonts w:ascii="Arial" w:cs="Arial" w:eastAsia="Arial" w:hAnsi="Arial"/>
                <w:sz w:val="15"/>
                <w:szCs w:val="15"/>
                <w:color w:val="auto"/>
              </w:rPr>
              <w:t>President</w:t>
            </w:r>
          </w:p>
        </w:tc>
      </w:tr>
      <w:tr>
        <w:trPr>
          <w:trHeight w:val="237"/>
        </w:trPr>
        <w:tc>
          <w:tcPr>
            <w:tcW w:w="2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r>
      <w:tr>
        <w:trPr>
          <w:trHeight w:val="417"/>
        </w:trPr>
        <w:tc>
          <w:tcPr>
            <w:tcW w:w="22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5"/>
                <w:szCs w:val="15"/>
                <w:b w:val="1"/>
                <w:bCs w:val="1"/>
                <w:color w:val="0033A0"/>
              </w:rPr>
              <w:t>Mark L. Reuss</w:t>
            </w:r>
          </w:p>
        </w:tc>
        <w:tc>
          <w:tcPr>
            <w:tcW w:w="8180" w:type="dxa"/>
            <w:vAlign w:val="bottom"/>
          </w:tcPr>
          <w:p>
            <w:pPr>
              <w:ind w:left="320"/>
              <w:spacing w:after="0"/>
              <w:rPr>
                <w:sz w:val="20"/>
                <w:szCs w:val="20"/>
                <w:color w:val="auto"/>
              </w:rPr>
            </w:pPr>
            <w:r>
              <w:rPr>
                <w:rFonts w:ascii="Arial" w:cs="Arial" w:eastAsia="Arial" w:hAnsi="Arial"/>
                <w:sz w:val="15"/>
                <w:szCs w:val="15"/>
                <w:color w:val="auto"/>
              </w:rPr>
              <w:t>Executive Vice President and President, Global Product Group and Cadillac</w:t>
            </w:r>
          </w:p>
        </w:tc>
      </w:tr>
      <w:tr>
        <w:trPr>
          <w:trHeight w:val="237"/>
        </w:trPr>
        <w:tc>
          <w:tcPr>
            <w:tcW w:w="2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r>
      <w:tr>
        <w:trPr>
          <w:trHeight w:val="417"/>
        </w:trPr>
        <w:tc>
          <w:tcPr>
            <w:tcW w:w="22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5"/>
                <w:szCs w:val="15"/>
                <w:b w:val="1"/>
                <w:bCs w:val="1"/>
                <w:color w:val="0033A0"/>
              </w:rPr>
              <w:t>Alan S. Batey</w:t>
            </w:r>
          </w:p>
        </w:tc>
        <w:tc>
          <w:tcPr>
            <w:tcW w:w="8180" w:type="dxa"/>
            <w:vAlign w:val="bottom"/>
          </w:tcPr>
          <w:p>
            <w:pPr>
              <w:ind w:left="320"/>
              <w:spacing w:after="0"/>
              <w:rPr>
                <w:sz w:val="20"/>
                <w:szCs w:val="20"/>
                <w:color w:val="auto"/>
              </w:rPr>
            </w:pPr>
            <w:r>
              <w:rPr>
                <w:rFonts w:ascii="Arial" w:cs="Arial" w:eastAsia="Arial" w:hAnsi="Arial"/>
                <w:sz w:val="14"/>
                <w:szCs w:val="14"/>
                <w:color w:val="auto"/>
              </w:rPr>
              <w:t>Executive Vice President and President, North America</w:t>
            </w:r>
          </w:p>
        </w:tc>
      </w:tr>
      <w:tr>
        <w:trPr>
          <w:trHeight w:val="237"/>
        </w:trPr>
        <w:tc>
          <w:tcPr>
            <w:tcW w:w="2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r>
      <w:tr>
        <w:trPr>
          <w:trHeight w:val="431"/>
        </w:trPr>
        <w:tc>
          <w:tcPr>
            <w:tcW w:w="22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5"/>
                <w:szCs w:val="15"/>
                <w:b w:val="1"/>
                <w:bCs w:val="1"/>
                <w:color w:val="0033A0"/>
              </w:rPr>
              <w:t>Charles K. Stevens, III</w:t>
            </w:r>
          </w:p>
        </w:tc>
        <w:tc>
          <w:tcPr>
            <w:tcW w:w="8180" w:type="dxa"/>
            <w:vAlign w:val="bottom"/>
          </w:tcPr>
          <w:p>
            <w:pPr>
              <w:ind w:left="320"/>
              <w:spacing w:after="0"/>
              <w:rPr>
                <w:sz w:val="20"/>
                <w:szCs w:val="20"/>
                <w:color w:val="auto"/>
              </w:rPr>
            </w:pPr>
            <w:r>
              <w:rPr>
                <w:rFonts w:ascii="Arial" w:cs="Arial" w:eastAsia="Arial" w:hAnsi="Arial"/>
                <w:sz w:val="15"/>
                <w:szCs w:val="15"/>
                <w:color w:val="auto"/>
              </w:rPr>
              <w:t>Advisor and Former Executive Vice President and Chief Financial Officer</w:t>
            </w:r>
          </w:p>
        </w:tc>
      </w:tr>
      <w:tr>
        <w:trPr>
          <w:trHeight w:val="237"/>
        </w:trPr>
        <w:tc>
          <w:tcPr>
            <w:tcW w:w="220" w:type="dxa"/>
            <w:vAlign w:val="bottom"/>
          </w:tcPr>
          <w:p>
            <w:pPr>
              <w:spacing w:after="0"/>
              <w:rPr>
                <w:sz w:val="20"/>
                <w:szCs w:val="20"/>
                <w:color w:val="auto"/>
              </w:rPr>
            </w:pPr>
          </w:p>
        </w:tc>
        <w:tc>
          <w:tcPr>
            <w:tcW w:w="2380" w:type="dxa"/>
            <w:vAlign w:val="bottom"/>
            <w:tcBorders>
              <w:bottom w:val="single" w:sz="8" w:color="0033A0"/>
            </w:tcBorders>
          </w:tcPr>
          <w:p>
            <w:pPr>
              <w:spacing w:after="0"/>
              <w:rPr>
                <w:sz w:val="20"/>
                <w:szCs w:val="20"/>
                <w:color w:val="auto"/>
              </w:rPr>
            </w:pPr>
          </w:p>
        </w:tc>
        <w:tc>
          <w:tcPr>
            <w:tcW w:w="8180" w:type="dxa"/>
            <w:vAlign w:val="bottom"/>
            <w:tcBorders>
              <w:bottom w:val="single" w:sz="8" w:color="0033A0"/>
            </w:tcBorders>
          </w:tcPr>
          <w:p>
            <w:pPr>
              <w:spacing w:after="0"/>
              <w:rPr>
                <w:sz w:val="20"/>
                <w:szCs w:val="20"/>
                <w:color w:val="auto"/>
              </w:rPr>
            </w:pPr>
          </w:p>
        </w:tc>
      </w:tr>
      <w:tr>
        <w:trPr>
          <w:trHeight w:val="211"/>
        </w:trPr>
        <w:tc>
          <w:tcPr>
            <w:tcW w:w="2600" w:type="dxa"/>
            <w:vAlign w:val="bottom"/>
            <w:gridSpan w:val="2"/>
          </w:tcPr>
          <w:p>
            <w:pPr>
              <w:spacing w:after="0"/>
              <w:rPr>
                <w:sz w:val="20"/>
                <w:szCs w:val="20"/>
                <w:color w:val="auto"/>
              </w:rPr>
            </w:pPr>
            <w:r>
              <w:rPr>
                <w:rFonts w:ascii="Arial" w:cs="Arial" w:eastAsia="Arial" w:hAnsi="Arial"/>
                <w:sz w:val="14"/>
                <w:szCs w:val="14"/>
                <w:i w:val="1"/>
                <w:iCs w:val="1"/>
                <w:color w:val="auto"/>
              </w:rPr>
              <w:t>Positions as of December 31, 2018.</w:t>
            </w:r>
          </w:p>
        </w:tc>
        <w:tc>
          <w:tcPr>
            <w:tcW w:w="8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-2235835</wp:posOffset>
            </wp:positionV>
            <wp:extent cx="316865" cy="316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-1807845</wp:posOffset>
            </wp:positionV>
            <wp:extent cx="316865" cy="316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-1379220</wp:posOffset>
            </wp:positionV>
            <wp:extent cx="316865" cy="316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-951230</wp:posOffset>
            </wp:positionV>
            <wp:extent cx="316865" cy="316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-522605</wp:posOffset>
            </wp:positionV>
            <wp:extent cx="316865" cy="316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238760</wp:posOffset>
            </wp:positionV>
            <wp:extent cx="6758305" cy="1282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36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33A0"/>
        </w:rPr>
        <w:t>37</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9619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89445" cy="961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366" w:lineRule="exact"/>
        <w:rPr>
          <w:sz w:val="20"/>
          <w:szCs w:val="20"/>
          <w:color w:val="auto"/>
        </w:rPr>
      </w:pPr>
    </w:p>
    <w:p>
      <w:pPr>
        <w:ind w:left="600"/>
        <w:spacing w:after="0"/>
        <w:rPr>
          <w:sz w:val="20"/>
          <w:szCs w:val="20"/>
          <w:color w:val="auto"/>
        </w:rPr>
      </w:pPr>
      <w:r>
        <w:rPr>
          <w:rFonts w:ascii="Arial" w:cs="Arial" w:eastAsia="Arial" w:hAnsi="Arial"/>
          <w:sz w:val="31"/>
          <w:szCs w:val="31"/>
          <w:color w:val="00A1DF"/>
        </w:rPr>
        <w:t>Compensation Overview</w:t>
      </w:r>
    </w:p>
    <w:p>
      <w:pPr>
        <w:spacing w:after="0" w:line="348" w:lineRule="exact"/>
        <w:rPr>
          <w:sz w:val="20"/>
          <w:szCs w:val="20"/>
          <w:color w:val="auto"/>
        </w:rPr>
      </w:pPr>
    </w:p>
    <w:p>
      <w:pPr>
        <w:ind w:left="1100" w:hanging="504"/>
        <w:spacing w:after="0"/>
        <w:tabs>
          <w:tab w:leader="none" w:pos="1100" w:val="left"/>
        </w:tabs>
        <w:numPr>
          <w:ilvl w:val="0"/>
          <w:numId w:val="49"/>
        </w:numPr>
        <w:rPr>
          <w:rFonts w:ascii="Arial" w:cs="Arial" w:eastAsia="Arial" w:hAnsi="Arial"/>
          <w:sz w:val="25"/>
          <w:szCs w:val="25"/>
          <w:color w:val="0033A0"/>
        </w:rPr>
      </w:pPr>
      <w:r>
        <w:rPr>
          <w:rFonts w:ascii="Arial" w:cs="Arial" w:eastAsia="Arial" w:hAnsi="Arial"/>
          <w:sz w:val="25"/>
          <w:szCs w:val="25"/>
          <w:color w:val="auto"/>
        </w:rPr>
        <w:t>Our Company Performance</w:t>
      </w:r>
    </w:p>
    <w:p>
      <w:pPr>
        <w:spacing w:after="0" w:line="179" w:lineRule="exact"/>
        <w:rPr>
          <w:sz w:val="20"/>
          <w:szCs w:val="20"/>
          <w:color w:val="auto"/>
        </w:rPr>
      </w:pPr>
    </w:p>
    <w:p>
      <w:pPr>
        <w:ind w:left="600" w:right="540"/>
        <w:spacing w:after="0" w:line="286" w:lineRule="auto"/>
        <w:rPr>
          <w:sz w:val="20"/>
          <w:szCs w:val="20"/>
          <w:color w:val="auto"/>
        </w:rPr>
      </w:pPr>
      <w:r>
        <w:rPr>
          <w:rFonts w:ascii="Arial" w:cs="Arial" w:eastAsia="Arial" w:hAnsi="Arial"/>
          <w:sz w:val="16"/>
          <w:szCs w:val="16"/>
          <w:b w:val="1"/>
          <w:bCs w:val="1"/>
          <w:color w:val="auto"/>
        </w:rPr>
        <w:t>In 2018, we continued to focus on our goal of a world with zero crashes, zero emissions, and zero congestion. The results below demonstrate how we are positioning GM to win in the core automotive business and the future of personal mobility:</w:t>
      </w:r>
    </w:p>
    <w:p>
      <w:pPr>
        <w:sectPr>
          <w:pgSz w:w="11900" w:h="16838" w:orient="portrait"/>
          <w:cols w:equalWidth="0" w:num="1">
            <w:col w:w="11360"/>
          </w:cols>
          <w:pgMar w:left="240" w:top="459" w:right="299" w:bottom="3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460"/>
        <w:spacing w:after="0" w:line="266" w:lineRule="auto"/>
        <w:rPr>
          <w:sz w:val="20"/>
          <w:szCs w:val="20"/>
          <w:color w:val="auto"/>
        </w:rPr>
      </w:pPr>
      <w:r>
        <w:rPr>
          <w:rFonts w:ascii="Arial" w:cs="Arial" w:eastAsia="Arial" w:hAnsi="Arial"/>
          <w:sz w:val="16"/>
          <w:szCs w:val="16"/>
          <w:b w:val="1"/>
          <w:bCs w:val="1"/>
          <w:color w:val="auto"/>
        </w:rPr>
        <w:t xml:space="preserve">$2.3 billion </w:t>
      </w:r>
      <w:r>
        <w:rPr>
          <w:rFonts w:ascii="Arial" w:cs="Arial" w:eastAsia="Arial" w:hAnsi="Arial"/>
          <w:sz w:val="16"/>
          <w:szCs w:val="16"/>
          <w:color w:val="auto"/>
        </w:rPr>
        <w:t>returned to shareholders through dividends and share repurchases, increased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1% to $147.0 billion, and achieved the Company’s second-highest EPS-adjusted of $6.54 in a highly volatile environment in 2018</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GM Financial generated record-breaking earnings before tax of </w:t>
      </w:r>
      <w:r>
        <w:rPr>
          <w:rFonts w:ascii="Arial" w:cs="Arial" w:eastAsia="Arial" w:hAnsi="Arial"/>
          <w:sz w:val="16"/>
          <w:szCs w:val="16"/>
          <w:b w:val="1"/>
          <w:bCs w:val="1"/>
          <w:color w:val="auto"/>
        </w:rPr>
        <w:t>$1.9 billion</w:t>
      </w:r>
      <w:r>
        <w:rPr>
          <w:rFonts w:ascii="Arial" w:cs="Arial" w:eastAsia="Arial" w:hAnsi="Arial"/>
          <w:sz w:val="16"/>
          <w:szCs w:val="16"/>
          <w:color w:val="auto"/>
        </w:rPr>
        <w:t>, up 58.3% versus 2017</w:t>
      </w:r>
    </w:p>
    <w:p>
      <w:pPr>
        <w:spacing w:after="0" w:line="27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Delivered record average transaction prices in the U.S. of nearly </w:t>
      </w:r>
      <w:r>
        <w:rPr>
          <w:rFonts w:ascii="Arial" w:cs="Arial" w:eastAsia="Arial" w:hAnsi="Arial"/>
          <w:sz w:val="16"/>
          <w:szCs w:val="16"/>
          <w:b w:val="1"/>
          <w:bCs w:val="1"/>
          <w:color w:val="auto"/>
        </w:rPr>
        <w:t>$36,000</w:t>
      </w:r>
      <w:r>
        <w:rPr>
          <w:rFonts w:ascii="Arial" w:cs="Arial" w:eastAsia="Arial" w:hAnsi="Arial"/>
          <w:sz w:val="16"/>
          <w:szCs w:val="16"/>
          <w:color w:val="auto"/>
        </w:rPr>
        <w:t xml:space="preserve"> for 2018</w:t>
      </w:r>
    </w:p>
    <w:p>
      <w:pPr>
        <w:spacing w:after="0" w:line="383" w:lineRule="exact"/>
        <w:rPr>
          <w:sz w:val="20"/>
          <w:szCs w:val="20"/>
          <w:color w:val="auto"/>
        </w:rPr>
      </w:pPr>
    </w:p>
    <w:p>
      <w:pPr>
        <w:jc w:val="both"/>
        <w:ind w:left="1460"/>
        <w:spacing w:after="0" w:line="266" w:lineRule="auto"/>
        <w:rPr>
          <w:sz w:val="20"/>
          <w:szCs w:val="20"/>
          <w:color w:val="auto"/>
        </w:rPr>
      </w:pPr>
      <w:r>
        <w:rPr>
          <w:rFonts w:ascii="Arial" w:cs="Arial" w:eastAsia="Arial" w:hAnsi="Arial"/>
          <w:sz w:val="16"/>
          <w:szCs w:val="16"/>
          <w:color w:val="auto"/>
        </w:rPr>
        <w:t xml:space="preserve">In the U.S., across all brands, sold nearly </w:t>
      </w:r>
      <w:r>
        <w:rPr>
          <w:rFonts w:ascii="Arial" w:cs="Arial" w:eastAsia="Arial" w:hAnsi="Arial"/>
          <w:sz w:val="16"/>
          <w:szCs w:val="16"/>
          <w:b w:val="1"/>
          <w:bCs w:val="1"/>
          <w:color w:val="auto"/>
        </w:rPr>
        <w:t>1.3 million crossovers and SUVs</w:t>
      </w:r>
      <w:r>
        <w:rPr>
          <w:rFonts w:ascii="Arial" w:cs="Arial" w:eastAsia="Arial" w:hAnsi="Arial"/>
          <w:sz w:val="16"/>
          <w:szCs w:val="16"/>
          <w:color w:val="auto"/>
        </w:rPr>
        <w:t>. The following five vehicles had record calendar-year sales: Chevrolet Traverse, Chevrolet Equinox, Chevrolet Trax, Buick Encore, and GMC Terrain</w:t>
      </w:r>
    </w:p>
    <w:p>
      <w:pPr>
        <w:spacing w:after="0" w:line="238" w:lineRule="exact"/>
        <w:rPr>
          <w:sz w:val="20"/>
          <w:szCs w:val="20"/>
          <w:color w:val="auto"/>
        </w:rPr>
      </w:pPr>
    </w:p>
    <w:p>
      <w:pPr>
        <w:jc w:val="both"/>
        <w:ind w:left="1460"/>
        <w:spacing w:after="0" w:line="286" w:lineRule="auto"/>
        <w:rPr>
          <w:sz w:val="20"/>
          <w:szCs w:val="20"/>
          <w:color w:val="auto"/>
        </w:rPr>
      </w:pPr>
      <w:r>
        <w:rPr>
          <w:rFonts w:ascii="Arial" w:cs="Arial" w:eastAsia="Arial" w:hAnsi="Arial"/>
          <w:sz w:val="16"/>
          <w:szCs w:val="16"/>
          <w:color w:val="auto"/>
        </w:rPr>
        <w:t xml:space="preserve">Sold more than </w:t>
      </w:r>
      <w:r>
        <w:rPr>
          <w:rFonts w:ascii="Arial" w:cs="Arial" w:eastAsia="Arial" w:hAnsi="Arial"/>
          <w:sz w:val="16"/>
          <w:szCs w:val="16"/>
          <w:b w:val="1"/>
          <w:bCs w:val="1"/>
          <w:color w:val="auto"/>
        </w:rPr>
        <w:t>1.2 million Buick vehicles</w:t>
      </w:r>
      <w:r>
        <w:rPr>
          <w:rFonts w:ascii="Arial" w:cs="Arial" w:eastAsia="Arial" w:hAnsi="Arial"/>
          <w:sz w:val="16"/>
          <w:szCs w:val="16"/>
          <w:color w:val="auto"/>
        </w:rPr>
        <w:t xml:space="preserve"> worldwide and expanded the Buick Avenir line, which represents 20% of Buick’s retail sales in the U.S.</w:t>
      </w:r>
    </w:p>
    <w:p>
      <w:pPr>
        <w:spacing w:after="0" w:line="303" w:lineRule="exact"/>
        <w:rPr>
          <w:sz w:val="20"/>
          <w:szCs w:val="20"/>
          <w:color w:val="auto"/>
        </w:rPr>
      </w:pPr>
    </w:p>
    <w:p>
      <w:pPr>
        <w:jc w:val="both"/>
        <w:ind w:left="1460"/>
        <w:spacing w:after="0" w:line="286" w:lineRule="auto"/>
        <w:rPr>
          <w:sz w:val="20"/>
          <w:szCs w:val="20"/>
          <w:color w:val="auto"/>
        </w:rPr>
      </w:pPr>
      <w:r>
        <w:rPr>
          <w:rFonts w:ascii="Arial" w:cs="Arial" w:eastAsia="Arial" w:hAnsi="Arial"/>
          <w:sz w:val="16"/>
          <w:szCs w:val="16"/>
          <w:color w:val="auto"/>
        </w:rPr>
        <w:t xml:space="preserve">In the U.S., Chevrolet and GMC sold nearly </w:t>
      </w:r>
      <w:r>
        <w:rPr>
          <w:rFonts w:ascii="Arial" w:cs="Arial" w:eastAsia="Arial" w:hAnsi="Arial"/>
          <w:sz w:val="16"/>
          <w:szCs w:val="16"/>
          <w:b w:val="1"/>
          <w:bCs w:val="1"/>
          <w:color w:val="auto"/>
        </w:rPr>
        <w:t>1 million pickup trucks,</w:t>
      </w:r>
      <w:r>
        <w:rPr>
          <w:rFonts w:ascii="Arial" w:cs="Arial" w:eastAsia="Arial" w:hAnsi="Arial"/>
          <w:sz w:val="16"/>
          <w:szCs w:val="16"/>
          <w:color w:val="auto"/>
        </w:rPr>
        <w:t xml:space="preserve"> more than any other automaker for the fifth consecutive year</w:t>
      </w:r>
    </w:p>
    <w:p>
      <w:pPr>
        <w:spacing w:after="0" w:line="242" w:lineRule="exact"/>
        <w:rPr>
          <w:sz w:val="20"/>
          <w:szCs w:val="20"/>
          <w:color w:val="auto"/>
        </w:rPr>
      </w:pPr>
    </w:p>
    <w:p>
      <w:pPr>
        <w:jc w:val="both"/>
        <w:ind w:left="1460"/>
        <w:spacing w:after="0" w:line="260" w:lineRule="auto"/>
        <w:rPr>
          <w:sz w:val="20"/>
          <w:szCs w:val="20"/>
          <w:color w:val="auto"/>
        </w:rPr>
      </w:pPr>
      <w:r>
        <w:rPr>
          <w:rFonts w:ascii="Arial" w:cs="Arial" w:eastAsia="Arial" w:hAnsi="Arial"/>
          <w:sz w:val="16"/>
          <w:szCs w:val="16"/>
          <w:color w:val="auto"/>
        </w:rPr>
        <w:t>Launched the all-new 2019 Chevrolet Silverado 1500. Debuted the all-new 2019 Chevrolet Blazer to further compete in the mid-size SUV category</w:t>
      </w:r>
    </w:p>
    <w:p>
      <w:pPr>
        <w:spacing w:after="0" w:line="229" w:lineRule="exact"/>
        <w:rPr>
          <w:sz w:val="20"/>
          <w:szCs w:val="20"/>
          <w:color w:val="auto"/>
        </w:rPr>
      </w:pPr>
    </w:p>
    <w:p>
      <w:pPr>
        <w:jc w:val="both"/>
        <w:ind w:left="1460"/>
        <w:spacing w:after="0" w:line="286" w:lineRule="auto"/>
        <w:rPr>
          <w:sz w:val="20"/>
          <w:szCs w:val="20"/>
          <w:color w:val="auto"/>
        </w:rPr>
      </w:pPr>
      <w:r>
        <w:rPr>
          <w:rFonts w:ascii="Arial" w:cs="Arial" w:eastAsia="Arial" w:hAnsi="Arial"/>
          <w:sz w:val="16"/>
          <w:szCs w:val="16"/>
          <w:color w:val="auto"/>
        </w:rPr>
        <w:t xml:space="preserve">Launched the all-new 2019 GMC Sierra 1500. More than </w:t>
      </w:r>
      <w:r>
        <w:rPr>
          <w:rFonts w:ascii="Arial" w:cs="Arial" w:eastAsia="Arial" w:hAnsi="Arial"/>
          <w:sz w:val="16"/>
          <w:szCs w:val="16"/>
          <w:b w:val="1"/>
          <w:bCs w:val="1"/>
          <w:color w:val="auto"/>
        </w:rPr>
        <w:t>70%</w:t>
      </w:r>
      <w:r>
        <w:rPr>
          <w:rFonts w:ascii="Arial" w:cs="Arial" w:eastAsia="Arial" w:hAnsi="Arial"/>
          <w:sz w:val="16"/>
          <w:szCs w:val="16"/>
          <w:color w:val="auto"/>
        </w:rPr>
        <w:t xml:space="preserve"> of GMC deliveries were premium Denali and AT4 models in the U.S. in 2018</w:t>
      </w:r>
    </w:p>
    <w:p>
      <w:pPr>
        <w:spacing w:after="0" w:line="242" w:lineRule="exact"/>
        <w:rPr>
          <w:sz w:val="20"/>
          <w:szCs w:val="20"/>
          <w:color w:val="auto"/>
        </w:rPr>
      </w:pPr>
    </w:p>
    <w:p>
      <w:pPr>
        <w:jc w:val="both"/>
        <w:ind w:left="1460"/>
        <w:spacing w:after="0" w:line="253" w:lineRule="auto"/>
        <w:rPr>
          <w:sz w:val="20"/>
          <w:szCs w:val="20"/>
          <w:color w:val="auto"/>
        </w:rPr>
      </w:pPr>
      <w:r>
        <w:rPr>
          <w:rFonts w:ascii="Arial" w:cs="Arial" w:eastAsia="Arial" w:hAnsi="Arial"/>
          <w:sz w:val="16"/>
          <w:szCs w:val="16"/>
          <w:color w:val="auto"/>
        </w:rPr>
        <w:t>Launched the first-ever Cadillac XT4 compact SUV, which became the best-selling vehicle in its segment just two months after launch. Cadillac will introduce a new model on average every six months through 2021</w:t>
      </w:r>
    </w:p>
    <w:p>
      <w:pPr>
        <w:spacing w:after="0" w:line="268" w:lineRule="exact"/>
        <w:rPr>
          <w:sz w:val="20"/>
          <w:szCs w:val="20"/>
          <w:color w:val="auto"/>
        </w:rPr>
      </w:pPr>
    </w:p>
    <w:p>
      <w:pPr>
        <w:jc w:val="both"/>
        <w:ind w:left="1460"/>
        <w:spacing w:after="0" w:line="260" w:lineRule="auto"/>
        <w:rPr>
          <w:sz w:val="20"/>
          <w:szCs w:val="20"/>
          <w:color w:val="auto"/>
        </w:rPr>
      </w:pPr>
      <w:r>
        <w:rPr>
          <w:rFonts w:ascii="Arial" w:cs="Arial" w:eastAsia="Arial" w:hAnsi="Arial"/>
          <w:sz w:val="16"/>
          <w:szCs w:val="16"/>
          <w:color w:val="auto"/>
        </w:rPr>
        <w:t xml:space="preserve">Provided complimentary Crisis Assist to OnStar-enabled vehicles in the areas impacted by Hurricane Florence, Hurricane Michael, and the California wildfires </w:t>
      </w:r>
      <w:r>
        <w:rPr>
          <w:sz w:val="1"/>
          <w:szCs w:val="1"/>
          <w:color w:val="auto"/>
        </w:rPr>
        <w:drawing>
          <wp:inline distT="0" distB="0" distL="0" distR="0">
            <wp:extent cx="93980" cy="8572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85725"/>
                    </a:xfrm>
                    <a:prstGeom prst="rect">
                      <a:avLst/>
                    </a:prstGeom>
                    <a:noFill/>
                    <a:ln>
                      <a:noFill/>
                    </a:ln>
                  </pic:spPr>
                </pic:pic>
              </a:graphicData>
            </a:graphic>
          </wp:inline>
        </w:drawing>
      </w:r>
    </w:p>
    <w:p>
      <w:pPr>
        <w:spacing w:after="0" w:line="283" w:lineRule="exact"/>
        <w:rPr>
          <w:sz w:val="20"/>
          <w:szCs w:val="20"/>
          <w:color w:val="auto"/>
        </w:rPr>
      </w:pPr>
    </w:p>
    <w:p>
      <w:pPr>
        <w:jc w:val="both"/>
        <w:ind w:left="1460"/>
        <w:spacing w:after="0" w:line="286" w:lineRule="auto"/>
        <w:rPr>
          <w:sz w:val="20"/>
          <w:szCs w:val="20"/>
          <w:color w:val="auto"/>
        </w:rPr>
      </w:pPr>
      <w:r>
        <w:rPr>
          <w:rFonts w:ascii="Arial" w:cs="Arial" w:eastAsia="Arial" w:hAnsi="Arial"/>
          <w:sz w:val="16"/>
          <w:szCs w:val="16"/>
          <w:color w:val="auto"/>
        </w:rPr>
        <w:t xml:space="preserve">SoftBank committed to investing a total of </w:t>
      </w:r>
      <w:r>
        <w:rPr>
          <w:rFonts w:ascii="Arial" w:cs="Arial" w:eastAsia="Arial" w:hAnsi="Arial"/>
          <w:sz w:val="16"/>
          <w:szCs w:val="16"/>
          <w:b w:val="1"/>
          <w:bCs w:val="1"/>
          <w:color w:val="auto"/>
        </w:rPr>
        <w:t>$2.25 billion</w:t>
      </w:r>
      <w:r>
        <w:rPr>
          <w:rFonts w:ascii="Arial" w:cs="Arial" w:eastAsia="Arial" w:hAnsi="Arial"/>
          <w:sz w:val="16"/>
          <w:szCs w:val="16"/>
          <w:color w:val="auto"/>
        </w:rPr>
        <w:t xml:space="preserve"> in GM Cruise to further strengthen the Company’s plan to commercialize autonomous vehicle technology at large scale </w:t>
      </w:r>
      <w:r>
        <w:rPr>
          <w:sz w:val="1"/>
          <w:szCs w:val="1"/>
          <w:color w:val="auto"/>
        </w:rPr>
        <w:drawing>
          <wp:inline distT="0" distB="0" distL="0" distR="0">
            <wp:extent cx="93980" cy="8572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5725"/>
                    </a:xfrm>
                    <a:prstGeom prst="rect">
                      <a:avLst/>
                    </a:prstGeom>
                    <a:noFill/>
                    <a:ln>
                      <a:noFill/>
                    </a:ln>
                  </pic:spPr>
                </pic:pic>
              </a:graphicData>
            </a:graphic>
          </wp:inline>
        </w:drawing>
      </w:r>
    </w:p>
    <w:p>
      <w:pPr>
        <w:spacing w:after="0" w:line="222" w:lineRule="exact"/>
        <w:rPr>
          <w:sz w:val="20"/>
          <w:szCs w:val="20"/>
          <w:color w:val="auto"/>
        </w:rPr>
      </w:pPr>
    </w:p>
    <w:p>
      <w:pPr>
        <w:jc w:val="both"/>
        <w:ind w:left="1460"/>
        <w:spacing w:after="0" w:line="286" w:lineRule="auto"/>
        <w:rPr>
          <w:sz w:val="20"/>
          <w:szCs w:val="20"/>
          <w:color w:val="auto"/>
        </w:rPr>
      </w:pPr>
      <w:r>
        <w:rPr>
          <w:rFonts w:ascii="Arial" w:cs="Arial" w:eastAsia="Arial" w:hAnsi="Arial"/>
          <w:sz w:val="16"/>
          <w:szCs w:val="16"/>
          <w:color w:val="auto"/>
        </w:rPr>
        <w:t xml:space="preserve">Collaborated with Honda, which has committed </w:t>
      </w:r>
      <w:r>
        <w:rPr>
          <w:rFonts w:ascii="Arial" w:cs="Arial" w:eastAsia="Arial" w:hAnsi="Arial"/>
          <w:sz w:val="16"/>
          <w:szCs w:val="16"/>
          <w:b w:val="1"/>
          <w:bCs w:val="1"/>
          <w:color w:val="auto"/>
        </w:rPr>
        <w:t>$2.75 billion</w:t>
      </w:r>
      <w:r>
        <w:rPr>
          <w:rFonts w:ascii="Arial" w:cs="Arial" w:eastAsia="Arial" w:hAnsi="Arial"/>
          <w:sz w:val="16"/>
          <w:szCs w:val="16"/>
          <w:color w:val="auto"/>
        </w:rPr>
        <w:t xml:space="preserve"> to develop and deploy a new, purpose-built, shared autonomous vehicle with GM and GM Cruise </w:t>
      </w:r>
      <w:r>
        <w:rPr>
          <w:sz w:val="1"/>
          <w:szCs w:val="1"/>
          <w:color w:val="auto"/>
        </w:rPr>
        <w:drawing>
          <wp:inline distT="0" distB="0" distL="0" distR="0">
            <wp:extent cx="93980" cy="857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5725"/>
                    </a:xfrm>
                    <a:prstGeom prst="rect">
                      <a:avLst/>
                    </a:prstGeom>
                    <a:noFill/>
                    <a:ln>
                      <a:noFill/>
                    </a:ln>
                  </pic:spPr>
                </pic:pic>
              </a:graphicData>
            </a:graphic>
          </wp:inline>
        </w:drawing>
      </w:r>
    </w:p>
    <w:p>
      <w:pPr>
        <w:spacing w:after="0" w:line="229" w:lineRule="exact"/>
        <w:rPr>
          <w:sz w:val="20"/>
          <w:szCs w:val="20"/>
          <w:color w:val="auto"/>
        </w:rPr>
      </w:pPr>
    </w:p>
    <w:p>
      <w:pPr>
        <w:jc w:val="both"/>
        <w:ind w:left="1460"/>
        <w:spacing w:after="0" w:line="260" w:lineRule="auto"/>
        <w:rPr>
          <w:sz w:val="20"/>
          <w:szCs w:val="20"/>
          <w:color w:val="auto"/>
        </w:rPr>
      </w:pPr>
      <w:r>
        <w:rPr>
          <w:rFonts w:ascii="Arial" w:cs="Arial" w:eastAsia="Arial" w:hAnsi="Arial"/>
          <w:sz w:val="16"/>
          <w:szCs w:val="16"/>
          <w:color w:val="auto"/>
        </w:rPr>
        <w:t xml:space="preserve">Autonomous vehicle test fleet fully transitioned to Gen 3 vehicles that are intended for commercial launch. Partnered with DoorDash to pilot zero emission food deliveries in San Francisco </w:t>
      </w:r>
      <w:r>
        <w:rPr>
          <w:sz w:val="1"/>
          <w:szCs w:val="1"/>
          <w:color w:val="auto"/>
        </w:rPr>
        <w:drawing>
          <wp:inline distT="0" distB="0" distL="0" distR="0">
            <wp:extent cx="93980" cy="8572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5725"/>
                    </a:xfrm>
                    <a:prstGeom prst="rect">
                      <a:avLst/>
                    </a:prstGeom>
                    <a:noFill/>
                    <a:ln>
                      <a:noFill/>
                    </a:ln>
                  </pic:spPr>
                </pic:pic>
              </a:graphicData>
            </a:graphic>
          </wp:inline>
        </w:drawing>
      </w:r>
    </w:p>
    <w:p>
      <w:pPr>
        <w:spacing w:after="0" w:line="262" w:lineRule="exact"/>
        <w:rPr>
          <w:sz w:val="20"/>
          <w:szCs w:val="20"/>
          <w:color w:val="auto"/>
        </w:rPr>
      </w:pPr>
    </w:p>
    <w:p>
      <w:pPr>
        <w:jc w:val="both"/>
        <w:ind w:left="1460"/>
        <w:spacing w:after="0" w:line="260" w:lineRule="auto"/>
        <w:rPr>
          <w:sz w:val="20"/>
          <w:szCs w:val="20"/>
          <w:color w:val="auto"/>
        </w:rPr>
      </w:pPr>
      <w:r>
        <w:rPr>
          <w:rFonts w:ascii="Arial" w:cs="Arial" w:eastAsia="Arial" w:hAnsi="Arial"/>
          <w:sz w:val="16"/>
          <w:szCs w:val="16"/>
          <w:color w:val="auto"/>
        </w:rPr>
        <w:t xml:space="preserve">Revealed the next-generation battery electric vehicle architecture and announced that Cadillac will lead the Company’s move toward an all-electric future </w:t>
      </w:r>
      <w:r>
        <w:rPr>
          <w:sz w:val="1"/>
          <w:szCs w:val="1"/>
          <w:color w:val="auto"/>
        </w:rPr>
        <w:drawing>
          <wp:inline distT="0" distB="0" distL="0" distR="0">
            <wp:extent cx="93980" cy="8572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5725"/>
                    </a:xfrm>
                    <a:prstGeom prst="rect">
                      <a:avLst/>
                    </a:prstGeom>
                    <a:noFill/>
                    <a:ln>
                      <a:noFill/>
                    </a:ln>
                  </pic:spPr>
                </pic:pic>
              </a:graphicData>
            </a:graphic>
          </wp:inline>
        </w:drawing>
      </w:r>
    </w:p>
    <w:p>
      <w:pPr>
        <w:spacing w:after="0" w:line="229" w:lineRule="exact"/>
        <w:rPr>
          <w:sz w:val="20"/>
          <w:szCs w:val="20"/>
          <w:color w:val="auto"/>
        </w:rPr>
      </w:pPr>
    </w:p>
    <w:p>
      <w:pPr>
        <w:jc w:val="both"/>
        <w:ind w:left="1460"/>
        <w:spacing w:after="0" w:line="286" w:lineRule="auto"/>
        <w:rPr>
          <w:sz w:val="20"/>
          <w:szCs w:val="20"/>
          <w:color w:val="auto"/>
        </w:rPr>
      </w:pPr>
      <w:r>
        <w:rPr>
          <w:rFonts w:ascii="Arial" w:cs="Arial" w:eastAsia="Arial" w:hAnsi="Arial"/>
          <w:sz w:val="16"/>
          <w:szCs w:val="16"/>
          <w:color w:val="auto"/>
        </w:rPr>
        <w:t xml:space="preserve">Expanded car-sharing platform to include peer-to-peer rental offerings to </w:t>
      </w:r>
      <w:r>
        <w:rPr>
          <w:rFonts w:ascii="Arial" w:cs="Arial" w:eastAsia="Arial" w:hAnsi="Arial"/>
          <w:sz w:val="16"/>
          <w:szCs w:val="16"/>
          <w:b w:val="1"/>
          <w:bCs w:val="1"/>
          <w:color w:val="auto"/>
        </w:rPr>
        <w:t>190,000 Maven members</w:t>
      </w:r>
      <w:r>
        <w:rPr>
          <w:rFonts w:ascii="Arial" w:cs="Arial" w:eastAsia="Arial" w:hAnsi="Arial"/>
          <w:sz w:val="16"/>
          <w:szCs w:val="16"/>
          <w:color w:val="auto"/>
        </w:rPr>
        <w:t xml:space="preserve"> as of year-end 2018 </w:t>
      </w:r>
      <w:r>
        <w:rPr>
          <w:sz w:val="1"/>
          <w:szCs w:val="1"/>
          <w:color w:val="auto"/>
        </w:rPr>
        <w:drawing>
          <wp:inline distT="0" distB="0" distL="0" distR="0">
            <wp:extent cx="93980" cy="8572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5725"/>
                    </a:xfrm>
                    <a:prstGeom prst="rect">
                      <a:avLst/>
                    </a:prstGeom>
                    <a:noFill/>
                    <a:ln>
                      <a:noFill/>
                    </a:ln>
                  </pic:spPr>
                </pic:pic>
              </a:graphicData>
            </a:graphic>
          </wp:inline>
        </w:drawing>
      </w:r>
    </w:p>
    <w:p>
      <w:pPr>
        <w:spacing w:after="0" w:line="231" w:lineRule="exact"/>
        <w:rPr>
          <w:sz w:val="20"/>
          <w:szCs w:val="20"/>
          <w:color w:val="auto"/>
        </w:rPr>
      </w:pPr>
    </w:p>
    <w:p>
      <w:pPr>
        <w:ind w:left="700"/>
        <w:spacing w:after="0"/>
        <w:tabs>
          <w:tab w:leader="none" w:pos="1000" w:val="left"/>
        </w:tabs>
        <w:rPr>
          <w:sz w:val="20"/>
          <w:szCs w:val="20"/>
          <w:color w:val="auto"/>
        </w:rPr>
      </w:pPr>
      <w:r>
        <w:rPr>
          <w:rFonts w:ascii="Arial" w:cs="Arial" w:eastAsia="Arial" w:hAnsi="Arial"/>
          <w:sz w:val="14"/>
          <w:szCs w:val="14"/>
          <w:i w:val="1"/>
          <w:iCs w:val="1"/>
          <w:color w:val="auto"/>
        </w:rPr>
        <w:t>(1)</w:t>
        <w:tab/>
        <w:t>The financial information relates to our 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033A0"/>
        </w:rPr>
        <w:t>We ended 2018</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33A0"/>
        </w:rPr>
        <w:t>with the following</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033A0"/>
        </w:rPr>
        <w:t>key financial results</w:t>
      </w:r>
      <w:r>
        <w:rPr>
          <w:rFonts w:ascii="Arial" w:cs="Arial" w:eastAsia="Arial" w:hAnsi="Arial"/>
          <w:sz w:val="25"/>
          <w:szCs w:val="25"/>
          <w:b w:val="1"/>
          <w:bCs w:val="1"/>
          <w:color w:val="0033A0"/>
          <w:vertAlign w:val="superscript"/>
        </w:rPr>
        <w:t>(1)</w:t>
      </w:r>
      <w:r>
        <w:rPr>
          <w:rFonts w:ascii="Arial" w:cs="Arial" w:eastAsia="Arial" w:hAnsi="Arial"/>
          <w:sz w:val="15"/>
          <w:szCs w:val="15"/>
          <w:b w:val="1"/>
          <w:bCs w:val="1"/>
          <w:color w:val="0033A0"/>
        </w:rPr>
        <w:t>:</w:t>
      </w:r>
    </w:p>
    <w:p>
      <w:pPr>
        <w:spacing w:after="0" w:line="9926" w:lineRule="exact"/>
        <w:rPr>
          <w:sz w:val="20"/>
          <w:szCs w:val="20"/>
          <w:color w:val="auto"/>
        </w:rPr>
      </w:pPr>
    </w:p>
    <w:p>
      <w:pPr>
        <w:sectPr>
          <w:pgSz w:w="11900" w:h="16838" w:orient="portrait"/>
          <w:cols w:equalWidth="0" w:num="2">
            <w:col w:w="8720" w:space="260"/>
            <w:col w:w="2380"/>
          </w:cols>
          <w:pgMar w:left="240" w:top="459" w:right="299" w:bottom="316" w:gutter="0" w:footer="0" w:header="0"/>
          <w:type w:val="continuous"/>
        </w:sectPr>
      </w:pPr>
    </w:p>
    <w:p>
      <w:pPr>
        <w:ind w:left="1020" w:right="540" w:hanging="317"/>
        <w:spacing w:after="0" w:line="278" w:lineRule="auto"/>
        <w:tabs>
          <w:tab w:leader="none" w:pos="10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non-GAAP financial measures. Refer to Appendix A for a reconciliation of EBIT-adjusted, EBIT-adjusted margin, ROIC-adjusted, and EPS-diluted-adjusted to their closest comparable GAAP measure.</w:t>
      </w: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0"/>
          <w:szCs w:val="10"/>
          <w:color w:val="0033A0"/>
        </w:rPr>
        <w:t xml:space="preserve">38 </w:t>
      </w:r>
      <w:r>
        <w:rPr>
          <w:sz w:val="1"/>
          <w:szCs w:val="1"/>
          <w:color w:val="auto"/>
        </w:rPr>
        <w:drawing>
          <wp:inline distT="0" distB="0" distL="0" distR="0">
            <wp:extent cx="6852920" cy="9398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2920" cy="93980"/>
                    </a:xfrm>
                    <a:prstGeom prst="rect">
                      <a:avLst/>
                    </a:prstGeom>
                    <a:noFill/>
                    <a:ln>
                      <a:noFill/>
                    </a:ln>
                  </pic:spPr>
                </pic:pic>
              </a:graphicData>
            </a:graphic>
          </wp:inline>
        </w:drawing>
      </w:r>
    </w:p>
    <w:p>
      <w:pPr>
        <w:sectPr>
          <w:pgSz w:w="11900" w:h="16838" w:orient="portrait"/>
          <w:cols w:equalWidth="0" w:num="1">
            <w:col w:w="11360"/>
          </w:cols>
          <w:pgMar w:left="240" w:top="459" w:right="299" w:bottom="316"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917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89445" cy="891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0" w:hanging="504"/>
        <w:spacing w:after="0"/>
        <w:tabs>
          <w:tab w:leader="none" w:pos="1100" w:val="left"/>
        </w:tabs>
        <w:numPr>
          <w:ilvl w:val="0"/>
          <w:numId w:val="51"/>
        </w:numPr>
        <w:rPr>
          <w:rFonts w:ascii="Arial" w:cs="Arial" w:eastAsia="Arial" w:hAnsi="Arial"/>
          <w:sz w:val="25"/>
          <w:szCs w:val="25"/>
          <w:color w:val="0033A0"/>
        </w:rPr>
      </w:pPr>
      <w:r>
        <w:rPr>
          <w:rFonts w:ascii="Arial" w:cs="Arial" w:eastAsia="Arial" w:hAnsi="Arial"/>
          <w:sz w:val="25"/>
          <w:szCs w:val="25"/>
          <w:color w:val="auto"/>
        </w:rPr>
        <w:t>Leadership Changes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made the following leadership changes:</w:t>
      </w:r>
    </w:p>
    <w:p>
      <w:pPr>
        <w:spacing w:after="0" w:line="106" w:lineRule="exact"/>
        <w:rPr>
          <w:sz w:val="20"/>
          <w:szCs w:val="20"/>
          <w:color w:val="auto"/>
        </w:rPr>
      </w:pPr>
    </w:p>
    <w:p>
      <w:pPr>
        <w:ind w:left="780" w:right="600" w:hanging="184"/>
        <w:spacing w:after="0" w:line="286" w:lineRule="auto"/>
        <w:tabs>
          <w:tab w:leader="none" w:pos="780" w:val="left"/>
        </w:tabs>
        <w:numPr>
          <w:ilvl w:val="0"/>
          <w:numId w:val="52"/>
        </w:numPr>
        <w:rPr>
          <w:rFonts w:ascii="Arial" w:cs="Arial" w:eastAsia="Arial" w:hAnsi="Arial"/>
          <w:sz w:val="16"/>
          <w:szCs w:val="16"/>
          <w:color w:val="0033A0"/>
        </w:rPr>
      </w:pPr>
      <w:r>
        <w:rPr>
          <w:rFonts w:ascii="Arial" w:cs="Arial" w:eastAsia="Arial" w:hAnsi="Arial"/>
          <w:sz w:val="16"/>
          <w:szCs w:val="16"/>
          <w:b w:val="1"/>
          <w:bCs w:val="1"/>
          <w:color w:val="0033A0"/>
        </w:rPr>
        <w:t xml:space="preserve">Charles K. Stevens, III </w:t>
      </w:r>
      <w:r>
        <w:rPr>
          <w:rFonts w:ascii="Arial" w:cs="Arial" w:eastAsia="Arial" w:hAnsi="Arial"/>
          <w:sz w:val="16"/>
          <w:szCs w:val="16"/>
          <w:color w:val="000000"/>
        </w:rPr>
        <w:t>– Transitioned to an advisory role effective September 1, 2018, after serving as Executive Vice President and Chief</w:t>
      </w:r>
      <w:r>
        <w:rPr>
          <w:rFonts w:ascii="Arial" w:cs="Arial" w:eastAsia="Arial" w:hAnsi="Arial"/>
          <w:sz w:val="16"/>
          <w:szCs w:val="16"/>
          <w:b w:val="1"/>
          <w:bCs w:val="1"/>
          <w:color w:val="0033A0"/>
        </w:rPr>
        <w:t xml:space="preserve"> </w:t>
      </w:r>
      <w:r>
        <w:rPr>
          <w:rFonts w:ascii="Arial" w:cs="Arial" w:eastAsia="Arial" w:hAnsi="Arial"/>
          <w:sz w:val="16"/>
          <w:szCs w:val="16"/>
          <w:color w:val="000000"/>
        </w:rPr>
        <w:t>Financial Officer since January 15, 2014; retired from the Company effective March 1, 2019.</w:t>
      </w:r>
    </w:p>
    <w:p>
      <w:pPr>
        <w:spacing w:after="0" w:line="60" w:lineRule="exact"/>
        <w:rPr>
          <w:rFonts w:ascii="Arial" w:cs="Arial" w:eastAsia="Arial" w:hAnsi="Arial"/>
          <w:sz w:val="16"/>
          <w:szCs w:val="16"/>
          <w:color w:val="0033A0"/>
        </w:rPr>
      </w:pPr>
    </w:p>
    <w:p>
      <w:pPr>
        <w:ind w:left="780" w:right="600" w:hanging="184"/>
        <w:spacing w:after="0" w:line="286" w:lineRule="auto"/>
        <w:tabs>
          <w:tab w:leader="none" w:pos="780" w:val="left"/>
        </w:tabs>
        <w:numPr>
          <w:ilvl w:val="0"/>
          <w:numId w:val="52"/>
        </w:numPr>
        <w:rPr>
          <w:rFonts w:ascii="Arial" w:cs="Arial" w:eastAsia="Arial" w:hAnsi="Arial"/>
          <w:sz w:val="16"/>
          <w:szCs w:val="16"/>
          <w:color w:val="0033A0"/>
        </w:rPr>
      </w:pPr>
      <w:r>
        <w:rPr>
          <w:rFonts w:ascii="Arial" w:cs="Arial" w:eastAsia="Arial" w:hAnsi="Arial"/>
          <w:sz w:val="16"/>
          <w:szCs w:val="16"/>
          <w:b w:val="1"/>
          <w:bCs w:val="1"/>
          <w:color w:val="0033A0"/>
        </w:rPr>
        <w:t xml:space="preserve">Dhivya Suryadevara </w:t>
      </w:r>
      <w:r>
        <w:rPr>
          <w:rFonts w:ascii="Arial" w:cs="Arial" w:eastAsia="Arial" w:hAnsi="Arial"/>
          <w:sz w:val="16"/>
          <w:szCs w:val="16"/>
          <w:color w:val="000000"/>
        </w:rPr>
        <w:t>– Promoted to Executive Vice President and Chief Financial Officer effective September 1, 2018, succeeding Charles</w:t>
      </w:r>
      <w:r>
        <w:rPr>
          <w:rFonts w:ascii="Arial" w:cs="Arial" w:eastAsia="Arial" w:hAnsi="Arial"/>
          <w:sz w:val="16"/>
          <w:szCs w:val="16"/>
          <w:b w:val="1"/>
          <w:bCs w:val="1"/>
          <w:color w:val="0033A0"/>
        </w:rPr>
        <w:t xml:space="preserve"> </w:t>
      </w:r>
      <w:r>
        <w:rPr>
          <w:rFonts w:ascii="Arial" w:cs="Arial" w:eastAsia="Arial" w:hAnsi="Arial"/>
          <w:sz w:val="16"/>
          <w:szCs w:val="16"/>
          <w:color w:val="000000"/>
        </w:rPr>
        <w:t>K. Stevens, III.</w:t>
      </w:r>
    </w:p>
    <w:p>
      <w:pPr>
        <w:spacing w:after="0" w:line="60" w:lineRule="exact"/>
        <w:rPr>
          <w:rFonts w:ascii="Arial" w:cs="Arial" w:eastAsia="Arial" w:hAnsi="Arial"/>
          <w:sz w:val="16"/>
          <w:szCs w:val="16"/>
          <w:color w:val="0033A0"/>
        </w:rPr>
      </w:pPr>
    </w:p>
    <w:p>
      <w:pPr>
        <w:ind w:left="780" w:hanging="184"/>
        <w:spacing w:after="0"/>
        <w:tabs>
          <w:tab w:leader="none" w:pos="780" w:val="left"/>
        </w:tabs>
        <w:numPr>
          <w:ilvl w:val="0"/>
          <w:numId w:val="52"/>
        </w:numPr>
        <w:rPr>
          <w:rFonts w:ascii="Arial" w:cs="Arial" w:eastAsia="Arial" w:hAnsi="Arial"/>
          <w:sz w:val="16"/>
          <w:szCs w:val="16"/>
          <w:color w:val="0033A0"/>
        </w:rPr>
      </w:pPr>
      <w:r>
        <w:rPr>
          <w:rFonts w:ascii="Arial" w:cs="Arial" w:eastAsia="Arial" w:hAnsi="Arial"/>
          <w:sz w:val="16"/>
          <w:szCs w:val="16"/>
          <w:b w:val="1"/>
          <w:bCs w:val="1"/>
          <w:color w:val="0033A0"/>
        </w:rPr>
        <w:t xml:space="preserve">Daniel Ammann </w:t>
      </w:r>
      <w:r>
        <w:rPr>
          <w:rFonts w:ascii="Arial" w:cs="Arial" w:eastAsia="Arial" w:hAnsi="Arial"/>
          <w:sz w:val="16"/>
          <w:szCs w:val="16"/>
          <w:color w:val="000000"/>
        </w:rPr>
        <w:t>– Transitioned to Chief Executive Officer of GM Cruise effective January 1, 2019.</w:t>
      </w:r>
    </w:p>
    <w:p>
      <w:pPr>
        <w:spacing w:after="0" w:line="126" w:lineRule="exact"/>
        <w:rPr>
          <w:rFonts w:ascii="Arial" w:cs="Arial" w:eastAsia="Arial" w:hAnsi="Arial"/>
          <w:sz w:val="16"/>
          <w:szCs w:val="16"/>
          <w:color w:val="0033A0"/>
        </w:rPr>
      </w:pPr>
    </w:p>
    <w:p>
      <w:pPr>
        <w:ind w:left="780" w:right="580" w:hanging="184"/>
        <w:spacing w:after="0" w:line="286" w:lineRule="auto"/>
        <w:tabs>
          <w:tab w:leader="none" w:pos="780" w:val="left"/>
        </w:tabs>
        <w:numPr>
          <w:ilvl w:val="0"/>
          <w:numId w:val="52"/>
        </w:numPr>
        <w:rPr>
          <w:rFonts w:ascii="Arial" w:cs="Arial" w:eastAsia="Arial" w:hAnsi="Arial"/>
          <w:sz w:val="16"/>
          <w:szCs w:val="16"/>
          <w:color w:val="0033A0"/>
        </w:rPr>
      </w:pPr>
      <w:r>
        <w:rPr>
          <w:rFonts w:ascii="Arial" w:cs="Arial" w:eastAsia="Arial" w:hAnsi="Arial"/>
          <w:sz w:val="16"/>
          <w:szCs w:val="16"/>
          <w:b w:val="1"/>
          <w:bCs w:val="1"/>
          <w:color w:val="0033A0"/>
        </w:rPr>
        <w:t xml:space="preserve">Mark L. Reuss </w:t>
      </w:r>
      <w:r>
        <w:rPr>
          <w:rFonts w:ascii="Arial" w:cs="Arial" w:eastAsia="Arial" w:hAnsi="Arial"/>
          <w:sz w:val="16"/>
          <w:szCs w:val="16"/>
          <w:color w:val="000000"/>
        </w:rPr>
        <w:t>– Assumed additional responsibilities for Global Cadillac as Executive Vice President and President, Global Product Group</w:t>
      </w:r>
      <w:r>
        <w:rPr>
          <w:rFonts w:ascii="Arial" w:cs="Arial" w:eastAsia="Arial" w:hAnsi="Arial"/>
          <w:sz w:val="16"/>
          <w:szCs w:val="16"/>
          <w:b w:val="1"/>
          <w:bCs w:val="1"/>
          <w:color w:val="0033A0"/>
        </w:rPr>
        <w:t xml:space="preserve"> </w:t>
      </w:r>
      <w:r>
        <w:rPr>
          <w:rFonts w:ascii="Arial" w:cs="Arial" w:eastAsia="Arial" w:hAnsi="Arial"/>
          <w:sz w:val="16"/>
          <w:szCs w:val="16"/>
          <w:color w:val="000000"/>
        </w:rPr>
        <w:t>and Cadillac, effective June 21, 2018. Named President on January 3, 2019, succeeding Daniel Ammann.</w:t>
      </w:r>
    </w:p>
    <w:p>
      <w:pPr>
        <w:spacing w:after="0" w:line="60" w:lineRule="exact"/>
        <w:rPr>
          <w:rFonts w:ascii="Arial" w:cs="Arial" w:eastAsia="Arial" w:hAnsi="Arial"/>
          <w:sz w:val="16"/>
          <w:szCs w:val="16"/>
          <w:color w:val="0033A0"/>
        </w:rPr>
      </w:pPr>
    </w:p>
    <w:p>
      <w:pPr>
        <w:ind w:left="780" w:right="580" w:hanging="184"/>
        <w:spacing w:after="0" w:line="286" w:lineRule="auto"/>
        <w:tabs>
          <w:tab w:leader="none" w:pos="780" w:val="left"/>
        </w:tabs>
        <w:numPr>
          <w:ilvl w:val="0"/>
          <w:numId w:val="52"/>
        </w:numPr>
        <w:rPr>
          <w:rFonts w:ascii="Arial" w:cs="Arial" w:eastAsia="Arial" w:hAnsi="Arial"/>
          <w:sz w:val="16"/>
          <w:szCs w:val="16"/>
          <w:color w:val="0033A0"/>
        </w:rPr>
      </w:pPr>
      <w:r>
        <w:rPr>
          <w:rFonts w:ascii="Arial" w:cs="Arial" w:eastAsia="Arial" w:hAnsi="Arial"/>
          <w:sz w:val="16"/>
          <w:szCs w:val="16"/>
          <w:b w:val="1"/>
          <w:bCs w:val="1"/>
          <w:color w:val="0033A0"/>
        </w:rPr>
        <w:t xml:space="preserve">Alan S. Batey </w:t>
      </w:r>
      <w:r>
        <w:rPr>
          <w:rFonts w:ascii="Arial" w:cs="Arial" w:eastAsia="Arial" w:hAnsi="Arial"/>
          <w:sz w:val="16"/>
          <w:szCs w:val="16"/>
          <w:color w:val="000000"/>
        </w:rPr>
        <w:t>– Transitioned to an advisory role effective April 1, 2019, after serving as Executive Vice President and President, North</w:t>
      </w:r>
      <w:r>
        <w:rPr>
          <w:rFonts w:ascii="Arial" w:cs="Arial" w:eastAsia="Arial" w:hAnsi="Arial"/>
          <w:sz w:val="16"/>
          <w:szCs w:val="16"/>
          <w:b w:val="1"/>
          <w:bCs w:val="1"/>
          <w:color w:val="0033A0"/>
        </w:rPr>
        <w:t xml:space="preserve"> </w:t>
      </w:r>
      <w:r>
        <w:rPr>
          <w:rFonts w:ascii="Arial" w:cs="Arial" w:eastAsia="Arial" w:hAnsi="Arial"/>
          <w:sz w:val="16"/>
          <w:szCs w:val="16"/>
          <w:color w:val="000000"/>
        </w:rPr>
        <w:t>America, since January 15, 2014.</w:t>
      </w:r>
    </w:p>
    <w:p>
      <w:pPr>
        <w:spacing w:after="0" w:line="296" w:lineRule="exact"/>
        <w:rPr>
          <w:sz w:val="20"/>
          <w:szCs w:val="20"/>
          <w:color w:val="auto"/>
        </w:rPr>
      </w:pPr>
    </w:p>
    <w:p>
      <w:pPr>
        <w:ind w:left="1100" w:hanging="504"/>
        <w:spacing w:after="0"/>
        <w:tabs>
          <w:tab w:leader="none" w:pos="1100" w:val="left"/>
        </w:tabs>
        <w:numPr>
          <w:ilvl w:val="0"/>
          <w:numId w:val="53"/>
        </w:numPr>
        <w:rPr>
          <w:rFonts w:ascii="Arial" w:cs="Arial" w:eastAsia="Arial" w:hAnsi="Arial"/>
          <w:sz w:val="25"/>
          <w:szCs w:val="25"/>
          <w:color w:val="0033A0"/>
        </w:rPr>
      </w:pPr>
      <w:r>
        <w:rPr>
          <w:rFonts w:ascii="Arial" w:cs="Arial" w:eastAsia="Arial" w:hAnsi="Arial"/>
          <w:sz w:val="25"/>
          <w:szCs w:val="25"/>
          <w:color w:val="auto"/>
        </w:rPr>
        <w:t>Compensation Governance and Best Practices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00A1DF"/>
        </w:rPr>
        <w:t>WHAT WE DO</w:t>
      </w:r>
    </w:p>
    <w:p>
      <w:pPr>
        <w:spacing w:after="0" w:line="101" w:lineRule="exact"/>
        <w:rPr>
          <w:sz w:val="20"/>
          <w:szCs w:val="20"/>
          <w:color w:val="auto"/>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Provide short-term and long-term incentive plans with performance targets aligned to business goals</w:t>
      </w:r>
    </w:p>
    <w:p>
      <w:pPr>
        <w:spacing w:after="0" w:line="151" w:lineRule="exact"/>
        <w:rPr>
          <w:rFonts w:ascii="Arial" w:cs="Arial" w:eastAsia="Arial" w:hAnsi="Arial"/>
          <w:sz w:val="22"/>
          <w:szCs w:val="22"/>
          <w:b w:val="1"/>
          <w:bCs w:val="1"/>
          <w:color w:val="00A1DF"/>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Conduct annual advisory vote for shareholders to approve executive compensation</w:t>
      </w:r>
    </w:p>
    <w:p>
      <w:pPr>
        <w:spacing w:after="0" w:line="151" w:lineRule="exact"/>
        <w:rPr>
          <w:rFonts w:ascii="Arial" w:cs="Arial" w:eastAsia="Arial" w:hAnsi="Arial"/>
          <w:sz w:val="22"/>
          <w:szCs w:val="22"/>
          <w:b w:val="1"/>
          <w:bCs w:val="1"/>
          <w:color w:val="00A1DF"/>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Maintain a Compensation Committee composed entirely of independent directors</w:t>
      </w:r>
    </w:p>
    <w:p>
      <w:pPr>
        <w:spacing w:after="0" w:line="151" w:lineRule="exact"/>
        <w:rPr>
          <w:rFonts w:ascii="Arial" w:cs="Arial" w:eastAsia="Arial" w:hAnsi="Arial"/>
          <w:sz w:val="22"/>
          <w:szCs w:val="22"/>
          <w:b w:val="1"/>
          <w:bCs w:val="1"/>
          <w:color w:val="00A1DF"/>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Require stock ownership for all senior leaders</w:t>
      </w:r>
    </w:p>
    <w:p>
      <w:pPr>
        <w:spacing w:after="0" w:line="179" w:lineRule="exact"/>
        <w:rPr>
          <w:rFonts w:ascii="Arial" w:cs="Arial" w:eastAsia="Arial" w:hAnsi="Arial"/>
          <w:sz w:val="22"/>
          <w:szCs w:val="22"/>
          <w:b w:val="1"/>
          <w:bCs w:val="1"/>
          <w:color w:val="00A1DF"/>
        </w:rPr>
      </w:pPr>
    </w:p>
    <w:p>
      <w:pPr>
        <w:ind w:left="1140" w:right="640" w:hanging="382"/>
        <w:spacing w:after="0"/>
        <w:tabs>
          <w:tab w:leader="none" w:pos="1140" w:val="left"/>
        </w:tabs>
        <w:numPr>
          <w:ilvl w:val="0"/>
          <w:numId w:val="54"/>
        </w:numPr>
        <w:rPr>
          <w:rFonts w:ascii="Arial" w:cs="Arial" w:eastAsia="Arial" w:hAnsi="Arial"/>
          <w:sz w:val="28"/>
          <w:szCs w:val="28"/>
          <w:b w:val="1"/>
          <w:bCs w:val="1"/>
          <w:color w:val="00A1DF"/>
          <w:vertAlign w:val="subscript"/>
        </w:rPr>
      </w:pPr>
      <w:r>
        <w:rPr>
          <w:rFonts w:ascii="Arial" w:cs="Arial" w:eastAsia="Arial" w:hAnsi="Arial"/>
          <w:sz w:val="12"/>
          <w:szCs w:val="12"/>
          <w:color w:val="auto"/>
        </w:rPr>
        <w:t>Continue to engage with shareholders on various topics with members of management and directors, including our Compensation Committee and our Independent Lead Director</w:t>
      </w:r>
    </w:p>
    <w:p>
      <w:pPr>
        <w:spacing w:after="0" w:line="135" w:lineRule="exact"/>
        <w:rPr>
          <w:rFonts w:ascii="Arial" w:cs="Arial" w:eastAsia="Arial" w:hAnsi="Arial"/>
          <w:sz w:val="28"/>
          <w:szCs w:val="28"/>
          <w:b w:val="1"/>
          <w:bCs w:val="1"/>
          <w:color w:val="00A1DF"/>
          <w:vertAlign w:val="subscript"/>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Include non-compete and non-solicitation terms in all grant agreements with senior leaders</w:t>
      </w:r>
    </w:p>
    <w:p>
      <w:pPr>
        <w:spacing w:after="0" w:line="151" w:lineRule="exact"/>
        <w:rPr>
          <w:rFonts w:ascii="Arial" w:cs="Arial" w:eastAsia="Arial" w:hAnsi="Arial"/>
          <w:sz w:val="22"/>
          <w:szCs w:val="22"/>
          <w:b w:val="1"/>
          <w:bCs w:val="1"/>
          <w:color w:val="00A1DF"/>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Retain an independent executive compensation consultant to the Compensation Committee</w:t>
      </w:r>
    </w:p>
    <w:p>
      <w:pPr>
        <w:spacing w:after="0" w:line="179" w:lineRule="exact"/>
        <w:rPr>
          <w:rFonts w:ascii="Arial" w:cs="Arial" w:eastAsia="Arial" w:hAnsi="Arial"/>
          <w:sz w:val="22"/>
          <w:szCs w:val="22"/>
          <w:b w:val="1"/>
          <w:bCs w:val="1"/>
          <w:color w:val="00A1DF"/>
        </w:rPr>
      </w:pPr>
    </w:p>
    <w:p>
      <w:pPr>
        <w:ind w:left="1140" w:right="640" w:hanging="382"/>
        <w:spacing w:after="0" w:line="180" w:lineRule="auto"/>
        <w:tabs>
          <w:tab w:leader="none" w:pos="1140" w:val="left"/>
        </w:tabs>
        <w:numPr>
          <w:ilvl w:val="0"/>
          <w:numId w:val="54"/>
        </w:numPr>
        <w:rPr>
          <w:rFonts w:ascii="Arial" w:cs="Arial" w:eastAsia="Arial" w:hAnsi="Arial"/>
          <w:sz w:val="28"/>
          <w:szCs w:val="28"/>
          <w:b w:val="1"/>
          <w:bCs w:val="1"/>
          <w:color w:val="00A1DF"/>
          <w:vertAlign w:val="subscript"/>
        </w:rPr>
      </w:pPr>
      <w:r>
        <w:rPr>
          <w:rFonts w:ascii="Arial" w:cs="Arial" w:eastAsia="Arial" w:hAnsi="Arial"/>
          <w:sz w:val="12"/>
          <w:szCs w:val="12"/>
          <w:color w:val="auto"/>
        </w:rPr>
        <w:t>Maintain an Insider Trading Policy requiring directors, executive officers, and all other senior leaders to trade only during established window periods after contacting the GM Legal Staff prior to any sales or purchases of common stock</w:t>
      </w:r>
    </w:p>
    <w:p>
      <w:pPr>
        <w:spacing w:after="0" w:line="140" w:lineRule="exact"/>
        <w:rPr>
          <w:rFonts w:ascii="Arial" w:cs="Arial" w:eastAsia="Arial" w:hAnsi="Arial"/>
          <w:sz w:val="28"/>
          <w:szCs w:val="28"/>
          <w:b w:val="1"/>
          <w:bCs w:val="1"/>
          <w:color w:val="00A1DF"/>
          <w:vertAlign w:val="subscript"/>
        </w:rPr>
      </w:pPr>
    </w:p>
    <w:p>
      <w:pPr>
        <w:ind w:left="1140" w:right="640" w:hanging="382"/>
        <w:spacing w:after="0" w:line="190" w:lineRule="auto"/>
        <w:tabs>
          <w:tab w:leader="none" w:pos="1140" w:val="left"/>
        </w:tabs>
        <w:numPr>
          <w:ilvl w:val="0"/>
          <w:numId w:val="54"/>
        </w:numPr>
        <w:rPr>
          <w:rFonts w:ascii="Arial" w:cs="Arial" w:eastAsia="Arial" w:hAnsi="Arial"/>
          <w:sz w:val="38"/>
          <w:szCs w:val="38"/>
          <w:b w:val="1"/>
          <w:bCs w:val="1"/>
          <w:color w:val="00A1DF"/>
          <w:vertAlign w:val="subscript"/>
        </w:rPr>
      </w:pPr>
      <w:r>
        <w:rPr>
          <w:rFonts w:ascii="Arial" w:cs="Arial" w:eastAsia="Arial" w:hAnsi="Arial"/>
          <w:sz w:val="14"/>
          <w:szCs w:val="14"/>
          <w:color w:val="auto"/>
        </w:rPr>
        <w:t>Require equity awards to have a double trigger (termination of employment and change in control) to initiate protection provisions of outstanding awards</w:t>
      </w:r>
    </w:p>
    <w:p>
      <w:pPr>
        <w:spacing w:after="0" w:line="111" w:lineRule="exact"/>
        <w:rPr>
          <w:rFonts w:ascii="Arial" w:cs="Arial" w:eastAsia="Arial" w:hAnsi="Arial"/>
          <w:sz w:val="38"/>
          <w:szCs w:val="38"/>
          <w:b w:val="1"/>
          <w:bCs w:val="1"/>
          <w:color w:val="00A1DF"/>
          <w:vertAlign w:val="subscript"/>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Complete an annual incentive compensation risk review</w:t>
      </w:r>
    </w:p>
    <w:p>
      <w:pPr>
        <w:spacing w:after="0" w:line="151" w:lineRule="exact"/>
        <w:rPr>
          <w:rFonts w:ascii="Arial" w:cs="Arial" w:eastAsia="Arial" w:hAnsi="Arial"/>
          <w:sz w:val="22"/>
          <w:szCs w:val="22"/>
          <w:b w:val="1"/>
          <w:bCs w:val="1"/>
          <w:color w:val="00A1DF"/>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Maintain a clawback policy that applies to actions that damage GM’s reputation</w:t>
      </w:r>
    </w:p>
    <w:p>
      <w:pPr>
        <w:spacing w:after="0" w:line="151" w:lineRule="exact"/>
        <w:rPr>
          <w:rFonts w:ascii="Arial" w:cs="Arial" w:eastAsia="Arial" w:hAnsi="Arial"/>
          <w:sz w:val="22"/>
          <w:szCs w:val="22"/>
          <w:b w:val="1"/>
          <w:bCs w:val="1"/>
          <w:color w:val="00A1DF"/>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Design simple and clear compensation programs that provide senior leaders direct line-of-sight to business goals</w:t>
      </w:r>
    </w:p>
    <w:p>
      <w:pPr>
        <w:spacing w:after="0" w:line="151" w:lineRule="exact"/>
        <w:rPr>
          <w:rFonts w:ascii="Arial" w:cs="Arial" w:eastAsia="Arial" w:hAnsi="Arial"/>
          <w:sz w:val="22"/>
          <w:szCs w:val="22"/>
          <w:b w:val="1"/>
          <w:bCs w:val="1"/>
          <w:color w:val="00A1DF"/>
        </w:rPr>
      </w:pPr>
    </w:p>
    <w:p>
      <w:pPr>
        <w:ind w:left="1140" w:hanging="382"/>
        <w:spacing w:after="0"/>
        <w:tabs>
          <w:tab w:leader="none" w:pos="1140" w:val="left"/>
        </w:tabs>
        <w:numPr>
          <w:ilvl w:val="0"/>
          <w:numId w:val="54"/>
        </w:numPr>
        <w:rPr>
          <w:rFonts w:ascii="Arial" w:cs="Arial" w:eastAsia="Arial" w:hAnsi="Arial"/>
          <w:sz w:val="22"/>
          <w:szCs w:val="22"/>
          <w:b w:val="1"/>
          <w:bCs w:val="1"/>
          <w:color w:val="00A1DF"/>
        </w:rPr>
      </w:pPr>
      <w:r>
        <w:rPr>
          <w:rFonts w:ascii="Arial" w:cs="Arial" w:eastAsia="Arial" w:hAnsi="Arial"/>
          <w:sz w:val="15"/>
          <w:szCs w:val="15"/>
          <w:color w:val="auto"/>
        </w:rPr>
        <w:t>Conduct an annual audit of senior executive expenses and perquisites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00A1DF"/>
        </w:rPr>
        <w:t>WHAT WE DON’T DO</w:t>
      </w:r>
    </w:p>
    <w:p>
      <w:pPr>
        <w:spacing w:after="0" w:line="101" w:lineRule="exact"/>
        <w:rPr>
          <w:sz w:val="20"/>
          <w:szCs w:val="20"/>
          <w:color w:val="auto"/>
        </w:rPr>
      </w:pPr>
    </w:p>
    <w:p>
      <w:pPr>
        <w:ind w:left="1140" w:hanging="370"/>
        <w:spacing w:after="0"/>
        <w:tabs>
          <w:tab w:leader="none" w:pos="1140" w:val="left"/>
        </w:tabs>
        <w:numPr>
          <w:ilvl w:val="0"/>
          <w:numId w:val="55"/>
        </w:numPr>
        <w:rPr>
          <w:rFonts w:ascii="Arial" w:cs="Arial" w:eastAsia="Arial" w:hAnsi="Arial"/>
          <w:sz w:val="22"/>
          <w:szCs w:val="22"/>
          <w:color w:val="00A1DF"/>
        </w:rPr>
      </w:pPr>
      <w:r>
        <w:rPr>
          <w:rFonts w:ascii="Arial" w:cs="Arial" w:eastAsia="Arial" w:hAnsi="Arial"/>
          <w:sz w:val="15"/>
          <w:szCs w:val="15"/>
          <w:color w:val="auto"/>
        </w:rPr>
        <w:t>Provide gross-up payments to cover personal income taxes or excise taxes pertaining to executive severance benefits</w:t>
      </w:r>
    </w:p>
    <w:p>
      <w:pPr>
        <w:spacing w:after="0" w:line="151" w:lineRule="exact"/>
        <w:rPr>
          <w:rFonts w:ascii="Arial" w:cs="Arial" w:eastAsia="Arial" w:hAnsi="Arial"/>
          <w:sz w:val="22"/>
          <w:szCs w:val="22"/>
          <w:color w:val="00A1DF"/>
        </w:rPr>
      </w:pPr>
    </w:p>
    <w:p>
      <w:pPr>
        <w:ind w:left="1140" w:hanging="370"/>
        <w:spacing w:after="0"/>
        <w:tabs>
          <w:tab w:leader="none" w:pos="1140" w:val="left"/>
        </w:tabs>
        <w:numPr>
          <w:ilvl w:val="0"/>
          <w:numId w:val="55"/>
        </w:numPr>
        <w:rPr>
          <w:rFonts w:ascii="Arial" w:cs="Arial" w:eastAsia="Arial" w:hAnsi="Arial"/>
          <w:sz w:val="22"/>
          <w:szCs w:val="22"/>
          <w:color w:val="00A1DF"/>
        </w:rPr>
      </w:pPr>
      <w:r>
        <w:rPr>
          <w:rFonts w:ascii="Arial" w:cs="Arial" w:eastAsia="Arial" w:hAnsi="Arial"/>
          <w:sz w:val="15"/>
          <w:szCs w:val="15"/>
          <w:color w:val="auto"/>
        </w:rPr>
        <w:t>Allow directors or executives to engage in hedging or pledging of GM securities</w:t>
      </w:r>
    </w:p>
    <w:p>
      <w:pPr>
        <w:spacing w:after="0" w:line="151" w:lineRule="exact"/>
        <w:rPr>
          <w:rFonts w:ascii="Arial" w:cs="Arial" w:eastAsia="Arial" w:hAnsi="Arial"/>
          <w:sz w:val="22"/>
          <w:szCs w:val="22"/>
          <w:color w:val="00A1DF"/>
        </w:rPr>
      </w:pPr>
    </w:p>
    <w:p>
      <w:pPr>
        <w:ind w:left="1140" w:hanging="370"/>
        <w:spacing w:after="0"/>
        <w:tabs>
          <w:tab w:leader="none" w:pos="1140" w:val="left"/>
        </w:tabs>
        <w:numPr>
          <w:ilvl w:val="0"/>
          <w:numId w:val="55"/>
        </w:numPr>
        <w:rPr>
          <w:rFonts w:ascii="Arial" w:cs="Arial" w:eastAsia="Arial" w:hAnsi="Arial"/>
          <w:sz w:val="22"/>
          <w:szCs w:val="22"/>
          <w:color w:val="00A1DF"/>
        </w:rPr>
      </w:pPr>
      <w:r>
        <w:rPr>
          <w:rFonts w:ascii="Arial" w:cs="Arial" w:eastAsia="Arial" w:hAnsi="Arial"/>
          <w:sz w:val="15"/>
          <w:szCs w:val="15"/>
          <w:color w:val="auto"/>
        </w:rPr>
        <w:t>Reward executives for excessive, imprudent, inappropriate, or unnecessary risk-taking</w:t>
      </w:r>
    </w:p>
    <w:p>
      <w:pPr>
        <w:spacing w:after="0" w:line="151" w:lineRule="exact"/>
        <w:rPr>
          <w:rFonts w:ascii="Arial" w:cs="Arial" w:eastAsia="Arial" w:hAnsi="Arial"/>
          <w:sz w:val="22"/>
          <w:szCs w:val="22"/>
          <w:color w:val="00A1DF"/>
        </w:rPr>
      </w:pPr>
    </w:p>
    <w:p>
      <w:pPr>
        <w:ind w:left="1140" w:hanging="370"/>
        <w:spacing w:after="0"/>
        <w:tabs>
          <w:tab w:leader="none" w:pos="1140" w:val="left"/>
        </w:tabs>
        <w:numPr>
          <w:ilvl w:val="0"/>
          <w:numId w:val="55"/>
        </w:numPr>
        <w:rPr>
          <w:rFonts w:ascii="Arial" w:cs="Arial" w:eastAsia="Arial" w:hAnsi="Arial"/>
          <w:sz w:val="22"/>
          <w:szCs w:val="22"/>
          <w:color w:val="00A1DF"/>
        </w:rPr>
      </w:pPr>
      <w:r>
        <w:rPr>
          <w:rFonts w:ascii="Arial" w:cs="Arial" w:eastAsia="Arial" w:hAnsi="Arial"/>
          <w:sz w:val="15"/>
          <w:szCs w:val="15"/>
          <w:color w:val="auto"/>
        </w:rPr>
        <w:t>Allow the repricing or backdating of equity awards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39</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84060" cy="69894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84060" cy="698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369" w:lineRule="exact"/>
        <w:rPr>
          <w:sz w:val="20"/>
          <w:szCs w:val="20"/>
          <w:color w:val="auto"/>
        </w:rPr>
      </w:pPr>
    </w:p>
    <w:p>
      <w:pPr>
        <w:ind w:left="1100" w:hanging="504"/>
        <w:spacing w:after="0"/>
        <w:tabs>
          <w:tab w:leader="none" w:pos="1100" w:val="left"/>
        </w:tabs>
        <w:numPr>
          <w:ilvl w:val="0"/>
          <w:numId w:val="56"/>
        </w:numPr>
        <w:rPr>
          <w:rFonts w:ascii="Arial" w:cs="Arial" w:eastAsia="Arial" w:hAnsi="Arial"/>
          <w:sz w:val="25"/>
          <w:szCs w:val="25"/>
          <w:color w:val="0033A0"/>
        </w:rPr>
      </w:pPr>
      <w:r>
        <w:rPr>
          <w:rFonts w:ascii="Arial" w:cs="Arial" w:eastAsia="Arial" w:hAnsi="Arial"/>
          <w:sz w:val="25"/>
          <w:szCs w:val="25"/>
          <w:color w:val="auto"/>
        </w:rPr>
        <w:t>Shareholder Engagement Initiatives</w:t>
      </w:r>
    </w:p>
    <w:p>
      <w:pPr>
        <w:spacing w:after="0" w:line="199" w:lineRule="exact"/>
        <w:rPr>
          <w:sz w:val="20"/>
          <w:szCs w:val="20"/>
          <w:color w:val="auto"/>
        </w:rPr>
      </w:pPr>
    </w:p>
    <w:p>
      <w:pPr>
        <w:jc w:val="both"/>
        <w:ind w:left="600"/>
        <w:spacing w:after="0" w:line="248" w:lineRule="auto"/>
        <w:rPr>
          <w:sz w:val="20"/>
          <w:szCs w:val="20"/>
          <w:color w:val="auto"/>
        </w:rPr>
      </w:pPr>
      <w:r>
        <w:rPr>
          <w:rFonts w:ascii="Arial" w:cs="Arial" w:eastAsia="Arial" w:hAnsi="Arial"/>
          <w:sz w:val="16"/>
          <w:szCs w:val="16"/>
          <w:color w:val="auto"/>
        </w:rPr>
        <w:t>The Company values investor feedback and will continue to seek feedback through engagement initiatives to align our executive compensation programs with shareholder expectations. We view shareholder engagement as an important and continuous cycle. In 2018 and early 2019, members of the Board and/or management met with shareholders representing approximately 21% of our outstanding common stock on a range of issues. Through these engagements, we received feedback in support of our existing executive compensation program and, in particular, the Compensation Committee’s decision to further drive accountability and reinforce our safety culture. These discussions, Say-on-Pay voting results, aligning to the Company vision and strategic goals, and other factors are key drivers in our ongoing assessment of our compensation programs and help shape future programs. As the compensation programs evolve, the Board will remain committed to continuing the dialogue with shareholders on our compensation philosophy and practices.</w:t>
      </w:r>
    </w:p>
    <w:p>
      <w:pPr>
        <w:spacing w:after="0" w:line="267"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00A1DF"/>
        </w:rPr>
        <w:t>SHAREHOLDER SAY-ON-PAY</w:t>
      </w:r>
    </w:p>
    <w:p>
      <w:pPr>
        <w:spacing w:after="0" w:line="25" w:lineRule="exact"/>
        <w:rPr>
          <w:sz w:val="20"/>
          <w:szCs w:val="20"/>
          <w:color w:val="auto"/>
        </w:rPr>
      </w:pPr>
    </w:p>
    <w:p>
      <w:pPr>
        <w:jc w:val="both"/>
        <w:ind w:left="6200" w:right="260"/>
        <w:spacing w:after="0" w:line="247" w:lineRule="auto"/>
        <w:rPr>
          <w:sz w:val="20"/>
          <w:szCs w:val="20"/>
          <w:color w:val="auto"/>
        </w:rPr>
      </w:pPr>
      <w:r>
        <w:rPr>
          <w:rFonts w:ascii="Arial" w:cs="Arial" w:eastAsia="Arial" w:hAnsi="Arial"/>
          <w:sz w:val="16"/>
          <w:szCs w:val="16"/>
          <w:color w:val="0033A0"/>
        </w:rPr>
        <w:t>The Compensation Committee seeks to align the Company’s executive compensation program with the interests of the Company’s shareholders. The Compensation Committee considers the results of the annual Say-on-Pay vote, the long-term vision and strategic goals of the Company, input from management, input from its independent compensation consultant, and investor engagement feedback when setting compensation for our executives. In 2018, 96.7% of our shareholders voted in favor of our compensation programs. Discussions with investors and shareholder Say-on-Pay voting are key drivers in our compensation design to continue alignment between our compensation programs and the interests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258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Investor Alignment Topics</w:t>
            </w:r>
          </w:p>
        </w:tc>
        <w:tc>
          <w:tcPr>
            <w:tcW w:w="7640" w:type="dxa"/>
            <w:vAlign w:val="bottom"/>
            <w:tcBorders>
              <w:bottom w:val="single" w:sz="8" w:color="00A1DF"/>
            </w:tcBorders>
          </w:tcPr>
          <w:p>
            <w:pPr>
              <w:ind w:left="260"/>
              <w:spacing w:after="0"/>
              <w:rPr>
                <w:sz w:val="20"/>
                <w:szCs w:val="20"/>
                <w:color w:val="auto"/>
              </w:rPr>
            </w:pPr>
            <w:r>
              <w:rPr>
                <w:rFonts w:ascii="Arial" w:cs="Arial" w:eastAsia="Arial" w:hAnsi="Arial"/>
                <w:sz w:val="15"/>
                <w:szCs w:val="15"/>
                <w:b w:val="1"/>
                <w:bCs w:val="1"/>
                <w:color w:val="00A1DF"/>
              </w:rPr>
              <w:t>2018 Activities</w:t>
            </w:r>
          </w:p>
        </w:tc>
      </w:tr>
      <w:tr>
        <w:trPr>
          <w:trHeight w:val="196"/>
        </w:trPr>
        <w:tc>
          <w:tcPr>
            <w:tcW w:w="2580" w:type="dxa"/>
            <w:vAlign w:val="bottom"/>
          </w:tcPr>
          <w:p>
            <w:pPr>
              <w:ind w:left="80"/>
              <w:spacing w:after="0"/>
              <w:rPr>
                <w:sz w:val="20"/>
                <w:szCs w:val="20"/>
                <w:color w:val="auto"/>
              </w:rPr>
            </w:pPr>
            <w:r>
              <w:rPr>
                <w:rFonts w:ascii="Arial" w:cs="Arial" w:eastAsia="Arial" w:hAnsi="Arial"/>
                <w:sz w:val="15"/>
                <w:szCs w:val="15"/>
                <w:b w:val="1"/>
                <w:bCs w:val="1"/>
                <w:color w:val="auto"/>
              </w:rPr>
              <w:t>Evaluate ESG Performance</w:t>
            </w:r>
          </w:p>
        </w:tc>
        <w:tc>
          <w:tcPr>
            <w:tcW w:w="7640" w:type="dxa"/>
            <w:vAlign w:val="bottom"/>
          </w:tcPr>
          <w:p>
            <w:pPr>
              <w:ind w:left="260"/>
              <w:spacing w:after="0"/>
              <w:rPr>
                <w:sz w:val="20"/>
                <w:szCs w:val="20"/>
                <w:color w:val="auto"/>
              </w:rPr>
            </w:pPr>
            <w:r>
              <w:rPr>
                <w:rFonts w:ascii="Arial" w:cs="Arial" w:eastAsia="Arial" w:hAnsi="Arial"/>
                <w:sz w:val="15"/>
                <w:szCs w:val="15"/>
                <w:color w:val="auto"/>
              </w:rPr>
              <w:t>We continue to factor performance related to Company and individual ESG results when determining</w:t>
            </w:r>
          </w:p>
        </w:tc>
      </w:tr>
      <w:tr>
        <w:trPr>
          <w:trHeight w:val="162"/>
        </w:trPr>
        <w:tc>
          <w:tcPr>
            <w:tcW w:w="2580" w:type="dxa"/>
            <w:vAlign w:val="bottom"/>
          </w:tcPr>
          <w:p>
            <w:pPr>
              <w:spacing w:after="0"/>
              <w:rPr>
                <w:sz w:val="14"/>
                <w:szCs w:val="14"/>
                <w:color w:val="auto"/>
              </w:rPr>
            </w:pPr>
          </w:p>
        </w:tc>
        <w:tc>
          <w:tcPr>
            <w:tcW w:w="7640" w:type="dxa"/>
            <w:vAlign w:val="bottom"/>
          </w:tcPr>
          <w:p>
            <w:pPr>
              <w:ind w:left="260"/>
              <w:spacing w:after="0" w:line="162" w:lineRule="exact"/>
              <w:rPr>
                <w:sz w:val="20"/>
                <w:szCs w:val="20"/>
                <w:color w:val="auto"/>
              </w:rPr>
            </w:pPr>
            <w:r>
              <w:rPr>
                <w:rFonts w:ascii="Arial" w:cs="Arial" w:eastAsia="Arial" w:hAnsi="Arial"/>
                <w:sz w:val="15"/>
                <w:szCs w:val="15"/>
                <w:color w:val="auto"/>
              </w:rPr>
              <w:t>individual STIP payouts for our NEOs. As displayed in the “Our Company Performance” section on page 38</w:t>
            </w:r>
          </w:p>
        </w:tc>
      </w:tr>
      <w:tr>
        <w:trPr>
          <w:trHeight w:val="162"/>
        </w:trPr>
        <w:tc>
          <w:tcPr>
            <w:tcW w:w="2580" w:type="dxa"/>
            <w:vAlign w:val="bottom"/>
          </w:tcPr>
          <w:p>
            <w:pPr>
              <w:spacing w:after="0"/>
              <w:rPr>
                <w:sz w:val="14"/>
                <w:szCs w:val="14"/>
                <w:color w:val="auto"/>
              </w:rPr>
            </w:pPr>
          </w:p>
        </w:tc>
        <w:tc>
          <w:tcPr>
            <w:tcW w:w="7640" w:type="dxa"/>
            <w:vAlign w:val="bottom"/>
          </w:tcPr>
          <w:p>
            <w:pPr>
              <w:ind w:left="260"/>
              <w:spacing w:after="0" w:line="162" w:lineRule="exact"/>
              <w:rPr>
                <w:sz w:val="20"/>
                <w:szCs w:val="20"/>
                <w:color w:val="auto"/>
              </w:rPr>
            </w:pPr>
            <w:r>
              <w:rPr>
                <w:rFonts w:ascii="Arial" w:cs="Arial" w:eastAsia="Arial" w:hAnsi="Arial"/>
                <w:sz w:val="15"/>
                <w:szCs w:val="15"/>
                <w:color w:val="auto"/>
              </w:rPr>
              <w:t>and in the “Performance Results and Compensation Decisions” section for individuals starting on page 49,</w:t>
            </w:r>
          </w:p>
        </w:tc>
      </w:tr>
      <w:tr>
        <w:trPr>
          <w:trHeight w:val="162"/>
        </w:trPr>
        <w:tc>
          <w:tcPr>
            <w:tcW w:w="2580" w:type="dxa"/>
            <w:vAlign w:val="bottom"/>
          </w:tcPr>
          <w:p>
            <w:pPr>
              <w:spacing w:after="0"/>
              <w:rPr>
                <w:sz w:val="14"/>
                <w:szCs w:val="14"/>
                <w:color w:val="auto"/>
              </w:rPr>
            </w:pPr>
          </w:p>
        </w:tc>
        <w:tc>
          <w:tcPr>
            <w:tcW w:w="7640" w:type="dxa"/>
            <w:vAlign w:val="bottom"/>
          </w:tcPr>
          <w:p>
            <w:pPr>
              <w:ind w:left="260"/>
              <w:spacing w:after="0" w:line="162" w:lineRule="exact"/>
              <w:rPr>
                <w:sz w:val="20"/>
                <w:szCs w:val="20"/>
                <w:color w:val="auto"/>
              </w:rPr>
            </w:pPr>
            <w:r>
              <w:rPr>
                <w:rFonts w:ascii="Arial" w:cs="Arial" w:eastAsia="Arial" w:hAnsi="Arial"/>
                <w:sz w:val="15"/>
                <w:szCs w:val="15"/>
                <w:color w:val="auto"/>
              </w:rPr>
              <w:t>we have added a green leaf to represent results that reflect our ongoing commitment to ESG performance</w:t>
            </w:r>
          </w:p>
        </w:tc>
      </w:tr>
      <w:tr>
        <w:trPr>
          <w:trHeight w:val="188"/>
        </w:trPr>
        <w:tc>
          <w:tcPr>
            <w:tcW w:w="258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outcomes.</w:t>
            </w:r>
          </w:p>
        </w:tc>
      </w:tr>
      <w:tr>
        <w:trPr>
          <w:trHeight w:val="196"/>
        </w:trPr>
        <w:tc>
          <w:tcPr>
            <w:tcW w:w="2580" w:type="dxa"/>
            <w:vAlign w:val="bottom"/>
          </w:tcPr>
          <w:p>
            <w:pPr>
              <w:ind w:left="80"/>
              <w:spacing w:after="0"/>
              <w:rPr>
                <w:sz w:val="20"/>
                <w:szCs w:val="20"/>
                <w:color w:val="auto"/>
              </w:rPr>
            </w:pPr>
            <w:r>
              <w:rPr>
                <w:rFonts w:ascii="Arial" w:cs="Arial" w:eastAsia="Arial" w:hAnsi="Arial"/>
                <w:sz w:val="15"/>
                <w:szCs w:val="15"/>
                <w:b w:val="1"/>
                <w:bCs w:val="1"/>
                <w:color w:val="auto"/>
              </w:rPr>
              <w:t>Balanced Pay Plans</w:t>
            </w:r>
          </w:p>
        </w:tc>
        <w:tc>
          <w:tcPr>
            <w:tcW w:w="7640" w:type="dxa"/>
            <w:vAlign w:val="bottom"/>
          </w:tcPr>
          <w:p>
            <w:pPr>
              <w:ind w:left="260"/>
              <w:spacing w:after="0"/>
              <w:rPr>
                <w:sz w:val="20"/>
                <w:szCs w:val="20"/>
                <w:color w:val="auto"/>
              </w:rPr>
            </w:pPr>
            <w:r>
              <w:rPr>
                <w:rFonts w:ascii="Arial" w:cs="Arial" w:eastAsia="Arial" w:hAnsi="Arial"/>
                <w:sz w:val="15"/>
                <w:szCs w:val="15"/>
                <w:color w:val="auto"/>
              </w:rPr>
              <w:t>Based on the feedback from our investors relating to both our STIP and LTIP, we elected to keep our</w:t>
            </w:r>
          </w:p>
        </w:tc>
      </w:tr>
      <w:tr>
        <w:trPr>
          <w:trHeight w:val="162"/>
        </w:trPr>
        <w:tc>
          <w:tcPr>
            <w:tcW w:w="2580" w:type="dxa"/>
            <w:vAlign w:val="bottom"/>
          </w:tcPr>
          <w:p>
            <w:pPr>
              <w:spacing w:after="0"/>
              <w:rPr>
                <w:sz w:val="14"/>
                <w:szCs w:val="14"/>
                <w:color w:val="auto"/>
              </w:rPr>
            </w:pPr>
          </w:p>
        </w:tc>
        <w:tc>
          <w:tcPr>
            <w:tcW w:w="7640" w:type="dxa"/>
            <w:vAlign w:val="bottom"/>
          </w:tcPr>
          <w:p>
            <w:pPr>
              <w:ind w:left="260"/>
              <w:spacing w:after="0" w:line="162" w:lineRule="exact"/>
              <w:rPr>
                <w:sz w:val="20"/>
                <w:szCs w:val="20"/>
                <w:color w:val="auto"/>
              </w:rPr>
            </w:pPr>
            <w:r>
              <w:rPr>
                <w:rFonts w:ascii="Arial" w:cs="Arial" w:eastAsia="Arial" w:hAnsi="Arial"/>
                <w:sz w:val="15"/>
                <w:szCs w:val="15"/>
                <w:color w:val="auto"/>
              </w:rPr>
              <w:t>measures and weightings the same for all plans in 2018. We continue to evaluate the external market and</w:t>
            </w:r>
          </w:p>
        </w:tc>
      </w:tr>
      <w:tr>
        <w:trPr>
          <w:trHeight w:val="188"/>
        </w:trPr>
        <w:tc>
          <w:tcPr>
            <w:tcW w:w="258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hold conversations with investors to ensure the competitiveness and appropriateness of our plans.</w:t>
            </w:r>
          </w:p>
        </w:tc>
      </w:tr>
      <w:tr>
        <w:trPr>
          <w:trHeight w:val="196"/>
        </w:trPr>
        <w:tc>
          <w:tcPr>
            <w:tcW w:w="2580" w:type="dxa"/>
            <w:vAlign w:val="bottom"/>
          </w:tcPr>
          <w:p>
            <w:pPr>
              <w:ind w:left="80"/>
              <w:spacing w:after="0"/>
              <w:rPr>
                <w:sz w:val="20"/>
                <w:szCs w:val="20"/>
                <w:color w:val="auto"/>
              </w:rPr>
            </w:pPr>
            <w:r>
              <w:rPr>
                <w:rFonts w:ascii="Arial" w:cs="Arial" w:eastAsia="Arial" w:hAnsi="Arial"/>
                <w:sz w:val="15"/>
                <w:szCs w:val="15"/>
                <w:b w:val="1"/>
                <w:bCs w:val="1"/>
                <w:color w:val="auto"/>
              </w:rPr>
              <w:t>Measure Relative Performance</w:t>
            </w:r>
          </w:p>
        </w:tc>
        <w:tc>
          <w:tcPr>
            <w:tcW w:w="7640" w:type="dxa"/>
            <w:vAlign w:val="bottom"/>
          </w:tcPr>
          <w:p>
            <w:pPr>
              <w:ind w:left="260"/>
              <w:spacing w:after="0"/>
              <w:rPr>
                <w:sz w:val="20"/>
                <w:szCs w:val="20"/>
                <w:color w:val="auto"/>
              </w:rPr>
            </w:pPr>
            <w:r>
              <w:rPr>
                <w:rFonts w:ascii="Arial" w:cs="Arial" w:eastAsia="Arial" w:hAnsi="Arial"/>
                <w:sz w:val="15"/>
                <w:szCs w:val="15"/>
                <w:color w:val="auto"/>
              </w:rPr>
              <w:t>Our PSUs measure both Relative ROIC-adjusted and Relative TSR against the Company’s OEM peers to</w:t>
            </w:r>
          </w:p>
        </w:tc>
      </w:tr>
      <w:tr>
        <w:trPr>
          <w:trHeight w:val="188"/>
        </w:trPr>
        <w:tc>
          <w:tcPr>
            <w:tcW w:w="258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drive our performance to be at the top of the industry regardless of where we are in our business cycle.</w:t>
            </w:r>
          </w:p>
        </w:tc>
      </w:tr>
      <w:tr>
        <w:trPr>
          <w:trHeight w:val="196"/>
        </w:trPr>
        <w:tc>
          <w:tcPr>
            <w:tcW w:w="2580" w:type="dxa"/>
            <w:vAlign w:val="bottom"/>
          </w:tcPr>
          <w:p>
            <w:pPr>
              <w:ind w:left="80"/>
              <w:spacing w:after="0"/>
              <w:rPr>
                <w:sz w:val="20"/>
                <w:szCs w:val="20"/>
                <w:color w:val="auto"/>
              </w:rPr>
            </w:pPr>
            <w:r>
              <w:rPr>
                <w:rFonts w:ascii="Arial" w:cs="Arial" w:eastAsia="Arial" w:hAnsi="Arial"/>
                <w:sz w:val="15"/>
                <w:szCs w:val="15"/>
                <w:b w:val="1"/>
                <w:bCs w:val="1"/>
                <w:color w:val="auto"/>
              </w:rPr>
              <w:t>Simple Compensation Plans</w:t>
            </w:r>
          </w:p>
        </w:tc>
        <w:tc>
          <w:tcPr>
            <w:tcW w:w="7640" w:type="dxa"/>
            <w:vAlign w:val="bottom"/>
          </w:tcPr>
          <w:p>
            <w:pPr>
              <w:ind w:left="260"/>
              <w:spacing w:after="0"/>
              <w:rPr>
                <w:sz w:val="20"/>
                <w:szCs w:val="20"/>
                <w:color w:val="auto"/>
              </w:rPr>
            </w:pPr>
            <w:r>
              <w:rPr>
                <w:rFonts w:ascii="Arial" w:cs="Arial" w:eastAsia="Arial" w:hAnsi="Arial"/>
                <w:sz w:val="15"/>
                <w:szCs w:val="15"/>
                <w:color w:val="auto"/>
              </w:rPr>
              <w:t>We simplified our compensation plans in 2017 and kept the same measures for 2018 to focus our most</w:t>
            </w:r>
          </w:p>
        </w:tc>
      </w:tr>
      <w:tr>
        <w:trPr>
          <w:trHeight w:val="162"/>
        </w:trPr>
        <w:tc>
          <w:tcPr>
            <w:tcW w:w="2580" w:type="dxa"/>
            <w:vAlign w:val="bottom"/>
          </w:tcPr>
          <w:p>
            <w:pPr>
              <w:spacing w:after="0"/>
              <w:rPr>
                <w:sz w:val="14"/>
                <w:szCs w:val="14"/>
                <w:color w:val="auto"/>
              </w:rPr>
            </w:pPr>
          </w:p>
        </w:tc>
        <w:tc>
          <w:tcPr>
            <w:tcW w:w="7640" w:type="dxa"/>
            <w:vAlign w:val="bottom"/>
          </w:tcPr>
          <w:p>
            <w:pPr>
              <w:ind w:left="260"/>
              <w:spacing w:after="0" w:line="162" w:lineRule="exact"/>
              <w:rPr>
                <w:sz w:val="20"/>
                <w:szCs w:val="20"/>
                <w:color w:val="auto"/>
              </w:rPr>
            </w:pPr>
            <w:r>
              <w:rPr>
                <w:rFonts w:ascii="Arial" w:cs="Arial" w:eastAsia="Arial" w:hAnsi="Arial"/>
                <w:sz w:val="15"/>
                <w:szCs w:val="15"/>
                <w:color w:val="auto"/>
              </w:rPr>
              <w:t>senior leaders on both key operational performance measures and individual results in the STIP. This change</w:t>
            </w:r>
          </w:p>
        </w:tc>
      </w:tr>
      <w:tr>
        <w:trPr>
          <w:trHeight w:val="162"/>
        </w:trPr>
        <w:tc>
          <w:tcPr>
            <w:tcW w:w="2580" w:type="dxa"/>
            <w:vAlign w:val="bottom"/>
          </w:tcPr>
          <w:p>
            <w:pPr>
              <w:spacing w:after="0"/>
              <w:rPr>
                <w:sz w:val="14"/>
                <w:szCs w:val="14"/>
                <w:color w:val="auto"/>
              </w:rPr>
            </w:pPr>
          </w:p>
        </w:tc>
        <w:tc>
          <w:tcPr>
            <w:tcW w:w="7640" w:type="dxa"/>
            <w:vAlign w:val="bottom"/>
          </w:tcPr>
          <w:p>
            <w:pPr>
              <w:ind w:left="260"/>
              <w:spacing w:after="0" w:line="162" w:lineRule="exact"/>
              <w:rPr>
                <w:sz w:val="20"/>
                <w:szCs w:val="20"/>
                <w:color w:val="auto"/>
              </w:rPr>
            </w:pPr>
            <w:r>
              <w:rPr>
                <w:rFonts w:ascii="Arial" w:cs="Arial" w:eastAsia="Arial" w:hAnsi="Arial"/>
                <w:sz w:val="15"/>
                <w:szCs w:val="15"/>
                <w:color w:val="auto"/>
              </w:rPr>
              <w:t>enhanced line-of-sight into compensation for each senior leader including a focus on safety in everything we</w:t>
            </w:r>
          </w:p>
        </w:tc>
      </w:tr>
      <w:tr>
        <w:trPr>
          <w:trHeight w:val="162"/>
        </w:trPr>
        <w:tc>
          <w:tcPr>
            <w:tcW w:w="2580" w:type="dxa"/>
            <w:vAlign w:val="bottom"/>
          </w:tcPr>
          <w:p>
            <w:pPr>
              <w:spacing w:after="0"/>
              <w:rPr>
                <w:sz w:val="14"/>
                <w:szCs w:val="14"/>
                <w:color w:val="auto"/>
              </w:rPr>
            </w:pPr>
          </w:p>
        </w:tc>
        <w:tc>
          <w:tcPr>
            <w:tcW w:w="7640" w:type="dxa"/>
            <w:vAlign w:val="bottom"/>
          </w:tcPr>
          <w:p>
            <w:pPr>
              <w:ind w:left="260"/>
              <w:spacing w:after="0" w:line="162" w:lineRule="exact"/>
              <w:rPr>
                <w:sz w:val="20"/>
                <w:szCs w:val="20"/>
                <w:color w:val="auto"/>
              </w:rPr>
            </w:pPr>
            <w:r>
              <w:rPr>
                <w:rFonts w:ascii="Arial" w:cs="Arial" w:eastAsia="Arial" w:hAnsi="Arial"/>
                <w:sz w:val="15"/>
                <w:szCs w:val="15"/>
                <w:color w:val="auto"/>
              </w:rPr>
              <w:t>do. We maintained the LTIP structure to focus senior leaders on outperformance to our peers and increasing</w:t>
            </w:r>
          </w:p>
        </w:tc>
      </w:tr>
      <w:tr>
        <w:trPr>
          <w:trHeight w:val="188"/>
        </w:trPr>
        <w:tc>
          <w:tcPr>
            <w:tcW w:w="2580" w:type="dxa"/>
            <w:vAlign w:val="bottom"/>
            <w:tcBorders>
              <w:bottom w:val="single" w:sz="8" w:color="0033A0"/>
            </w:tcBorders>
          </w:tcPr>
          <w:p>
            <w:pPr>
              <w:spacing w:after="0"/>
              <w:rPr>
                <w:sz w:val="16"/>
                <w:szCs w:val="16"/>
                <w:color w:val="auto"/>
              </w:rPr>
            </w:pPr>
          </w:p>
        </w:tc>
        <w:tc>
          <w:tcPr>
            <w:tcW w:w="7640" w:type="dxa"/>
            <w:vAlign w:val="bottom"/>
            <w:tcBorders>
              <w:bottom w:val="single" w:sz="8" w:color="0033A0"/>
            </w:tcBorders>
          </w:tcPr>
          <w:p>
            <w:pPr>
              <w:ind w:left="260"/>
              <w:spacing w:after="0"/>
              <w:rPr>
                <w:sz w:val="20"/>
                <w:szCs w:val="20"/>
                <w:color w:val="auto"/>
              </w:rPr>
            </w:pPr>
            <w:r>
              <w:rPr>
                <w:rFonts w:ascii="Arial" w:cs="Arial" w:eastAsia="Arial" w:hAnsi="Arial"/>
                <w:sz w:val="15"/>
                <w:szCs w:val="15"/>
                <w:color w:val="auto"/>
              </w:rPr>
              <w:t>stock price to create value for our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14"/>
          <w:szCs w:val="14"/>
          <w:color w:val="0033A0"/>
        </w:rPr>
        <w:t>40</w:t>
      </w:r>
    </w:p>
    <w:p>
      <w:pPr>
        <w:sectPr>
          <w:pgSz w:w="11900" w:h="16838" w:orient="portrait"/>
          <w:cols w:equalWidth="0" w:num="1">
            <w:col w:w="10820"/>
          </w:cols>
          <w:pgMar w:left="240" w:top="459" w:right="8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2486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89445" cy="824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369" w:lineRule="exact"/>
        <w:rPr>
          <w:sz w:val="20"/>
          <w:szCs w:val="20"/>
          <w:color w:val="auto"/>
        </w:rPr>
      </w:pPr>
    </w:p>
    <w:p>
      <w:pPr>
        <w:ind w:left="1100" w:hanging="504"/>
        <w:spacing w:after="0"/>
        <w:tabs>
          <w:tab w:leader="none" w:pos="1100" w:val="left"/>
        </w:tabs>
        <w:numPr>
          <w:ilvl w:val="0"/>
          <w:numId w:val="57"/>
        </w:numPr>
        <w:rPr>
          <w:rFonts w:ascii="Arial" w:cs="Arial" w:eastAsia="Arial" w:hAnsi="Arial"/>
          <w:sz w:val="25"/>
          <w:szCs w:val="25"/>
          <w:color w:val="0033A0"/>
        </w:rPr>
      </w:pPr>
      <w:r>
        <w:rPr>
          <w:rFonts w:ascii="Arial" w:cs="Arial" w:eastAsia="Arial" w:hAnsi="Arial"/>
          <w:sz w:val="25"/>
          <w:szCs w:val="25"/>
          <w:color w:val="auto"/>
        </w:rPr>
        <w:t>Compensation Program Evolution</w:t>
      </w:r>
    </w:p>
    <w:p>
      <w:pPr>
        <w:spacing w:after="0" w:line="199" w:lineRule="exact"/>
        <w:rPr>
          <w:sz w:val="20"/>
          <w:szCs w:val="20"/>
          <w:color w:val="auto"/>
        </w:rPr>
      </w:pPr>
    </w:p>
    <w:p>
      <w:pPr>
        <w:jc w:val="both"/>
        <w:ind w:left="600" w:right="580"/>
        <w:spacing w:after="0" w:line="249" w:lineRule="auto"/>
        <w:rPr>
          <w:sz w:val="20"/>
          <w:szCs w:val="20"/>
          <w:color w:val="auto"/>
        </w:rPr>
      </w:pPr>
      <w:r>
        <w:rPr>
          <w:rFonts w:ascii="Arial" w:cs="Arial" w:eastAsia="Arial" w:hAnsi="Arial"/>
          <w:sz w:val="16"/>
          <w:szCs w:val="16"/>
          <w:color w:val="auto"/>
        </w:rPr>
        <w:t>Our compensation programs focus our leadership on key areas that drive the business forward and align to the short-term and long-term interests of our shareholders. The Compensation Committee regularly reviews and discusses plan performance at each Compensation Committee meeting. The Compensation Committee considers many factors when electing to make plan changes for future incentive plans including results, market trends, feedback from their independent compensation consultant, and shareholder feedback. The table below shows the actions we have taken to simplify the compensation programs and to evolve and align the programs with shareholders’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00" w:right="580"/>
        <w:spacing w:after="0" w:line="249" w:lineRule="auto"/>
        <w:rPr>
          <w:sz w:val="20"/>
          <w:szCs w:val="20"/>
          <w:color w:val="auto"/>
        </w:rPr>
      </w:pPr>
      <w:r>
        <w:rPr>
          <w:rFonts w:ascii="Arial" w:cs="Arial" w:eastAsia="Arial" w:hAnsi="Arial"/>
          <w:sz w:val="16"/>
          <w:szCs w:val="16"/>
          <w:color w:val="auto"/>
        </w:rPr>
        <w:t>The 2018 STIP focuses leadership on key financial measures (75% of STIP) and individual performance (25% of STIP). The total payout for the STIP ranges from 0% to 200% of target based on actual performance against pre-established goals. The Compensation Committee determines individual performance using a rigorous assessment process measuring performance against pre-established operational goals, safety results, and other measures. Threshold performance of at least one financial measure must be met for individual performance payout to be funded at any level.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41</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84060" cy="88741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84060" cy="887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369" w:lineRule="exact"/>
        <w:rPr>
          <w:sz w:val="20"/>
          <w:szCs w:val="20"/>
          <w:color w:val="auto"/>
        </w:rPr>
      </w:pPr>
    </w:p>
    <w:p>
      <w:pPr>
        <w:jc w:val="both"/>
        <w:ind w:left="600"/>
        <w:spacing w:after="0" w:line="253" w:lineRule="auto"/>
        <w:rPr>
          <w:sz w:val="20"/>
          <w:szCs w:val="20"/>
          <w:color w:val="auto"/>
        </w:rPr>
      </w:pPr>
      <w:r>
        <w:rPr>
          <w:rFonts w:ascii="Arial" w:cs="Arial" w:eastAsia="Arial" w:hAnsi="Arial"/>
          <w:sz w:val="16"/>
          <w:szCs w:val="16"/>
          <w:color w:val="auto"/>
        </w:rPr>
        <w:t>The 2018 LTIP features Stock Options (25% of total LTIP) to align our most senior leaders with our shareholders’ interest in stock price appreciation and PSUs with relative performance measures that drive long-term results. The PSUs measure our Relative ROIC-adjusted (50% of total LTIP) and Relative TSR (25% of total LTIP).</w:t>
      </w:r>
    </w:p>
    <w:p>
      <w:pPr>
        <w:spacing w:after="0" w:line="93" w:lineRule="exact"/>
        <w:rPr>
          <w:sz w:val="20"/>
          <w:szCs w:val="20"/>
          <w:color w:val="auto"/>
        </w:rPr>
      </w:pPr>
    </w:p>
    <w:p>
      <w:pPr>
        <w:jc w:val="both"/>
        <w:ind w:left="600"/>
        <w:spacing w:after="0" w:line="250" w:lineRule="auto"/>
        <w:rPr>
          <w:sz w:val="20"/>
          <w:szCs w:val="20"/>
          <w:color w:val="auto"/>
        </w:rPr>
      </w:pPr>
      <w:r>
        <w:rPr>
          <w:rFonts w:ascii="Arial" w:cs="Arial" w:eastAsia="Arial" w:hAnsi="Arial"/>
          <w:sz w:val="16"/>
          <w:szCs w:val="16"/>
          <w:color w:val="auto"/>
        </w:rPr>
        <w:t>Focusing performance on key financial measures and individual operational performance measures in the short term, combined with measuring Relative ROIC-adjusted and Relative TSR compared to our OEM peers in the long term, provides direct alignment of our executive compensation program with the interests of our shareholders and focuses senior leaders on making the investments that will provide profitable long-term growth.</w:t>
      </w:r>
    </w:p>
    <w:p>
      <w:pPr>
        <w:spacing w:after="0" w:line="326" w:lineRule="exact"/>
        <w:rPr>
          <w:sz w:val="20"/>
          <w:szCs w:val="20"/>
          <w:color w:val="auto"/>
        </w:rPr>
      </w:pPr>
    </w:p>
    <w:p>
      <w:pPr>
        <w:ind w:left="1100" w:hanging="504"/>
        <w:spacing w:after="0"/>
        <w:tabs>
          <w:tab w:leader="none" w:pos="1100" w:val="left"/>
        </w:tabs>
        <w:numPr>
          <w:ilvl w:val="0"/>
          <w:numId w:val="58"/>
        </w:numPr>
        <w:rPr>
          <w:rFonts w:ascii="Arial" w:cs="Arial" w:eastAsia="Arial" w:hAnsi="Arial"/>
          <w:sz w:val="25"/>
          <w:szCs w:val="25"/>
          <w:color w:val="0033A0"/>
        </w:rPr>
      </w:pPr>
      <w:r>
        <w:rPr>
          <w:rFonts w:ascii="Arial" w:cs="Arial" w:eastAsia="Arial" w:hAnsi="Arial"/>
          <w:sz w:val="25"/>
          <w:szCs w:val="25"/>
          <w:color w:val="auto"/>
        </w:rPr>
        <w:t>Peer Group for 2018-2020 LTIP Performance</w:t>
      </w:r>
    </w:p>
    <w:p>
      <w:pPr>
        <w:spacing w:after="0" w:line="199" w:lineRule="exact"/>
        <w:rPr>
          <w:sz w:val="20"/>
          <w:szCs w:val="20"/>
          <w:color w:val="auto"/>
        </w:rPr>
      </w:pPr>
    </w:p>
    <w:p>
      <w:pPr>
        <w:ind w:left="600" w:right="20"/>
        <w:spacing w:after="0" w:line="260" w:lineRule="auto"/>
        <w:rPr>
          <w:sz w:val="20"/>
          <w:szCs w:val="20"/>
          <w:color w:val="auto"/>
        </w:rPr>
      </w:pPr>
      <w:r>
        <w:rPr>
          <w:rFonts w:ascii="Arial" w:cs="Arial" w:eastAsia="Arial" w:hAnsi="Arial"/>
          <w:sz w:val="16"/>
          <w:szCs w:val="16"/>
          <w:color w:val="auto"/>
        </w:rPr>
        <w:t>We use the following OEMs in the Dow Jones Automobile &amp; Parts Titans 30 Index to measure relative performance for Relative ROIC-adjusted and Relative TSR measures for the 2018-2020 PSU awards.</w:t>
      </w:r>
    </w:p>
    <w:p>
      <w:pPr>
        <w:spacing w:after="0" w:line="235"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00A1DF"/>
        </w:rPr>
        <w:t>Dow Jones Automobiles &amp; Parts Titans 30 Index – OEM Peer Group</w:t>
      </w:r>
      <w:r>
        <w:rPr>
          <w:rFonts w:ascii="Arial" w:cs="Arial" w:eastAsia="Arial" w:hAnsi="Arial"/>
          <w:sz w:val="27"/>
          <w:szCs w:val="27"/>
          <w:b w:val="1"/>
          <w:bCs w:val="1"/>
          <w:color w:val="00A1DF"/>
          <w:vertAlign w:val="superscript"/>
        </w:rPr>
        <w:t>(1)</w:t>
      </w:r>
    </w:p>
    <w:tbl>
      <w:tblPr>
        <w:tblLayout w:type="fixed"/>
        <w:tblInd w:w="660" w:type="dxa"/>
        <w:tblCellMar>
          <w:top w:w="0" w:type="dxa"/>
          <w:left w:w="0" w:type="dxa"/>
          <w:bottom w:w="0" w:type="dxa"/>
          <w:right w:w="0" w:type="dxa"/>
        </w:tblCellMar>
      </w:tblPr>
      <w:tr>
        <w:trPr>
          <w:trHeight w:val="207"/>
        </w:trPr>
        <w:tc>
          <w:tcPr>
            <w:tcW w:w="38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Bayerische Motoren Werke AG</w:t>
            </w:r>
          </w:p>
        </w:tc>
        <w:tc>
          <w:tcPr>
            <w:tcW w:w="32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Hyundai Motor Co.</w:t>
            </w:r>
          </w:p>
        </w:tc>
        <w:tc>
          <w:tcPr>
            <w:tcW w:w="30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Renault SA</w:t>
            </w:r>
          </w:p>
        </w:tc>
      </w:tr>
      <w:tr>
        <w:trPr>
          <w:trHeight w:val="250"/>
        </w:trPr>
        <w:tc>
          <w:tcPr>
            <w:tcW w:w="38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rPr>
              <w:t>Daimler AG</w:t>
            </w:r>
          </w:p>
        </w:tc>
        <w:tc>
          <w:tcPr>
            <w:tcW w:w="32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9"/>
              </w:rPr>
              <w:t>Kia Motors Corp.</w:t>
            </w:r>
          </w:p>
        </w:tc>
        <w:tc>
          <w:tcPr>
            <w:tcW w:w="30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Suzuki Motor Corp.</w:t>
            </w:r>
          </w:p>
        </w:tc>
      </w:tr>
      <w:tr>
        <w:trPr>
          <w:trHeight w:val="250"/>
        </w:trPr>
        <w:tc>
          <w:tcPr>
            <w:tcW w:w="38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rPr>
              <w:t>Fiat Chrysler Automobiles NV</w:t>
            </w:r>
          </w:p>
        </w:tc>
        <w:tc>
          <w:tcPr>
            <w:tcW w:w="32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Mazda Motor Corp.</w:t>
            </w:r>
          </w:p>
        </w:tc>
        <w:tc>
          <w:tcPr>
            <w:tcW w:w="30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Tesla, Inc.</w:t>
            </w:r>
          </w:p>
        </w:tc>
      </w:tr>
      <w:tr>
        <w:trPr>
          <w:trHeight w:val="250"/>
        </w:trPr>
        <w:tc>
          <w:tcPr>
            <w:tcW w:w="38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rPr>
              <w:t>Ford Motor Company</w:t>
            </w:r>
          </w:p>
        </w:tc>
        <w:tc>
          <w:tcPr>
            <w:tcW w:w="32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Nissan Motor Co. Ltd</w:t>
            </w:r>
          </w:p>
        </w:tc>
        <w:tc>
          <w:tcPr>
            <w:tcW w:w="30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Toyota Motor Company</w:t>
            </w:r>
          </w:p>
        </w:tc>
      </w:tr>
      <w:tr>
        <w:trPr>
          <w:trHeight w:val="250"/>
        </w:trPr>
        <w:tc>
          <w:tcPr>
            <w:tcW w:w="3820" w:type="dxa"/>
            <w:vAlign w:val="bottom"/>
            <w:tcBorders>
              <w:bottom w:val="single" w:sz="8" w:color="0033A0"/>
            </w:tcBorders>
          </w:tcPr>
          <w:p>
            <w:pPr>
              <w:jc w:val="center"/>
              <w:ind w:right="319"/>
              <w:spacing w:after="0"/>
              <w:rPr>
                <w:sz w:val="20"/>
                <w:szCs w:val="20"/>
                <w:color w:val="auto"/>
              </w:rPr>
            </w:pPr>
            <w:r>
              <w:rPr>
                <w:rFonts w:ascii="Arial" w:cs="Arial" w:eastAsia="Arial" w:hAnsi="Arial"/>
                <w:sz w:val="16"/>
                <w:szCs w:val="16"/>
                <w:color w:val="auto"/>
              </w:rPr>
              <w:t>Honda Motor Co. Ltd.</w:t>
            </w:r>
          </w:p>
        </w:tc>
        <w:tc>
          <w:tcPr>
            <w:tcW w:w="3280" w:type="dxa"/>
            <w:vAlign w:val="bottom"/>
            <w:tcBorders>
              <w:bottom w:val="single" w:sz="8" w:color="0033A0"/>
            </w:tcBorders>
          </w:tcPr>
          <w:p>
            <w:pPr>
              <w:jc w:val="center"/>
              <w:ind w:left="159"/>
              <w:spacing w:after="0"/>
              <w:rPr>
                <w:sz w:val="20"/>
                <w:szCs w:val="20"/>
                <w:color w:val="auto"/>
              </w:rPr>
            </w:pPr>
            <w:r>
              <w:rPr>
                <w:rFonts w:ascii="Arial" w:cs="Arial" w:eastAsia="Arial" w:hAnsi="Arial"/>
                <w:sz w:val="16"/>
                <w:szCs w:val="16"/>
                <w:color w:val="auto"/>
              </w:rPr>
              <w:t>Peugeot SA</w:t>
            </w:r>
          </w:p>
        </w:tc>
        <w:tc>
          <w:tcPr>
            <w:tcW w:w="3000" w:type="dxa"/>
            <w:vAlign w:val="bottom"/>
            <w:tcBorders>
              <w:bottom w:val="single" w:sz="8" w:color="0033A0"/>
            </w:tcBorders>
          </w:tcPr>
          <w:p>
            <w:pPr>
              <w:jc w:val="center"/>
              <w:ind w:left="99"/>
              <w:spacing w:after="0"/>
              <w:rPr>
                <w:sz w:val="20"/>
                <w:szCs w:val="20"/>
                <w:color w:val="auto"/>
              </w:rPr>
            </w:pPr>
            <w:r>
              <w:rPr>
                <w:rFonts w:ascii="Arial" w:cs="Arial" w:eastAsia="Arial" w:hAnsi="Arial"/>
                <w:sz w:val="16"/>
                <w:szCs w:val="16"/>
                <w:color w:val="auto"/>
              </w:rPr>
              <w:t>Volkswagen AG</w:t>
            </w:r>
          </w:p>
        </w:tc>
      </w:tr>
    </w:tbl>
    <w:p>
      <w:pPr>
        <w:spacing w:after="0" w:line="58" w:lineRule="exact"/>
        <w:rPr>
          <w:sz w:val="20"/>
          <w:szCs w:val="20"/>
          <w:color w:val="auto"/>
        </w:rPr>
      </w:pPr>
    </w:p>
    <w:p>
      <w:pPr>
        <w:ind w:left="1020" w:hanging="317"/>
        <w:spacing w:after="0" w:line="278" w:lineRule="auto"/>
        <w:tabs>
          <w:tab w:leader="none" w:pos="102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GM is a member of the Dow Jones Automobiles &amp; Parts Titans 30 Index. Our performance will be determined on a continuous ranking for performance relative to OEM peers following the completion of the performance period.</w:t>
      </w:r>
    </w:p>
    <w:p>
      <w:pPr>
        <w:spacing w:after="0" w:line="299" w:lineRule="exact"/>
        <w:rPr>
          <w:sz w:val="20"/>
          <w:szCs w:val="20"/>
          <w:color w:val="auto"/>
        </w:rPr>
      </w:pPr>
    </w:p>
    <w:p>
      <w:pPr>
        <w:ind w:left="1100" w:hanging="504"/>
        <w:spacing w:after="0"/>
        <w:tabs>
          <w:tab w:leader="none" w:pos="1100" w:val="left"/>
        </w:tabs>
        <w:numPr>
          <w:ilvl w:val="0"/>
          <w:numId w:val="60"/>
        </w:numPr>
        <w:rPr>
          <w:rFonts w:ascii="Arial" w:cs="Arial" w:eastAsia="Arial" w:hAnsi="Arial"/>
          <w:sz w:val="25"/>
          <w:szCs w:val="25"/>
          <w:color w:val="0033A0"/>
        </w:rPr>
      </w:pPr>
      <w:r>
        <w:rPr>
          <w:rFonts w:ascii="Arial" w:cs="Arial" w:eastAsia="Arial" w:hAnsi="Arial"/>
          <w:sz w:val="25"/>
          <w:szCs w:val="25"/>
          <w:color w:val="auto"/>
        </w:rPr>
        <w:t>Peer Group for Compensation Comparisons</w:t>
      </w:r>
    </w:p>
    <w:p>
      <w:pPr>
        <w:spacing w:after="0" w:line="185" w:lineRule="exact"/>
        <w:rPr>
          <w:sz w:val="20"/>
          <w:szCs w:val="20"/>
          <w:color w:val="auto"/>
        </w:rPr>
      </w:pPr>
    </w:p>
    <w:p>
      <w:pPr>
        <w:jc w:val="both"/>
        <w:ind w:left="600"/>
        <w:spacing w:after="0" w:line="253" w:lineRule="auto"/>
        <w:rPr>
          <w:sz w:val="20"/>
          <w:szCs w:val="20"/>
          <w:color w:val="auto"/>
        </w:rPr>
      </w:pPr>
      <w:r>
        <w:rPr>
          <w:rFonts w:ascii="Arial" w:cs="Arial" w:eastAsia="Arial" w:hAnsi="Arial"/>
          <w:sz w:val="16"/>
          <w:szCs w:val="16"/>
          <w:color w:val="auto"/>
        </w:rPr>
        <w:t>The Compensation Committee annually reviews the peer group for compensation comparisons and makes updates as needed to align with both the established criteria and Company strategy. We do not limit the peer group to our industry alone because we believe compensation practices for NEOs at other large U.S.-based multinationals affect our ability to attract and retain diverse talent around the globe.</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determining 2018 compensation, the Compensation Committee considers the following factors when selecting our peer group:</w:t>
      </w:r>
    </w:p>
    <w:p>
      <w:pPr>
        <w:spacing w:after="0" w:line="140" w:lineRule="exact"/>
        <w:rPr>
          <w:sz w:val="20"/>
          <w:szCs w:val="20"/>
          <w:color w:val="auto"/>
        </w:rPr>
      </w:pPr>
    </w:p>
    <w:tbl>
      <w:tblPr>
        <w:tblLayout w:type="fixed"/>
        <w:tblInd w:w="600" w:type="dxa"/>
        <w:tblCellMar>
          <w:top w:w="0" w:type="dxa"/>
          <w:left w:w="0" w:type="dxa"/>
          <w:bottom w:w="0" w:type="dxa"/>
          <w:right w:w="0" w:type="dxa"/>
        </w:tblCellMar>
      </w:tblPr>
      <w:tr>
        <w:trPr>
          <w:trHeight w:val="194"/>
        </w:trPr>
        <w:tc>
          <w:tcPr>
            <w:tcW w:w="4000" w:type="dxa"/>
            <w:vAlign w:val="bottom"/>
            <w:gridSpan w:val="2"/>
          </w:tcPr>
          <w:p>
            <w:pPr>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Traded on major U.S. exchange</w:t>
            </w:r>
          </w:p>
        </w:tc>
        <w:tc>
          <w:tcPr>
            <w:tcW w:w="1560" w:type="dxa"/>
            <w:vAlign w:val="bottom"/>
          </w:tcPr>
          <w:p>
            <w:pPr>
              <w:ind w:left="1440"/>
              <w:spacing w:after="0"/>
              <w:rPr>
                <w:sz w:val="20"/>
                <w:szCs w:val="20"/>
                <w:color w:val="auto"/>
              </w:rPr>
            </w:pPr>
            <w:r>
              <w:rPr>
                <w:rFonts w:ascii="Arial" w:cs="Arial" w:eastAsia="Arial" w:hAnsi="Arial"/>
                <w:sz w:val="16"/>
                <w:szCs w:val="16"/>
                <w:color w:val="0033A0"/>
              </w:rPr>
              <w:t>•</w:t>
            </w:r>
          </w:p>
        </w:tc>
        <w:tc>
          <w:tcPr>
            <w:tcW w:w="2480" w:type="dxa"/>
            <w:vAlign w:val="bottom"/>
          </w:tcPr>
          <w:p>
            <w:pPr>
              <w:ind w:left="80"/>
              <w:spacing w:after="0"/>
              <w:rPr>
                <w:sz w:val="20"/>
                <w:szCs w:val="20"/>
                <w:color w:val="auto"/>
              </w:rPr>
            </w:pPr>
            <w:r>
              <w:rPr>
                <w:rFonts w:ascii="Arial" w:cs="Arial" w:eastAsia="Arial" w:hAnsi="Arial"/>
                <w:sz w:val="16"/>
                <w:szCs w:val="16"/>
                <w:color w:val="auto"/>
              </w:rPr>
              <w:t>Technology focused</w:t>
            </w:r>
          </w:p>
        </w:tc>
      </w:tr>
      <w:tr>
        <w:trPr>
          <w:trHeight w:val="270"/>
        </w:trPr>
        <w:tc>
          <w:tcPr>
            <w:tcW w:w="4000" w:type="dxa"/>
            <w:vAlign w:val="bottom"/>
            <w:gridSpan w:val="2"/>
          </w:tcPr>
          <w:p>
            <w:pPr>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Revenue greater than $25 billion</w:t>
            </w:r>
          </w:p>
        </w:tc>
        <w:tc>
          <w:tcPr>
            <w:tcW w:w="1560" w:type="dxa"/>
            <w:vAlign w:val="bottom"/>
          </w:tcPr>
          <w:p>
            <w:pPr>
              <w:ind w:left="1440"/>
              <w:spacing w:after="0"/>
              <w:rPr>
                <w:sz w:val="20"/>
                <w:szCs w:val="20"/>
                <w:color w:val="auto"/>
              </w:rPr>
            </w:pPr>
            <w:r>
              <w:rPr>
                <w:rFonts w:ascii="Arial" w:cs="Arial" w:eastAsia="Arial" w:hAnsi="Arial"/>
                <w:sz w:val="16"/>
                <w:szCs w:val="16"/>
                <w:color w:val="0033A0"/>
              </w:rPr>
              <w:t>•</w:t>
            </w:r>
          </w:p>
        </w:tc>
        <w:tc>
          <w:tcPr>
            <w:tcW w:w="2480" w:type="dxa"/>
            <w:vAlign w:val="bottom"/>
          </w:tcPr>
          <w:p>
            <w:pPr>
              <w:ind w:left="80"/>
              <w:spacing w:after="0"/>
              <w:rPr>
                <w:sz w:val="20"/>
                <w:szCs w:val="20"/>
                <w:color w:val="auto"/>
              </w:rPr>
            </w:pPr>
            <w:r>
              <w:rPr>
                <w:rFonts w:ascii="Arial" w:cs="Arial" w:eastAsia="Arial" w:hAnsi="Arial"/>
                <w:sz w:val="16"/>
                <w:szCs w:val="16"/>
                <w:color w:val="auto"/>
              </w:rPr>
              <w:t>Durable goods manufacturer</w:t>
            </w:r>
          </w:p>
        </w:tc>
      </w:tr>
      <w:tr>
        <w:trPr>
          <w:trHeight w:val="270"/>
        </w:trPr>
        <w:tc>
          <w:tcPr>
            <w:tcW w:w="140" w:type="dxa"/>
            <w:vAlign w:val="bottom"/>
          </w:tcPr>
          <w:p>
            <w:pPr>
              <w:spacing w:after="0"/>
              <w:rPr>
                <w:sz w:val="20"/>
                <w:szCs w:val="20"/>
                <w:color w:val="auto"/>
              </w:rPr>
            </w:pPr>
            <w:r>
              <w:rPr>
                <w:rFonts w:ascii="Arial" w:cs="Arial" w:eastAsia="Arial" w:hAnsi="Arial"/>
                <w:sz w:val="16"/>
                <w:szCs w:val="16"/>
                <w:color w:val="0033A0"/>
              </w:rPr>
              <w:t>•</w:t>
            </w:r>
          </w:p>
        </w:tc>
        <w:tc>
          <w:tcPr>
            <w:tcW w:w="3860" w:type="dxa"/>
            <w:vAlign w:val="bottom"/>
          </w:tcPr>
          <w:p>
            <w:pPr>
              <w:ind w:left="80"/>
              <w:spacing w:after="0"/>
              <w:rPr>
                <w:sz w:val="20"/>
                <w:szCs w:val="20"/>
                <w:color w:val="auto"/>
              </w:rPr>
            </w:pPr>
            <w:r>
              <w:rPr>
                <w:rFonts w:ascii="Arial" w:cs="Arial" w:eastAsia="Arial" w:hAnsi="Arial"/>
                <w:sz w:val="16"/>
                <w:szCs w:val="16"/>
                <w:color w:val="auto"/>
              </w:rPr>
              <w:t>Significant international revenue</w:t>
            </w:r>
          </w:p>
        </w:tc>
        <w:tc>
          <w:tcPr>
            <w:tcW w:w="1560" w:type="dxa"/>
            <w:vAlign w:val="bottom"/>
          </w:tcPr>
          <w:p>
            <w:pPr>
              <w:ind w:left="1440"/>
              <w:spacing w:after="0"/>
              <w:rPr>
                <w:sz w:val="20"/>
                <w:szCs w:val="20"/>
                <w:color w:val="auto"/>
              </w:rPr>
            </w:pPr>
            <w:r>
              <w:rPr>
                <w:rFonts w:ascii="Arial" w:cs="Arial" w:eastAsia="Arial" w:hAnsi="Arial"/>
                <w:sz w:val="16"/>
                <w:szCs w:val="16"/>
                <w:color w:val="0033A0"/>
              </w:rPr>
              <w:t>•</w:t>
            </w:r>
          </w:p>
        </w:tc>
        <w:tc>
          <w:tcPr>
            <w:tcW w:w="2480" w:type="dxa"/>
            <w:vAlign w:val="bottom"/>
          </w:tcPr>
          <w:p>
            <w:pPr>
              <w:ind w:left="80"/>
              <w:spacing w:after="0"/>
              <w:rPr>
                <w:sz w:val="20"/>
                <w:szCs w:val="20"/>
                <w:color w:val="auto"/>
              </w:rPr>
            </w:pPr>
            <w:r>
              <w:rPr>
                <w:rFonts w:ascii="Arial" w:cs="Arial" w:eastAsia="Arial" w:hAnsi="Arial"/>
                <w:sz w:val="16"/>
                <w:szCs w:val="16"/>
                <w:color w:val="auto"/>
              </w:rPr>
              <w:t>Business/production complexity</w:t>
            </w:r>
          </w:p>
        </w:tc>
      </w:tr>
      <w:tr>
        <w:trPr>
          <w:trHeight w:val="270"/>
        </w:trPr>
        <w:tc>
          <w:tcPr>
            <w:tcW w:w="140" w:type="dxa"/>
            <w:vAlign w:val="bottom"/>
          </w:tcPr>
          <w:p>
            <w:pPr>
              <w:spacing w:after="0"/>
              <w:rPr>
                <w:sz w:val="20"/>
                <w:szCs w:val="20"/>
                <w:color w:val="auto"/>
              </w:rPr>
            </w:pPr>
            <w:r>
              <w:rPr>
                <w:rFonts w:ascii="Arial" w:cs="Arial" w:eastAsia="Arial" w:hAnsi="Arial"/>
                <w:sz w:val="16"/>
                <w:szCs w:val="16"/>
                <w:color w:val="0033A0"/>
              </w:rPr>
              <w:t>•</w:t>
            </w:r>
          </w:p>
        </w:tc>
        <w:tc>
          <w:tcPr>
            <w:tcW w:w="3860" w:type="dxa"/>
            <w:vAlign w:val="bottom"/>
          </w:tcPr>
          <w:p>
            <w:pPr>
              <w:ind w:left="80"/>
              <w:spacing w:after="0"/>
              <w:rPr>
                <w:sz w:val="20"/>
                <w:szCs w:val="20"/>
                <w:color w:val="auto"/>
              </w:rPr>
            </w:pPr>
            <w:r>
              <w:rPr>
                <w:rFonts w:ascii="Arial" w:cs="Arial" w:eastAsia="Arial" w:hAnsi="Arial"/>
                <w:sz w:val="16"/>
                <w:szCs w:val="16"/>
                <w:color w:val="auto"/>
              </w:rPr>
              <w:t>Capital-intensive operations</w:t>
            </w:r>
          </w:p>
        </w:tc>
        <w:tc>
          <w:tcPr>
            <w:tcW w:w="4040" w:type="dxa"/>
            <w:vAlign w:val="bottom"/>
            <w:gridSpan w:val="2"/>
          </w:tcPr>
          <w:p>
            <w:pPr>
              <w:ind w:left="144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Consumers who are the end user</w:t>
            </w:r>
          </w:p>
        </w:tc>
      </w:tr>
    </w:tbl>
    <w:p>
      <w:pPr>
        <w:spacing w:after="0" w:line="75" w:lineRule="exact"/>
        <w:rPr>
          <w:sz w:val="20"/>
          <w:szCs w:val="20"/>
          <w:color w:val="auto"/>
        </w:rPr>
      </w:pPr>
    </w:p>
    <w:tbl>
      <w:tblPr>
        <w:tblLayout w:type="fixed"/>
        <w:tblInd w:w="600" w:type="dxa"/>
        <w:tblCellMar>
          <w:top w:w="0" w:type="dxa"/>
          <w:left w:w="0" w:type="dxa"/>
          <w:bottom w:w="0" w:type="dxa"/>
          <w:right w:w="0" w:type="dxa"/>
        </w:tblCellMar>
      </w:tblPr>
      <w:tr>
        <w:trPr>
          <w:trHeight w:val="194"/>
        </w:trPr>
        <w:tc>
          <w:tcPr>
            <w:tcW w:w="5200" w:type="dxa"/>
            <w:vAlign w:val="bottom"/>
            <w:gridSpan w:val="3"/>
          </w:tcPr>
          <w:p>
            <w:pPr>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Comparable R&amp;D expenditures as a percent of revenue</w:t>
            </w:r>
          </w:p>
        </w:tc>
        <w:tc>
          <w:tcPr>
            <w:tcW w:w="2540" w:type="dxa"/>
            <w:vAlign w:val="bottom"/>
          </w:tcPr>
          <w:p>
            <w:pPr>
              <w:ind w:left="24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Strong brand reputation</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640" w:type="dxa"/>
            <w:vAlign w:val="bottom"/>
            <w:tcBorders>
              <w:bottom w:val="single" w:sz="8" w:color="00A1DF"/>
            </w:tcBorders>
          </w:tcPr>
          <w:p>
            <w:pPr>
              <w:spacing w:after="0"/>
              <w:rPr>
                <w:sz w:val="24"/>
                <w:szCs w:val="24"/>
                <w:color w:val="auto"/>
              </w:rPr>
            </w:pPr>
          </w:p>
        </w:tc>
        <w:tc>
          <w:tcPr>
            <w:tcW w:w="120" w:type="dxa"/>
            <w:vAlign w:val="bottom"/>
            <w:tcBorders>
              <w:bottom w:val="single" w:sz="8" w:color="00A1DF"/>
            </w:tcBorders>
          </w:tcPr>
          <w:p>
            <w:pPr>
              <w:spacing w:after="0"/>
              <w:rPr>
                <w:sz w:val="24"/>
                <w:szCs w:val="24"/>
                <w:color w:val="auto"/>
              </w:rPr>
            </w:pPr>
          </w:p>
        </w:tc>
        <w:tc>
          <w:tcPr>
            <w:tcW w:w="2440" w:type="dxa"/>
            <w:vAlign w:val="bottom"/>
            <w:tcBorders>
              <w:bottom w:val="single" w:sz="8" w:color="00A1DF"/>
            </w:tcBorders>
          </w:tcPr>
          <w:p>
            <w:pPr>
              <w:spacing w:after="0"/>
              <w:rPr>
                <w:sz w:val="24"/>
                <w:szCs w:val="24"/>
                <w:color w:val="auto"/>
              </w:rPr>
            </w:pPr>
          </w:p>
        </w:tc>
        <w:tc>
          <w:tcPr>
            <w:tcW w:w="2540" w:type="dxa"/>
            <w:vAlign w:val="bottom"/>
            <w:tcBorders>
              <w:bottom w:val="single" w:sz="8" w:color="00A1DF"/>
            </w:tcBorders>
          </w:tcPr>
          <w:p>
            <w:pPr>
              <w:spacing w:after="0"/>
              <w:rPr>
                <w:sz w:val="24"/>
                <w:szCs w:val="24"/>
                <w:color w:val="auto"/>
              </w:rPr>
            </w:pPr>
          </w:p>
        </w:tc>
        <w:tc>
          <w:tcPr>
            <w:tcW w:w="120" w:type="dxa"/>
            <w:vAlign w:val="bottom"/>
            <w:tcBorders>
              <w:bottom w:val="single" w:sz="8" w:color="00A1DF"/>
            </w:tcBorders>
          </w:tcPr>
          <w:p>
            <w:pPr>
              <w:spacing w:after="0"/>
              <w:rPr>
                <w:sz w:val="24"/>
                <w:szCs w:val="24"/>
                <w:color w:val="auto"/>
              </w:rPr>
            </w:pPr>
          </w:p>
        </w:tc>
        <w:tc>
          <w:tcPr>
            <w:tcW w:w="2360" w:type="dxa"/>
            <w:vAlign w:val="bottom"/>
            <w:tcBorders>
              <w:bottom w:val="single" w:sz="8" w:color="00A1DF"/>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40" w:type="dxa"/>
            <w:vAlign w:val="bottom"/>
            <w:tcBorders>
              <w:bottom w:val="single" w:sz="8" w:color="00A1DF"/>
            </w:tcBorders>
          </w:tcPr>
          <w:p>
            <w:pPr>
              <w:ind w:left="100"/>
              <w:spacing w:after="0" w:line="169" w:lineRule="exact"/>
              <w:rPr>
                <w:sz w:val="20"/>
                <w:szCs w:val="20"/>
                <w:color w:val="auto"/>
              </w:rPr>
            </w:pPr>
            <w:r>
              <w:rPr>
                <w:rFonts w:ascii="Arial" w:cs="Arial" w:eastAsia="Arial" w:hAnsi="Arial"/>
                <w:sz w:val="15"/>
                <w:szCs w:val="15"/>
                <w:b w:val="1"/>
                <w:bCs w:val="1"/>
                <w:color w:val="00A1DF"/>
              </w:rPr>
              <w:t>Company</w:t>
            </w:r>
          </w:p>
        </w:tc>
        <w:tc>
          <w:tcPr>
            <w:tcW w:w="120" w:type="dxa"/>
            <w:vAlign w:val="bottom"/>
            <w:tcBorders>
              <w:bottom w:val="single" w:sz="8" w:color="00A1DF"/>
            </w:tcBorders>
            <w:shd w:val="clear" w:color="auto" w:fill="E5E5E5"/>
          </w:tcPr>
          <w:p>
            <w:pPr>
              <w:spacing w:after="0"/>
              <w:rPr>
                <w:sz w:val="14"/>
                <w:szCs w:val="14"/>
                <w:color w:val="auto"/>
              </w:rPr>
            </w:pPr>
          </w:p>
        </w:tc>
        <w:tc>
          <w:tcPr>
            <w:tcW w:w="2440" w:type="dxa"/>
            <w:vAlign w:val="bottom"/>
            <w:tcBorders>
              <w:bottom w:val="single" w:sz="8" w:color="00A1DF"/>
            </w:tcBorders>
            <w:shd w:val="clear" w:color="auto" w:fill="E5E5E5"/>
          </w:tcPr>
          <w:p>
            <w:pPr>
              <w:spacing w:after="0" w:line="169" w:lineRule="exact"/>
              <w:rPr>
                <w:sz w:val="20"/>
                <w:szCs w:val="20"/>
                <w:color w:val="auto"/>
              </w:rPr>
            </w:pPr>
            <w:r>
              <w:rPr>
                <w:rFonts w:ascii="Arial" w:cs="Arial" w:eastAsia="Arial" w:hAnsi="Arial"/>
                <w:sz w:val="15"/>
                <w:szCs w:val="15"/>
                <w:b w:val="1"/>
                <w:bCs w:val="1"/>
                <w:color w:val="00A1DF"/>
              </w:rPr>
              <w:t>Industry</w:t>
            </w:r>
          </w:p>
        </w:tc>
        <w:tc>
          <w:tcPr>
            <w:tcW w:w="2540" w:type="dxa"/>
            <w:vAlign w:val="bottom"/>
            <w:tcBorders>
              <w:bottom w:val="single" w:sz="8" w:color="00A1DF"/>
            </w:tcBorders>
          </w:tcPr>
          <w:p>
            <w:pPr>
              <w:ind w:left="100"/>
              <w:spacing w:after="0" w:line="169" w:lineRule="exact"/>
              <w:rPr>
                <w:sz w:val="20"/>
                <w:szCs w:val="20"/>
                <w:color w:val="auto"/>
              </w:rPr>
            </w:pPr>
            <w:r>
              <w:rPr>
                <w:rFonts w:ascii="Arial" w:cs="Arial" w:eastAsia="Arial" w:hAnsi="Arial"/>
                <w:sz w:val="15"/>
                <w:szCs w:val="15"/>
                <w:b w:val="1"/>
                <w:bCs w:val="1"/>
                <w:color w:val="00A1DF"/>
              </w:rPr>
              <w:t>Company</w:t>
            </w:r>
          </w:p>
        </w:tc>
        <w:tc>
          <w:tcPr>
            <w:tcW w:w="120" w:type="dxa"/>
            <w:vAlign w:val="bottom"/>
            <w:tcBorders>
              <w:bottom w:val="single" w:sz="8" w:color="00A1DF"/>
            </w:tcBorders>
            <w:shd w:val="clear" w:color="auto" w:fill="E5E5E5"/>
          </w:tcPr>
          <w:p>
            <w:pPr>
              <w:spacing w:after="0"/>
              <w:rPr>
                <w:sz w:val="14"/>
                <w:szCs w:val="14"/>
                <w:color w:val="auto"/>
              </w:rPr>
            </w:pPr>
          </w:p>
        </w:tc>
        <w:tc>
          <w:tcPr>
            <w:tcW w:w="2360" w:type="dxa"/>
            <w:vAlign w:val="bottom"/>
            <w:tcBorders>
              <w:bottom w:val="single" w:sz="8" w:color="00A1DF"/>
            </w:tcBorders>
            <w:shd w:val="clear" w:color="auto" w:fill="E5E5E5"/>
          </w:tcPr>
          <w:p>
            <w:pPr>
              <w:ind w:left="20"/>
              <w:spacing w:after="0" w:line="169" w:lineRule="exact"/>
              <w:rPr>
                <w:sz w:val="20"/>
                <w:szCs w:val="20"/>
                <w:color w:val="auto"/>
              </w:rPr>
            </w:pPr>
            <w:r>
              <w:rPr>
                <w:rFonts w:ascii="Arial" w:cs="Arial" w:eastAsia="Arial" w:hAnsi="Arial"/>
                <w:sz w:val="15"/>
                <w:szCs w:val="15"/>
                <w:b w:val="1"/>
                <w:bCs w:val="1"/>
                <w:color w:val="00A1DF"/>
              </w:rPr>
              <w:t>Industry</w:t>
            </w:r>
          </w:p>
        </w:tc>
        <w:tc>
          <w:tcPr>
            <w:tcW w:w="0" w:type="dxa"/>
            <w:vAlign w:val="bottom"/>
          </w:tcPr>
          <w:p>
            <w:pPr>
              <w:spacing w:after="0"/>
              <w:rPr>
                <w:sz w:val="1"/>
                <w:szCs w:val="1"/>
                <w:color w:val="auto"/>
              </w:rPr>
            </w:pPr>
          </w:p>
        </w:tc>
      </w:tr>
      <w:tr>
        <w:trPr>
          <w:trHeight w:val="331"/>
        </w:trPr>
        <w:tc>
          <w:tcPr>
            <w:tcW w:w="2640" w:type="dxa"/>
            <w:vAlign w:val="bottom"/>
          </w:tcPr>
          <w:p>
            <w:pPr>
              <w:ind w:left="100"/>
              <w:spacing w:after="0"/>
              <w:rPr>
                <w:sz w:val="20"/>
                <w:szCs w:val="20"/>
                <w:color w:val="auto"/>
              </w:rPr>
            </w:pPr>
            <w:r>
              <w:rPr>
                <w:rFonts w:ascii="Arial" w:cs="Arial" w:eastAsia="Arial" w:hAnsi="Arial"/>
                <w:sz w:val="16"/>
                <w:szCs w:val="16"/>
                <w:color w:val="auto"/>
              </w:rPr>
              <w:t>3M Company</w:t>
            </w:r>
          </w:p>
        </w:tc>
        <w:tc>
          <w:tcPr>
            <w:tcW w:w="120" w:type="dxa"/>
            <w:vAlign w:val="bottom"/>
            <w:tcBorders>
              <w:bottom w:val="single" w:sz="8" w:color="E5E5E5"/>
            </w:tcBorders>
            <w:shd w:val="clear" w:color="auto" w:fill="E5E5E5"/>
          </w:tcPr>
          <w:p>
            <w:pPr>
              <w:spacing w:after="0"/>
              <w:rPr>
                <w:sz w:val="24"/>
                <w:szCs w:val="24"/>
                <w:color w:val="auto"/>
              </w:rPr>
            </w:pPr>
          </w:p>
        </w:tc>
        <w:tc>
          <w:tcPr>
            <w:tcW w:w="2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Industrial Conglomerates</w:t>
            </w:r>
          </w:p>
        </w:tc>
        <w:tc>
          <w:tcPr>
            <w:tcW w:w="2540" w:type="dxa"/>
            <w:vAlign w:val="bottom"/>
          </w:tcPr>
          <w:p>
            <w:pPr>
              <w:ind w:left="100"/>
              <w:spacing w:after="0"/>
              <w:rPr>
                <w:sz w:val="20"/>
                <w:szCs w:val="20"/>
                <w:color w:val="auto"/>
              </w:rPr>
            </w:pPr>
            <w:r>
              <w:rPr>
                <w:rFonts w:ascii="Arial" w:cs="Arial" w:eastAsia="Arial" w:hAnsi="Arial"/>
                <w:sz w:val="16"/>
                <w:szCs w:val="16"/>
                <w:color w:val="auto"/>
              </w:rPr>
              <w:t>Honeywell International Inc.</w:t>
            </w:r>
          </w:p>
        </w:tc>
        <w:tc>
          <w:tcPr>
            <w:tcW w:w="120" w:type="dxa"/>
            <w:vAlign w:val="bottom"/>
            <w:tcBorders>
              <w:bottom w:val="single" w:sz="8" w:color="E5E5E5"/>
            </w:tcBorders>
            <w:shd w:val="clear" w:color="auto" w:fill="E5E5E5"/>
          </w:tcPr>
          <w:p>
            <w:pPr>
              <w:spacing w:after="0"/>
              <w:rPr>
                <w:sz w:val="24"/>
                <w:szCs w:val="24"/>
                <w:color w:val="auto"/>
              </w:rPr>
            </w:pPr>
          </w:p>
        </w:tc>
        <w:tc>
          <w:tcPr>
            <w:tcW w:w="23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Aerospace and Defense</w:t>
            </w:r>
          </w:p>
        </w:tc>
        <w:tc>
          <w:tcPr>
            <w:tcW w:w="0" w:type="dxa"/>
            <w:vAlign w:val="bottom"/>
          </w:tcPr>
          <w:p>
            <w:pPr>
              <w:spacing w:after="0"/>
              <w:rPr>
                <w:sz w:val="1"/>
                <w:szCs w:val="1"/>
                <w:color w:val="auto"/>
              </w:rPr>
            </w:pPr>
          </w:p>
        </w:tc>
      </w:tr>
      <w:tr>
        <w:trPr>
          <w:trHeight w:val="225"/>
        </w:trPr>
        <w:tc>
          <w:tcPr>
            <w:tcW w:w="26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The Boeing Company</w:t>
            </w:r>
          </w:p>
        </w:tc>
        <w:tc>
          <w:tcPr>
            <w:tcW w:w="120" w:type="dxa"/>
            <w:vAlign w:val="bottom"/>
            <w:tcBorders>
              <w:top w:val="single" w:sz="8" w:color="auto"/>
            </w:tcBorders>
            <w:shd w:val="clear" w:color="auto" w:fill="E5E5E5"/>
          </w:tcPr>
          <w:p>
            <w:pPr>
              <w:spacing w:after="0"/>
              <w:rPr>
                <w:sz w:val="19"/>
                <w:szCs w:val="19"/>
                <w:color w:val="auto"/>
              </w:rPr>
            </w:pPr>
          </w:p>
        </w:tc>
        <w:tc>
          <w:tcPr>
            <w:tcW w:w="2440" w:type="dxa"/>
            <w:vAlign w:val="bottom"/>
            <w:tcBorders>
              <w:top w:val="single" w:sz="8" w:color="auto"/>
            </w:tcBorders>
            <w:vMerge w:val="restart"/>
            <w:shd w:val="clear" w:color="auto" w:fill="E5E5E5"/>
          </w:tcPr>
          <w:p>
            <w:pPr>
              <w:spacing w:after="0"/>
              <w:rPr>
                <w:sz w:val="20"/>
                <w:szCs w:val="20"/>
                <w:color w:val="auto"/>
              </w:rPr>
            </w:pPr>
            <w:r>
              <w:rPr>
                <w:rFonts w:ascii="Arial" w:cs="Arial" w:eastAsia="Arial" w:hAnsi="Arial"/>
                <w:sz w:val="16"/>
                <w:szCs w:val="16"/>
                <w:color w:val="auto"/>
              </w:rPr>
              <w:t>Aerospace and Defense</w:t>
            </w:r>
          </w:p>
        </w:tc>
        <w:tc>
          <w:tcPr>
            <w:tcW w:w="25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IBM Corporation</w:t>
            </w:r>
          </w:p>
        </w:tc>
        <w:tc>
          <w:tcPr>
            <w:tcW w:w="120" w:type="dxa"/>
            <w:vAlign w:val="bottom"/>
            <w:tcBorders>
              <w:top w:val="single" w:sz="8" w:color="auto"/>
            </w:tcBorders>
            <w:shd w:val="clear" w:color="auto" w:fill="E5E5E5"/>
          </w:tcPr>
          <w:p>
            <w:pPr>
              <w:spacing w:after="0"/>
              <w:rPr>
                <w:sz w:val="19"/>
                <w:szCs w:val="19"/>
                <w:color w:val="auto"/>
              </w:rPr>
            </w:pPr>
          </w:p>
        </w:tc>
        <w:tc>
          <w:tcPr>
            <w:tcW w:w="236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IT Consulting and Other</w:t>
            </w:r>
          </w:p>
        </w:tc>
        <w:tc>
          <w:tcPr>
            <w:tcW w:w="0" w:type="dxa"/>
            <w:vAlign w:val="bottom"/>
          </w:tcPr>
          <w:p>
            <w:pPr>
              <w:spacing w:after="0"/>
              <w:rPr>
                <w:sz w:val="1"/>
                <w:szCs w:val="1"/>
                <w:color w:val="auto"/>
              </w:rPr>
            </w:pPr>
          </w:p>
        </w:tc>
      </w:tr>
      <w:tr>
        <w:trPr>
          <w:trHeight w:val="114"/>
        </w:trPr>
        <w:tc>
          <w:tcPr>
            <w:tcW w:w="2640" w:type="dxa"/>
            <w:vAlign w:val="bottom"/>
            <w:vMerge w:val="continue"/>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2440" w:type="dxa"/>
            <w:vAlign w:val="bottom"/>
            <w:vMerge w:val="continue"/>
            <w:shd w:val="clear" w:color="auto" w:fill="E5E5E5"/>
          </w:tcPr>
          <w:p>
            <w:pPr>
              <w:spacing w:after="0"/>
              <w:rPr>
                <w:sz w:val="9"/>
                <w:szCs w:val="9"/>
                <w:color w:val="auto"/>
              </w:rPr>
            </w:pPr>
          </w:p>
        </w:tc>
        <w:tc>
          <w:tcPr>
            <w:tcW w:w="2540" w:type="dxa"/>
            <w:vAlign w:val="bottom"/>
            <w:vMerge w:val="continue"/>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236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Services</w:t>
            </w: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2440" w:type="dxa"/>
            <w:vAlign w:val="bottom"/>
            <w:tcBorders>
              <w:bottom w:val="single" w:sz="8" w:color="E5E5E5"/>
            </w:tcBorders>
            <w:shd w:val="clear" w:color="auto" w:fill="E5E5E5"/>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2360" w:type="dxa"/>
            <w:vAlign w:val="bottom"/>
            <w:tcBorders>
              <w:bottom w:val="single" w:sz="8" w:color="E5E5E5"/>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6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Caterpillar Inc.</w:t>
            </w:r>
          </w:p>
        </w:tc>
        <w:tc>
          <w:tcPr>
            <w:tcW w:w="120" w:type="dxa"/>
            <w:vAlign w:val="bottom"/>
            <w:tcBorders>
              <w:top w:val="single" w:sz="8" w:color="auto"/>
            </w:tcBorders>
            <w:shd w:val="clear" w:color="auto" w:fill="E5E5E5"/>
          </w:tcPr>
          <w:p>
            <w:pPr>
              <w:spacing w:after="0"/>
              <w:rPr>
                <w:sz w:val="19"/>
                <w:szCs w:val="19"/>
                <w:color w:val="auto"/>
              </w:rPr>
            </w:pPr>
          </w:p>
        </w:tc>
        <w:tc>
          <w:tcPr>
            <w:tcW w:w="2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6"/>
                <w:szCs w:val="16"/>
                <w:color w:val="auto"/>
              </w:rPr>
              <w:t>Construction Machinery and</w:t>
            </w:r>
          </w:p>
        </w:tc>
        <w:tc>
          <w:tcPr>
            <w:tcW w:w="25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Intel Corporation</w:t>
            </w:r>
          </w:p>
        </w:tc>
        <w:tc>
          <w:tcPr>
            <w:tcW w:w="120" w:type="dxa"/>
            <w:vAlign w:val="bottom"/>
            <w:tcBorders>
              <w:top w:val="single" w:sz="8" w:color="auto"/>
            </w:tcBorders>
            <w:shd w:val="clear" w:color="auto" w:fill="E5E5E5"/>
          </w:tcPr>
          <w:p>
            <w:pPr>
              <w:spacing w:after="0"/>
              <w:rPr>
                <w:sz w:val="19"/>
                <w:szCs w:val="19"/>
                <w:color w:val="auto"/>
              </w:rPr>
            </w:pPr>
          </w:p>
        </w:tc>
        <w:tc>
          <w:tcPr>
            <w:tcW w:w="2360" w:type="dxa"/>
            <w:vAlign w:val="bottom"/>
            <w:tcBorders>
              <w:top w:val="single" w:sz="8" w:color="auto"/>
            </w:tcBorders>
            <w:vMerge w:val="restart"/>
            <w:shd w:val="clear" w:color="auto" w:fill="E5E5E5"/>
          </w:tcPr>
          <w:p>
            <w:pPr>
              <w:ind w:left="20"/>
              <w:spacing w:after="0"/>
              <w:rPr>
                <w:sz w:val="20"/>
                <w:szCs w:val="20"/>
                <w:color w:val="auto"/>
              </w:rPr>
            </w:pPr>
            <w:r>
              <w:rPr>
                <w:rFonts w:ascii="Arial" w:cs="Arial" w:eastAsia="Arial" w:hAnsi="Arial"/>
                <w:sz w:val="16"/>
                <w:szCs w:val="16"/>
                <w:color w:val="auto"/>
              </w:rPr>
              <w:t>Semiconductors</w:t>
            </w:r>
          </w:p>
        </w:tc>
        <w:tc>
          <w:tcPr>
            <w:tcW w:w="0" w:type="dxa"/>
            <w:vAlign w:val="bottom"/>
          </w:tcPr>
          <w:p>
            <w:pPr>
              <w:spacing w:after="0"/>
              <w:rPr>
                <w:sz w:val="1"/>
                <w:szCs w:val="1"/>
                <w:color w:val="auto"/>
              </w:rPr>
            </w:pPr>
          </w:p>
        </w:tc>
      </w:tr>
      <w:tr>
        <w:trPr>
          <w:trHeight w:val="114"/>
        </w:trPr>
        <w:tc>
          <w:tcPr>
            <w:tcW w:w="2640" w:type="dxa"/>
            <w:vAlign w:val="bottom"/>
            <w:vMerge w:val="continue"/>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244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Heavy Trucks</w:t>
            </w:r>
          </w:p>
        </w:tc>
        <w:tc>
          <w:tcPr>
            <w:tcW w:w="2540" w:type="dxa"/>
            <w:vAlign w:val="bottom"/>
            <w:vMerge w:val="continue"/>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236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2440" w:type="dxa"/>
            <w:vAlign w:val="bottom"/>
            <w:tcBorders>
              <w:bottom w:val="single" w:sz="8" w:color="E5E5E5"/>
            </w:tcBorders>
            <w:vMerge w:val="continue"/>
            <w:shd w:val="clear" w:color="auto" w:fill="E5E5E5"/>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2360" w:type="dxa"/>
            <w:vAlign w:val="bottom"/>
            <w:tcBorders>
              <w:bottom w:val="single" w:sz="8" w:color="E5E5E5"/>
            </w:tcBorders>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6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Deere &amp; Company</w:t>
            </w:r>
          </w:p>
        </w:tc>
        <w:tc>
          <w:tcPr>
            <w:tcW w:w="120" w:type="dxa"/>
            <w:vAlign w:val="bottom"/>
            <w:tcBorders>
              <w:top w:val="single" w:sz="8" w:color="auto"/>
              <w:bottom w:val="single" w:sz="8" w:color="E5E5E5"/>
            </w:tcBorders>
            <w:shd w:val="clear" w:color="auto" w:fill="E5E5E5"/>
          </w:tcPr>
          <w:p>
            <w:pPr>
              <w:spacing w:after="0"/>
              <w:rPr>
                <w:sz w:val="24"/>
                <w:szCs w:val="24"/>
                <w:color w:val="auto"/>
              </w:rPr>
            </w:pPr>
          </w:p>
        </w:tc>
        <w:tc>
          <w:tcPr>
            <w:tcW w:w="2440" w:type="dxa"/>
            <w:vAlign w:val="bottom"/>
            <w:tcBorders>
              <w:top w:val="single" w:sz="8" w:color="auto"/>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Agricultural and Farm Machinery</w:t>
            </w:r>
          </w:p>
        </w:tc>
        <w:tc>
          <w:tcPr>
            <w:tcW w:w="25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Johnson &amp; Johnson</w:t>
            </w:r>
          </w:p>
        </w:tc>
        <w:tc>
          <w:tcPr>
            <w:tcW w:w="120" w:type="dxa"/>
            <w:vAlign w:val="bottom"/>
            <w:tcBorders>
              <w:top w:val="single" w:sz="8" w:color="auto"/>
              <w:bottom w:val="single" w:sz="8" w:color="E5E5E5"/>
            </w:tcBorders>
            <w:shd w:val="clear" w:color="auto" w:fill="E5E5E5"/>
          </w:tcPr>
          <w:p>
            <w:pPr>
              <w:spacing w:after="0"/>
              <w:rPr>
                <w:sz w:val="24"/>
                <w:szCs w:val="24"/>
                <w:color w:val="auto"/>
              </w:rPr>
            </w:pPr>
          </w:p>
        </w:tc>
        <w:tc>
          <w:tcPr>
            <w:tcW w:w="2360" w:type="dxa"/>
            <w:vAlign w:val="bottom"/>
            <w:tcBorders>
              <w:top w:val="single" w:sz="8" w:color="auto"/>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Pharmaceuticals</w:t>
            </w:r>
          </w:p>
        </w:tc>
        <w:tc>
          <w:tcPr>
            <w:tcW w:w="0" w:type="dxa"/>
            <w:vAlign w:val="bottom"/>
          </w:tcPr>
          <w:p>
            <w:pPr>
              <w:spacing w:after="0"/>
              <w:rPr>
                <w:sz w:val="1"/>
                <w:szCs w:val="1"/>
                <w:color w:val="auto"/>
              </w:rPr>
            </w:pPr>
          </w:p>
        </w:tc>
      </w:tr>
      <w:tr>
        <w:trPr>
          <w:trHeight w:val="331"/>
        </w:trPr>
        <w:tc>
          <w:tcPr>
            <w:tcW w:w="26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DowDuPont Inc.</w:t>
            </w:r>
            <w:r>
              <w:rPr>
                <w:rFonts w:ascii="Arial" w:cs="Arial" w:eastAsia="Arial" w:hAnsi="Arial"/>
                <w:sz w:val="27"/>
                <w:szCs w:val="27"/>
                <w:color w:val="auto"/>
                <w:vertAlign w:val="superscript"/>
              </w:rPr>
              <w:t>(1)</w:t>
            </w:r>
          </w:p>
        </w:tc>
        <w:tc>
          <w:tcPr>
            <w:tcW w:w="120" w:type="dxa"/>
            <w:vAlign w:val="bottom"/>
            <w:tcBorders>
              <w:top w:val="single" w:sz="8" w:color="auto"/>
              <w:bottom w:val="single" w:sz="8" w:color="auto"/>
            </w:tcBorders>
            <w:shd w:val="clear" w:color="auto" w:fill="E5E5E5"/>
          </w:tcPr>
          <w:p>
            <w:pPr>
              <w:spacing w:after="0"/>
              <w:rPr>
                <w:sz w:val="24"/>
                <w:szCs w:val="24"/>
                <w:color w:val="auto"/>
              </w:rPr>
            </w:pPr>
          </w:p>
        </w:tc>
        <w:tc>
          <w:tcPr>
            <w:tcW w:w="244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6"/>
                <w:szCs w:val="16"/>
                <w:color w:val="auto"/>
              </w:rPr>
              <w:t>Diversified Chemicals</w:t>
            </w:r>
          </w:p>
        </w:tc>
        <w:tc>
          <w:tcPr>
            <w:tcW w:w="25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PepsiCo, Inc.</w:t>
            </w:r>
          </w:p>
        </w:tc>
        <w:tc>
          <w:tcPr>
            <w:tcW w:w="120" w:type="dxa"/>
            <w:vAlign w:val="bottom"/>
            <w:tcBorders>
              <w:top w:val="single" w:sz="8" w:color="auto"/>
              <w:bottom w:val="single" w:sz="8" w:color="auto"/>
            </w:tcBorders>
            <w:shd w:val="clear" w:color="auto" w:fill="E5E5E5"/>
          </w:tcPr>
          <w:p>
            <w:pPr>
              <w:spacing w:after="0"/>
              <w:rPr>
                <w:sz w:val="24"/>
                <w:szCs w:val="24"/>
                <w:color w:val="auto"/>
              </w:rPr>
            </w:pPr>
          </w:p>
        </w:tc>
        <w:tc>
          <w:tcPr>
            <w:tcW w:w="2360" w:type="dxa"/>
            <w:vAlign w:val="bottom"/>
            <w:tcBorders>
              <w:top w:val="single" w:sz="8" w:color="auto"/>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Soft Drinks and Food</w:t>
            </w:r>
          </w:p>
        </w:tc>
        <w:tc>
          <w:tcPr>
            <w:tcW w:w="0" w:type="dxa"/>
            <w:vAlign w:val="bottom"/>
          </w:tcPr>
          <w:p>
            <w:pPr>
              <w:spacing w:after="0"/>
              <w:rPr>
                <w:sz w:val="1"/>
                <w:szCs w:val="1"/>
                <w:color w:val="auto"/>
              </w:rPr>
            </w:pPr>
          </w:p>
        </w:tc>
      </w:tr>
      <w:tr>
        <w:trPr>
          <w:trHeight w:val="331"/>
        </w:trPr>
        <w:tc>
          <w:tcPr>
            <w:tcW w:w="2640" w:type="dxa"/>
            <w:vAlign w:val="bottom"/>
          </w:tcPr>
          <w:p>
            <w:pPr>
              <w:ind w:left="100"/>
              <w:spacing w:after="0"/>
              <w:rPr>
                <w:sz w:val="20"/>
                <w:szCs w:val="20"/>
                <w:color w:val="auto"/>
              </w:rPr>
            </w:pPr>
            <w:r>
              <w:rPr>
                <w:rFonts w:ascii="Arial" w:cs="Arial" w:eastAsia="Arial" w:hAnsi="Arial"/>
                <w:sz w:val="16"/>
                <w:szCs w:val="16"/>
                <w:color w:val="auto"/>
              </w:rPr>
              <w:t>Ford Motor Company</w:t>
            </w:r>
          </w:p>
        </w:tc>
        <w:tc>
          <w:tcPr>
            <w:tcW w:w="120" w:type="dxa"/>
            <w:vAlign w:val="bottom"/>
            <w:tcBorders>
              <w:bottom w:val="single" w:sz="8" w:color="E5E5E5"/>
            </w:tcBorders>
            <w:shd w:val="clear" w:color="auto" w:fill="E5E5E5"/>
          </w:tcPr>
          <w:p>
            <w:pPr>
              <w:spacing w:after="0"/>
              <w:rPr>
                <w:sz w:val="24"/>
                <w:szCs w:val="24"/>
                <w:color w:val="auto"/>
              </w:rPr>
            </w:pPr>
          </w:p>
        </w:tc>
        <w:tc>
          <w:tcPr>
            <w:tcW w:w="2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Automobile Manufacturers</w:t>
            </w:r>
          </w:p>
        </w:tc>
        <w:tc>
          <w:tcPr>
            <w:tcW w:w="2540" w:type="dxa"/>
            <w:vAlign w:val="bottom"/>
          </w:tcPr>
          <w:p>
            <w:pPr>
              <w:ind w:left="100"/>
              <w:spacing w:after="0"/>
              <w:rPr>
                <w:sz w:val="20"/>
                <w:szCs w:val="20"/>
                <w:color w:val="auto"/>
              </w:rPr>
            </w:pPr>
            <w:r>
              <w:rPr>
                <w:rFonts w:ascii="Arial" w:cs="Arial" w:eastAsia="Arial" w:hAnsi="Arial"/>
                <w:sz w:val="16"/>
                <w:szCs w:val="16"/>
                <w:color w:val="auto"/>
              </w:rPr>
              <w:t>Pfizer Inc.</w:t>
            </w:r>
          </w:p>
        </w:tc>
        <w:tc>
          <w:tcPr>
            <w:tcW w:w="120" w:type="dxa"/>
            <w:vAlign w:val="bottom"/>
            <w:tcBorders>
              <w:bottom w:val="single" w:sz="8" w:color="E5E5E5"/>
            </w:tcBorders>
            <w:shd w:val="clear" w:color="auto" w:fill="E5E5E5"/>
          </w:tcPr>
          <w:p>
            <w:pPr>
              <w:spacing w:after="0"/>
              <w:rPr>
                <w:sz w:val="24"/>
                <w:szCs w:val="24"/>
                <w:color w:val="auto"/>
              </w:rPr>
            </w:pPr>
          </w:p>
        </w:tc>
        <w:tc>
          <w:tcPr>
            <w:tcW w:w="23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Pharmaceuticals</w:t>
            </w:r>
          </w:p>
        </w:tc>
        <w:tc>
          <w:tcPr>
            <w:tcW w:w="0" w:type="dxa"/>
            <w:vAlign w:val="bottom"/>
          </w:tcPr>
          <w:p>
            <w:pPr>
              <w:spacing w:after="0"/>
              <w:rPr>
                <w:sz w:val="1"/>
                <w:szCs w:val="1"/>
                <w:color w:val="auto"/>
              </w:rPr>
            </w:pPr>
          </w:p>
        </w:tc>
      </w:tr>
      <w:tr>
        <w:trPr>
          <w:trHeight w:val="277"/>
        </w:trPr>
        <w:tc>
          <w:tcPr>
            <w:tcW w:w="26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General Electric Company</w:t>
            </w:r>
          </w:p>
        </w:tc>
        <w:tc>
          <w:tcPr>
            <w:tcW w:w="120" w:type="dxa"/>
            <w:vAlign w:val="bottom"/>
            <w:tcBorders>
              <w:top w:val="single" w:sz="8" w:color="auto"/>
              <w:bottom w:val="single" w:sz="8" w:color="E5E5E5"/>
            </w:tcBorders>
            <w:shd w:val="clear" w:color="auto" w:fill="E5E5E5"/>
          </w:tcPr>
          <w:p>
            <w:pPr>
              <w:spacing w:after="0"/>
              <w:rPr>
                <w:sz w:val="24"/>
                <w:szCs w:val="24"/>
                <w:color w:val="auto"/>
              </w:rPr>
            </w:pPr>
          </w:p>
        </w:tc>
        <w:tc>
          <w:tcPr>
            <w:tcW w:w="2440" w:type="dxa"/>
            <w:vAlign w:val="bottom"/>
            <w:tcBorders>
              <w:top w:val="single" w:sz="8" w:color="auto"/>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Industrial Conglomerates</w:t>
            </w:r>
          </w:p>
        </w:tc>
        <w:tc>
          <w:tcPr>
            <w:tcW w:w="25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The Procter &amp; Gamble Company</w:t>
            </w:r>
          </w:p>
        </w:tc>
        <w:tc>
          <w:tcPr>
            <w:tcW w:w="120" w:type="dxa"/>
            <w:vAlign w:val="bottom"/>
            <w:tcBorders>
              <w:top w:val="single" w:sz="8" w:color="auto"/>
              <w:bottom w:val="single" w:sz="8" w:color="E5E5E5"/>
            </w:tcBorders>
            <w:shd w:val="clear" w:color="auto" w:fill="E5E5E5"/>
          </w:tcPr>
          <w:p>
            <w:pPr>
              <w:spacing w:after="0"/>
              <w:rPr>
                <w:sz w:val="24"/>
                <w:szCs w:val="24"/>
                <w:color w:val="auto"/>
              </w:rPr>
            </w:pPr>
          </w:p>
        </w:tc>
        <w:tc>
          <w:tcPr>
            <w:tcW w:w="2360" w:type="dxa"/>
            <w:vAlign w:val="bottom"/>
            <w:tcBorders>
              <w:top w:val="single" w:sz="8" w:color="auto"/>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Household Products</w:t>
            </w:r>
          </w:p>
        </w:tc>
        <w:tc>
          <w:tcPr>
            <w:tcW w:w="0" w:type="dxa"/>
            <w:vAlign w:val="bottom"/>
          </w:tcPr>
          <w:p>
            <w:pPr>
              <w:spacing w:after="0"/>
              <w:rPr>
                <w:sz w:val="1"/>
                <w:szCs w:val="1"/>
                <w:color w:val="auto"/>
              </w:rPr>
            </w:pPr>
          </w:p>
        </w:tc>
      </w:tr>
      <w:tr>
        <w:trPr>
          <w:trHeight w:val="225"/>
        </w:trPr>
        <w:tc>
          <w:tcPr>
            <w:tcW w:w="26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HP, Inc.</w:t>
            </w:r>
          </w:p>
        </w:tc>
        <w:tc>
          <w:tcPr>
            <w:tcW w:w="120" w:type="dxa"/>
            <w:vAlign w:val="bottom"/>
            <w:tcBorders>
              <w:top w:val="single" w:sz="8" w:color="auto"/>
            </w:tcBorders>
            <w:shd w:val="clear" w:color="auto" w:fill="E5E5E5"/>
          </w:tcPr>
          <w:p>
            <w:pPr>
              <w:spacing w:after="0"/>
              <w:rPr>
                <w:sz w:val="19"/>
                <w:szCs w:val="19"/>
                <w:color w:val="auto"/>
              </w:rPr>
            </w:pPr>
          </w:p>
        </w:tc>
        <w:tc>
          <w:tcPr>
            <w:tcW w:w="2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6"/>
                <w:szCs w:val="16"/>
                <w:color w:val="auto"/>
              </w:rPr>
              <w:t>Technology Hardware,</w:t>
            </w:r>
          </w:p>
        </w:tc>
        <w:tc>
          <w:tcPr>
            <w:tcW w:w="25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United Technologies Corp.</w:t>
            </w:r>
          </w:p>
        </w:tc>
        <w:tc>
          <w:tcPr>
            <w:tcW w:w="120" w:type="dxa"/>
            <w:vAlign w:val="bottom"/>
            <w:tcBorders>
              <w:top w:val="single" w:sz="8" w:color="auto"/>
            </w:tcBorders>
            <w:shd w:val="clear" w:color="auto" w:fill="E5E5E5"/>
          </w:tcPr>
          <w:p>
            <w:pPr>
              <w:spacing w:after="0"/>
              <w:rPr>
                <w:sz w:val="19"/>
                <w:szCs w:val="19"/>
                <w:color w:val="auto"/>
              </w:rPr>
            </w:pPr>
          </w:p>
        </w:tc>
        <w:tc>
          <w:tcPr>
            <w:tcW w:w="2360" w:type="dxa"/>
            <w:vAlign w:val="bottom"/>
            <w:tcBorders>
              <w:top w:val="single" w:sz="8" w:color="auto"/>
            </w:tcBorders>
            <w:vMerge w:val="restart"/>
            <w:shd w:val="clear" w:color="auto" w:fill="E5E5E5"/>
          </w:tcPr>
          <w:p>
            <w:pPr>
              <w:ind w:left="20"/>
              <w:spacing w:after="0"/>
              <w:rPr>
                <w:sz w:val="20"/>
                <w:szCs w:val="20"/>
                <w:color w:val="auto"/>
              </w:rPr>
            </w:pPr>
            <w:r>
              <w:rPr>
                <w:rFonts w:ascii="Arial" w:cs="Arial" w:eastAsia="Arial" w:hAnsi="Arial"/>
                <w:sz w:val="16"/>
                <w:szCs w:val="16"/>
                <w:color w:val="auto"/>
              </w:rPr>
              <w:t>Aerospace and Defense</w:t>
            </w:r>
          </w:p>
        </w:tc>
        <w:tc>
          <w:tcPr>
            <w:tcW w:w="0" w:type="dxa"/>
            <w:vAlign w:val="bottom"/>
          </w:tcPr>
          <w:p>
            <w:pPr>
              <w:spacing w:after="0"/>
              <w:rPr>
                <w:sz w:val="1"/>
                <w:szCs w:val="1"/>
                <w:color w:val="auto"/>
              </w:rPr>
            </w:pPr>
          </w:p>
        </w:tc>
      </w:tr>
      <w:tr>
        <w:trPr>
          <w:trHeight w:val="114"/>
        </w:trPr>
        <w:tc>
          <w:tcPr>
            <w:tcW w:w="2640" w:type="dxa"/>
            <w:vAlign w:val="bottom"/>
            <w:vMerge w:val="continue"/>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244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Storage, and Peripherals</w:t>
            </w:r>
          </w:p>
        </w:tc>
        <w:tc>
          <w:tcPr>
            <w:tcW w:w="2540" w:type="dxa"/>
            <w:vAlign w:val="bottom"/>
            <w:vMerge w:val="continue"/>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236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40" w:type="dxa"/>
            <w:vAlign w:val="bottom"/>
          </w:tcPr>
          <w:p>
            <w:pPr>
              <w:spacing w:after="0"/>
              <w:rPr>
                <w:sz w:val="9"/>
                <w:szCs w:val="9"/>
                <w:color w:val="auto"/>
              </w:rPr>
            </w:pPr>
          </w:p>
        </w:tc>
        <w:tc>
          <w:tcPr>
            <w:tcW w:w="120" w:type="dxa"/>
            <w:vAlign w:val="bottom"/>
            <w:tcBorders>
              <w:bottom w:val="single" w:sz="8" w:color="E5E5E5"/>
            </w:tcBorders>
            <w:shd w:val="clear" w:color="auto" w:fill="E5E5E5"/>
          </w:tcPr>
          <w:p>
            <w:pPr>
              <w:spacing w:after="0"/>
              <w:rPr>
                <w:sz w:val="9"/>
                <w:szCs w:val="9"/>
                <w:color w:val="auto"/>
              </w:rPr>
            </w:pPr>
          </w:p>
        </w:tc>
        <w:tc>
          <w:tcPr>
            <w:tcW w:w="2440" w:type="dxa"/>
            <w:vAlign w:val="bottom"/>
            <w:tcBorders>
              <w:bottom w:val="single" w:sz="8" w:color="E5E5E5"/>
            </w:tcBorders>
            <w:vMerge w:val="continue"/>
            <w:shd w:val="clear" w:color="auto" w:fill="E5E5E5"/>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E5E5E5"/>
            </w:tcBorders>
            <w:shd w:val="clear" w:color="auto" w:fill="E5E5E5"/>
          </w:tcPr>
          <w:p>
            <w:pPr>
              <w:spacing w:after="0"/>
              <w:rPr>
                <w:sz w:val="9"/>
                <w:szCs w:val="9"/>
                <w:color w:val="auto"/>
              </w:rPr>
            </w:pPr>
          </w:p>
        </w:tc>
        <w:tc>
          <w:tcPr>
            <w:tcW w:w="2360" w:type="dxa"/>
            <w:vAlign w:val="bottom"/>
            <w:tcBorders>
              <w:bottom w:val="single" w:sz="8" w:color="E5E5E5"/>
            </w:tcBorders>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0033A0"/>
          </w:tcPr>
          <w:p>
            <w:pPr>
              <w:spacing w:after="0" w:line="20" w:lineRule="exact"/>
              <w:rPr>
                <w:sz w:val="1"/>
                <w:szCs w:val="1"/>
                <w:color w:val="auto"/>
              </w:rPr>
            </w:pPr>
          </w:p>
        </w:tc>
        <w:tc>
          <w:tcPr>
            <w:tcW w:w="120" w:type="dxa"/>
            <w:vAlign w:val="bottom"/>
            <w:shd w:val="clear" w:color="auto" w:fill="0033A0"/>
          </w:tcPr>
          <w:p>
            <w:pPr>
              <w:spacing w:after="0" w:line="20" w:lineRule="exact"/>
              <w:rPr>
                <w:sz w:val="1"/>
                <w:szCs w:val="1"/>
                <w:color w:val="auto"/>
              </w:rPr>
            </w:pPr>
          </w:p>
        </w:tc>
        <w:tc>
          <w:tcPr>
            <w:tcW w:w="2440" w:type="dxa"/>
            <w:vAlign w:val="bottom"/>
            <w:shd w:val="clear" w:color="auto" w:fill="0033A0"/>
          </w:tcPr>
          <w:p>
            <w:pPr>
              <w:spacing w:after="0" w:line="20" w:lineRule="exact"/>
              <w:rPr>
                <w:sz w:val="1"/>
                <w:szCs w:val="1"/>
                <w:color w:val="auto"/>
              </w:rPr>
            </w:pPr>
          </w:p>
        </w:tc>
        <w:tc>
          <w:tcPr>
            <w:tcW w:w="2540" w:type="dxa"/>
            <w:vAlign w:val="bottom"/>
            <w:shd w:val="clear" w:color="auto" w:fill="0033A0"/>
          </w:tcPr>
          <w:p>
            <w:pPr>
              <w:spacing w:after="0" w:line="20" w:lineRule="exact"/>
              <w:rPr>
                <w:sz w:val="1"/>
                <w:szCs w:val="1"/>
                <w:color w:val="auto"/>
              </w:rPr>
            </w:pPr>
          </w:p>
        </w:tc>
        <w:tc>
          <w:tcPr>
            <w:tcW w:w="120" w:type="dxa"/>
            <w:vAlign w:val="bottom"/>
            <w:shd w:val="clear" w:color="auto" w:fill="0033A0"/>
          </w:tcPr>
          <w:p>
            <w:pPr>
              <w:spacing w:after="0" w:line="20" w:lineRule="exact"/>
              <w:rPr>
                <w:sz w:val="1"/>
                <w:szCs w:val="1"/>
                <w:color w:val="auto"/>
              </w:rPr>
            </w:pPr>
          </w:p>
        </w:tc>
        <w:tc>
          <w:tcPr>
            <w:tcW w:w="2360" w:type="dxa"/>
            <w:vAlign w:val="bottom"/>
            <w:shd w:val="clear" w:color="auto" w:fill="0033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020" w:hanging="424"/>
        <w:spacing w:after="0"/>
        <w:tabs>
          <w:tab w:leader="none" w:pos="10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 Compensation Committee removed DowDuPont Inc. at their June 2018 meeting based on announced corporate restructuring.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4"/>
          <w:szCs w:val="14"/>
          <w:color w:val="0033A0"/>
        </w:rPr>
        <w:t>42</w:t>
      </w:r>
    </w:p>
    <w:p>
      <w:pPr>
        <w:sectPr>
          <w:pgSz w:w="11900" w:h="16838" w:orient="portrait"/>
          <w:cols w:equalWidth="0" w:num="1">
            <w:col w:w="10820"/>
          </w:cols>
          <w:pgMar w:left="240" w:top="459" w:right="8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942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89445" cy="894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369" w:lineRule="exact"/>
        <w:rPr>
          <w:sz w:val="20"/>
          <w:szCs w:val="20"/>
          <w:color w:val="auto"/>
        </w:rPr>
      </w:pPr>
    </w:p>
    <w:p>
      <w:pPr>
        <w:ind w:left="1100" w:hanging="504"/>
        <w:spacing w:after="0"/>
        <w:tabs>
          <w:tab w:leader="none" w:pos="1100" w:val="left"/>
        </w:tabs>
        <w:numPr>
          <w:ilvl w:val="0"/>
          <w:numId w:val="62"/>
        </w:numPr>
        <w:rPr>
          <w:rFonts w:ascii="Arial" w:cs="Arial" w:eastAsia="Arial" w:hAnsi="Arial"/>
          <w:sz w:val="25"/>
          <w:szCs w:val="25"/>
          <w:color w:val="0033A0"/>
        </w:rPr>
      </w:pPr>
      <w:r>
        <w:rPr>
          <w:rFonts w:ascii="Arial" w:cs="Arial" w:eastAsia="Arial" w:hAnsi="Arial"/>
          <w:sz w:val="25"/>
          <w:szCs w:val="25"/>
          <w:color w:val="auto"/>
        </w:rPr>
        <w:t>How We Use Comparator Data to Assess Compensation</w:t>
      </w:r>
    </w:p>
    <w:p>
      <w:pPr>
        <w:spacing w:after="0" w:line="118" w:lineRule="exact"/>
        <w:rPr>
          <w:sz w:val="20"/>
          <w:szCs w:val="20"/>
          <w:color w:val="auto"/>
        </w:rPr>
      </w:pPr>
    </w:p>
    <w:p>
      <w:pPr>
        <w:jc w:val="both"/>
        <w:ind w:left="600" w:right="580"/>
        <w:spacing w:after="0" w:line="250" w:lineRule="auto"/>
        <w:rPr>
          <w:sz w:val="20"/>
          <w:szCs w:val="20"/>
          <w:color w:val="auto"/>
        </w:rPr>
      </w:pPr>
      <w:r>
        <w:rPr>
          <w:rFonts w:ascii="Arial" w:cs="Arial" w:eastAsia="Arial" w:hAnsi="Arial"/>
          <w:sz w:val="16"/>
          <w:szCs w:val="16"/>
          <w:color w:val="auto"/>
        </w:rPr>
        <w:t>We use executive compensation surveys composed of a broad array of industrial companies to benchmark relevant market data for executive positions. In addition, we benchmark pay practices and compensation levels against the proxy statement disclosures of our peer group and adjust this data to reflect GM’s size and market expected compensation trends. Furthermore, the Compensation Committee reviews an analysis completed by their independent compensation consultant of the competitive position of each of our executives to the benchmark data.</w:t>
      </w:r>
    </w:p>
    <w:p>
      <w:pPr>
        <w:spacing w:after="0" w:line="97" w:lineRule="exact"/>
        <w:rPr>
          <w:sz w:val="20"/>
          <w:szCs w:val="20"/>
          <w:color w:val="auto"/>
        </w:rPr>
      </w:pPr>
    </w:p>
    <w:p>
      <w:pPr>
        <w:jc w:val="both"/>
        <w:ind w:left="600" w:right="580"/>
        <w:spacing w:after="0" w:line="250" w:lineRule="auto"/>
        <w:rPr>
          <w:sz w:val="20"/>
          <w:szCs w:val="20"/>
          <w:color w:val="auto"/>
        </w:rPr>
      </w:pPr>
      <w:r>
        <w:rPr>
          <w:rFonts w:ascii="Arial" w:cs="Arial" w:eastAsia="Arial" w:hAnsi="Arial"/>
          <w:sz w:val="16"/>
          <w:szCs w:val="16"/>
          <w:color w:val="auto"/>
        </w:rPr>
        <w:t>We review each element of compensation compared with the market and generally target each element of our total direct compensation (base salary, STIP, and LTIP) for the executive group on average to be at or near the market median. An individual element or an individual’s total direct compensation may be positioned above or below the market median due to considerations such as specific responsibilities, experience, and performance.</w:t>
      </w:r>
    </w:p>
    <w:p>
      <w:pPr>
        <w:spacing w:after="0" w:line="326" w:lineRule="exact"/>
        <w:rPr>
          <w:sz w:val="20"/>
          <w:szCs w:val="20"/>
          <w:color w:val="auto"/>
        </w:rPr>
      </w:pPr>
    </w:p>
    <w:p>
      <w:pPr>
        <w:ind w:left="1100" w:hanging="504"/>
        <w:spacing w:after="0"/>
        <w:tabs>
          <w:tab w:leader="none" w:pos="1100" w:val="left"/>
        </w:tabs>
        <w:numPr>
          <w:ilvl w:val="0"/>
          <w:numId w:val="63"/>
        </w:numPr>
        <w:rPr>
          <w:rFonts w:ascii="Arial" w:cs="Arial" w:eastAsia="Arial" w:hAnsi="Arial"/>
          <w:sz w:val="25"/>
          <w:szCs w:val="25"/>
          <w:color w:val="0033A0"/>
        </w:rPr>
      </w:pPr>
      <w:r>
        <w:rPr>
          <w:rFonts w:ascii="Arial" w:cs="Arial" w:eastAsia="Arial" w:hAnsi="Arial"/>
          <w:sz w:val="25"/>
          <w:szCs w:val="25"/>
          <w:color w:val="auto"/>
        </w:rPr>
        <w:t>How We Plan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00" w:hanging="504"/>
        <w:spacing w:after="0"/>
        <w:tabs>
          <w:tab w:leader="none" w:pos="1100" w:val="left"/>
        </w:tabs>
        <w:numPr>
          <w:ilvl w:val="0"/>
          <w:numId w:val="64"/>
        </w:numPr>
        <w:rPr>
          <w:rFonts w:ascii="Arial" w:cs="Arial" w:eastAsia="Arial" w:hAnsi="Arial"/>
          <w:sz w:val="25"/>
          <w:szCs w:val="25"/>
          <w:color w:val="0033A0"/>
        </w:rPr>
      </w:pPr>
      <w:r>
        <w:rPr>
          <w:rFonts w:ascii="Arial" w:cs="Arial" w:eastAsia="Arial" w:hAnsi="Arial"/>
          <w:sz w:val="25"/>
          <w:szCs w:val="25"/>
          <w:color w:val="auto"/>
        </w:rPr>
        <w:t>Performance-Based Compensation Structure</w:t>
      </w:r>
    </w:p>
    <w:p>
      <w:pPr>
        <w:spacing w:after="0" w:line="185" w:lineRule="exact"/>
        <w:rPr>
          <w:sz w:val="20"/>
          <w:szCs w:val="20"/>
          <w:color w:val="auto"/>
        </w:rPr>
      </w:pPr>
    </w:p>
    <w:p>
      <w:pPr>
        <w:jc w:val="both"/>
        <w:ind w:left="600" w:right="580"/>
        <w:spacing w:after="0" w:line="260" w:lineRule="auto"/>
        <w:rPr>
          <w:sz w:val="20"/>
          <w:szCs w:val="20"/>
          <w:color w:val="auto"/>
        </w:rPr>
      </w:pPr>
      <w:r>
        <w:rPr>
          <w:rFonts w:ascii="Arial" w:cs="Arial" w:eastAsia="Arial" w:hAnsi="Arial"/>
          <w:sz w:val="16"/>
          <w:szCs w:val="16"/>
          <w:color w:val="auto"/>
        </w:rPr>
        <w:t>Our NEOs are incentivized on optimizing long-term financial returns for our shareholders through increasing profitability, increasing margins, putting the customer at the center of everything we do, growing the business, and driving innovation.</w:t>
      </w:r>
    </w:p>
    <w:p>
      <w:pPr>
        <w:spacing w:after="0" w:line="87" w:lineRule="exact"/>
        <w:rPr>
          <w:sz w:val="20"/>
          <w:szCs w:val="20"/>
          <w:color w:val="auto"/>
        </w:rPr>
      </w:pPr>
    </w:p>
    <w:p>
      <w:pPr>
        <w:jc w:val="both"/>
        <w:ind w:left="600" w:right="580"/>
        <w:spacing w:after="0" w:line="250" w:lineRule="auto"/>
        <w:rPr>
          <w:sz w:val="20"/>
          <w:szCs w:val="20"/>
          <w:color w:val="auto"/>
        </w:rPr>
      </w:pPr>
      <w:r>
        <w:rPr>
          <w:rFonts w:ascii="Arial" w:cs="Arial" w:eastAsia="Arial" w:hAnsi="Arial"/>
          <w:sz w:val="16"/>
          <w:szCs w:val="16"/>
          <w:color w:val="auto"/>
        </w:rPr>
        <w:t>The performance-based structure for 2018 incorporates both short-term and long-term incentives established from financial and operational metrics for fiscal year 2018 and beyond. In addition to base salary and the STIP award, this structure, shown graphically below, includes an LTIP award composed of PSUs and Stock Options in order to focus our executives on long-term Company performance. The Compensation Committee believes a majority of compensation should be in the form of equity to align the interests of executives with those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Compensation Principles</w:t>
      </w:r>
    </w:p>
    <w:p>
      <w:pPr>
        <w:spacing w:after="0" w:line="200" w:lineRule="exact"/>
        <w:rPr>
          <w:sz w:val="20"/>
          <w:szCs w:val="20"/>
          <w:color w:val="auto"/>
        </w:rPr>
      </w:pPr>
    </w:p>
    <w:p>
      <w:pPr>
        <w:spacing w:after="0" w:line="202"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compensation provided to our senior leaders continues to be guided by the following principles:</w:t>
      </w:r>
    </w:p>
    <w:p>
      <w:pPr>
        <w:spacing w:after="0" w:line="202" w:lineRule="exact"/>
        <w:rPr>
          <w:sz w:val="20"/>
          <w:szCs w:val="20"/>
          <w:color w:val="auto"/>
        </w:rPr>
      </w:pPr>
    </w:p>
    <w:p>
      <w:pPr>
        <w:jc w:val="both"/>
        <w:ind w:left="420" w:hanging="210"/>
        <w:spacing w:after="0" w:line="259" w:lineRule="auto"/>
        <w:tabs>
          <w:tab w:leader="none" w:pos="420" w:val="left"/>
        </w:tabs>
        <w:numPr>
          <w:ilvl w:val="0"/>
          <w:numId w:val="65"/>
        </w:numPr>
        <w:rPr>
          <w:rFonts w:ascii="Arial" w:cs="Arial" w:eastAsia="Arial" w:hAnsi="Arial"/>
          <w:sz w:val="16"/>
          <w:szCs w:val="16"/>
          <w:color w:val="0033A0"/>
        </w:rPr>
      </w:pPr>
      <w:r>
        <w:rPr>
          <w:rFonts w:ascii="Arial" w:cs="Arial" w:eastAsia="Arial" w:hAnsi="Arial"/>
          <w:sz w:val="16"/>
          <w:szCs w:val="16"/>
          <w:b w:val="1"/>
          <w:bCs w:val="1"/>
          <w:color w:val="0033A0"/>
        </w:rPr>
        <w:t xml:space="preserve">Aligned with Shareholders </w:t>
      </w:r>
      <w:r>
        <w:rPr>
          <w:rFonts w:ascii="Arial" w:cs="Arial" w:eastAsia="Arial" w:hAnsi="Arial"/>
          <w:sz w:val="16"/>
          <w:szCs w:val="16"/>
          <w:color w:val="000000"/>
        </w:rPr>
        <w:t>– Compensation paid should align</w:t>
      </w:r>
      <w:r>
        <w:rPr>
          <w:rFonts w:ascii="Arial" w:cs="Arial" w:eastAsia="Arial" w:hAnsi="Arial"/>
          <w:sz w:val="16"/>
          <w:szCs w:val="16"/>
          <w:b w:val="1"/>
          <w:bCs w:val="1"/>
          <w:color w:val="0033A0"/>
        </w:rPr>
        <w:t xml:space="preserve"> </w:t>
      </w:r>
      <w:r>
        <w:rPr>
          <w:rFonts w:ascii="Arial" w:cs="Arial" w:eastAsia="Arial" w:hAnsi="Arial"/>
          <w:sz w:val="16"/>
          <w:szCs w:val="16"/>
          <w:color w:val="000000"/>
        </w:rPr>
        <w:t>directly with the long-term interests of our shareholders and our executives should share with them in the performance and value of our common stock;</w:t>
      </w:r>
    </w:p>
    <w:p>
      <w:pPr>
        <w:spacing w:after="0" w:line="42" w:lineRule="exact"/>
        <w:rPr>
          <w:rFonts w:ascii="Arial" w:cs="Arial" w:eastAsia="Arial" w:hAnsi="Arial"/>
          <w:sz w:val="16"/>
          <w:szCs w:val="16"/>
          <w:color w:val="0033A0"/>
        </w:rPr>
      </w:pPr>
    </w:p>
    <w:p>
      <w:pPr>
        <w:jc w:val="both"/>
        <w:ind w:left="420" w:hanging="210"/>
        <w:spacing w:after="0" w:line="256" w:lineRule="auto"/>
        <w:tabs>
          <w:tab w:leader="none" w:pos="420" w:val="left"/>
        </w:tabs>
        <w:numPr>
          <w:ilvl w:val="0"/>
          <w:numId w:val="65"/>
        </w:numPr>
        <w:rPr>
          <w:rFonts w:ascii="Arial" w:cs="Arial" w:eastAsia="Arial" w:hAnsi="Arial"/>
          <w:sz w:val="16"/>
          <w:szCs w:val="16"/>
          <w:color w:val="0033A0"/>
        </w:rPr>
      </w:pPr>
      <w:r>
        <w:rPr>
          <w:rFonts w:ascii="Arial" w:cs="Arial" w:eastAsia="Arial" w:hAnsi="Arial"/>
          <w:sz w:val="16"/>
          <w:szCs w:val="16"/>
          <w:b w:val="1"/>
          <w:bCs w:val="1"/>
          <w:color w:val="0033A0"/>
        </w:rPr>
        <w:t xml:space="preserve">Performance-Based </w:t>
      </w:r>
      <w:r>
        <w:rPr>
          <w:rFonts w:ascii="Arial" w:cs="Arial" w:eastAsia="Arial" w:hAnsi="Arial"/>
          <w:sz w:val="16"/>
          <w:szCs w:val="16"/>
          <w:color w:val="000000"/>
        </w:rPr>
        <w:t>– Compensation paid should be based on a</w:t>
      </w:r>
      <w:r>
        <w:rPr>
          <w:rFonts w:ascii="Arial" w:cs="Arial" w:eastAsia="Arial" w:hAnsi="Arial"/>
          <w:sz w:val="16"/>
          <w:szCs w:val="16"/>
          <w:b w:val="1"/>
          <w:bCs w:val="1"/>
          <w:color w:val="0033A0"/>
        </w:rPr>
        <w:t xml:space="preserve"> </w:t>
      </w:r>
      <w:r>
        <w:rPr>
          <w:rFonts w:ascii="Arial" w:cs="Arial" w:eastAsia="Arial" w:hAnsi="Arial"/>
          <w:sz w:val="16"/>
          <w:szCs w:val="16"/>
          <w:color w:val="000000"/>
        </w:rPr>
        <w:t>balance of financial and operational goals reflecting strong financial performance relative to our OEM competitors. The goals should be aggressive but achievable, within our executives control, and reward commitments met;</w:t>
      </w:r>
    </w:p>
    <w:p>
      <w:pPr>
        <w:spacing w:after="0" w:line="43" w:lineRule="exact"/>
        <w:rPr>
          <w:rFonts w:ascii="Arial" w:cs="Arial" w:eastAsia="Arial" w:hAnsi="Arial"/>
          <w:sz w:val="16"/>
          <w:szCs w:val="16"/>
          <w:color w:val="0033A0"/>
        </w:rPr>
      </w:pPr>
    </w:p>
    <w:p>
      <w:pPr>
        <w:jc w:val="both"/>
        <w:ind w:left="420" w:hanging="210"/>
        <w:spacing w:after="0" w:line="256" w:lineRule="auto"/>
        <w:tabs>
          <w:tab w:leader="none" w:pos="420" w:val="left"/>
        </w:tabs>
        <w:numPr>
          <w:ilvl w:val="0"/>
          <w:numId w:val="65"/>
        </w:numPr>
        <w:rPr>
          <w:rFonts w:ascii="Arial" w:cs="Arial" w:eastAsia="Arial" w:hAnsi="Arial"/>
          <w:sz w:val="16"/>
          <w:szCs w:val="16"/>
          <w:color w:val="0033A0"/>
        </w:rPr>
      </w:pPr>
      <w:r>
        <w:rPr>
          <w:rFonts w:ascii="Arial" w:cs="Arial" w:eastAsia="Arial" w:hAnsi="Arial"/>
          <w:sz w:val="16"/>
          <w:szCs w:val="16"/>
          <w:b w:val="1"/>
          <w:bCs w:val="1"/>
          <w:color w:val="0033A0"/>
        </w:rPr>
        <w:t xml:space="preserve">Recognize Individual Performance </w:t>
      </w:r>
      <w:r>
        <w:rPr>
          <w:rFonts w:ascii="Arial" w:cs="Arial" w:eastAsia="Arial" w:hAnsi="Arial"/>
          <w:sz w:val="16"/>
          <w:szCs w:val="16"/>
          <w:color w:val="000000"/>
        </w:rPr>
        <w:t>– Compensation paid should</w:t>
      </w:r>
      <w:r>
        <w:rPr>
          <w:rFonts w:ascii="Arial" w:cs="Arial" w:eastAsia="Arial" w:hAnsi="Arial"/>
          <w:sz w:val="16"/>
          <w:szCs w:val="16"/>
          <w:b w:val="1"/>
          <w:bCs w:val="1"/>
          <w:color w:val="0033A0"/>
        </w:rPr>
        <w:t xml:space="preserve"> </w:t>
      </w:r>
      <w:r>
        <w:rPr>
          <w:rFonts w:ascii="Arial" w:cs="Arial" w:eastAsia="Arial" w:hAnsi="Arial"/>
          <w:sz w:val="16"/>
          <w:szCs w:val="16"/>
          <w:color w:val="000000"/>
        </w:rPr>
        <w:t>motivate executives to perform at their best, reflecting their clear line-of-sight and contributions as well as their behaviors and demonstration of GM’s core values. Individual performance must be aligned with Company performance and desired behaviors;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6" w:right="20" w:hanging="196"/>
        <w:spacing w:after="0" w:line="286" w:lineRule="auto"/>
        <w:tabs>
          <w:tab w:leader="none" w:pos="196" w:val="left"/>
        </w:tabs>
        <w:numPr>
          <w:ilvl w:val="0"/>
          <w:numId w:val="66"/>
        </w:numPr>
        <w:rPr>
          <w:rFonts w:ascii="Arial" w:cs="Arial" w:eastAsia="Arial" w:hAnsi="Arial"/>
          <w:sz w:val="16"/>
          <w:szCs w:val="16"/>
          <w:color w:val="0033A0"/>
        </w:rPr>
      </w:pPr>
      <w:r>
        <w:rPr>
          <w:rFonts w:ascii="Arial" w:cs="Arial" w:eastAsia="Arial" w:hAnsi="Arial"/>
          <w:sz w:val="16"/>
          <w:szCs w:val="16"/>
          <w:b w:val="1"/>
          <w:bCs w:val="1"/>
          <w:color w:val="0033A0"/>
        </w:rPr>
        <w:t xml:space="preserve">Simple Design </w:t>
      </w:r>
      <w:r>
        <w:rPr>
          <w:rFonts w:ascii="Arial" w:cs="Arial" w:eastAsia="Arial" w:hAnsi="Arial"/>
          <w:sz w:val="16"/>
          <w:szCs w:val="16"/>
          <w:color w:val="000000"/>
        </w:rPr>
        <w:t>– Our compensation plan should be easy to</w:t>
      </w:r>
      <w:r>
        <w:rPr>
          <w:rFonts w:ascii="Arial" w:cs="Arial" w:eastAsia="Arial" w:hAnsi="Arial"/>
          <w:sz w:val="16"/>
          <w:szCs w:val="16"/>
          <w:b w:val="1"/>
          <w:bCs w:val="1"/>
          <w:color w:val="0033A0"/>
        </w:rPr>
        <w:t xml:space="preserve"> </w:t>
      </w:r>
      <w:r>
        <w:rPr>
          <w:rFonts w:ascii="Arial" w:cs="Arial" w:eastAsia="Arial" w:hAnsi="Arial"/>
          <w:sz w:val="16"/>
          <w:szCs w:val="16"/>
          <w:color w:val="000000"/>
        </w:rPr>
        <w:t>understand, communicate, and minimize unintended consequences;</w:t>
      </w:r>
    </w:p>
    <w:p>
      <w:pPr>
        <w:spacing w:after="0" w:line="20" w:lineRule="exact"/>
        <w:rPr>
          <w:rFonts w:ascii="Arial" w:cs="Arial" w:eastAsia="Arial" w:hAnsi="Arial"/>
          <w:sz w:val="16"/>
          <w:szCs w:val="16"/>
          <w:color w:val="0033A0"/>
        </w:rPr>
      </w:pPr>
    </w:p>
    <w:p>
      <w:pPr>
        <w:jc w:val="both"/>
        <w:ind w:left="196" w:right="20" w:hanging="196"/>
        <w:spacing w:after="0" w:line="259" w:lineRule="auto"/>
        <w:tabs>
          <w:tab w:leader="none" w:pos="196" w:val="left"/>
        </w:tabs>
        <w:numPr>
          <w:ilvl w:val="0"/>
          <w:numId w:val="66"/>
        </w:numPr>
        <w:rPr>
          <w:rFonts w:ascii="Arial" w:cs="Arial" w:eastAsia="Arial" w:hAnsi="Arial"/>
          <w:sz w:val="16"/>
          <w:szCs w:val="16"/>
          <w:color w:val="0033A0"/>
        </w:rPr>
      </w:pPr>
      <w:r>
        <w:rPr>
          <w:rFonts w:ascii="Arial" w:cs="Arial" w:eastAsia="Arial" w:hAnsi="Arial"/>
          <w:sz w:val="16"/>
          <w:szCs w:val="16"/>
          <w:b w:val="1"/>
          <w:bCs w:val="1"/>
          <w:color w:val="0033A0"/>
        </w:rPr>
        <w:t xml:space="preserve">Avoidance of Incentive to Take Excessive Risk </w:t>
      </w:r>
      <w:r>
        <w:rPr>
          <w:rFonts w:ascii="Arial" w:cs="Arial" w:eastAsia="Arial" w:hAnsi="Arial"/>
          <w:sz w:val="16"/>
          <w:szCs w:val="16"/>
          <w:color w:val="000000"/>
        </w:rPr>
        <w:t>– The compensation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structure should avoid incentives to take unnecessary or excessive risk. Compensation should be paid over a period of time that takes into account the potential risk over the same time period;</w:t>
      </w:r>
    </w:p>
    <w:p>
      <w:pPr>
        <w:spacing w:after="0" w:line="42" w:lineRule="exact"/>
        <w:rPr>
          <w:rFonts w:ascii="Arial" w:cs="Arial" w:eastAsia="Arial" w:hAnsi="Arial"/>
          <w:sz w:val="16"/>
          <w:szCs w:val="16"/>
          <w:color w:val="0033A0"/>
        </w:rPr>
      </w:pPr>
    </w:p>
    <w:p>
      <w:pPr>
        <w:jc w:val="both"/>
        <w:ind w:left="196" w:right="20" w:hanging="196"/>
        <w:spacing w:after="0" w:line="259" w:lineRule="auto"/>
        <w:tabs>
          <w:tab w:leader="none" w:pos="196" w:val="left"/>
        </w:tabs>
        <w:numPr>
          <w:ilvl w:val="0"/>
          <w:numId w:val="66"/>
        </w:numPr>
        <w:rPr>
          <w:rFonts w:ascii="Arial" w:cs="Arial" w:eastAsia="Arial" w:hAnsi="Arial"/>
          <w:sz w:val="16"/>
          <w:szCs w:val="16"/>
          <w:color w:val="0033A0"/>
        </w:rPr>
      </w:pPr>
      <w:r>
        <w:rPr>
          <w:rFonts w:ascii="Arial" w:cs="Arial" w:eastAsia="Arial" w:hAnsi="Arial"/>
          <w:sz w:val="16"/>
          <w:szCs w:val="16"/>
          <w:b w:val="1"/>
          <w:bCs w:val="1"/>
          <w:color w:val="0033A0"/>
        </w:rPr>
        <w:t xml:space="preserve">Appropriate Allocation of Compensation Components </w:t>
      </w:r>
      <w:r>
        <w:rPr>
          <w:rFonts w:ascii="Arial" w:cs="Arial" w:eastAsia="Arial" w:hAnsi="Arial"/>
          <w:sz w:val="16"/>
          <w:szCs w:val="16"/>
          <w:color w:val="000000"/>
        </w:rPr>
        <w:t>–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compensation structure should appropriately allocate total compensation into fixed and variable pay elements resulting in an appropriate mix of short-term and long-term pay elements; and</w:t>
      </w:r>
    </w:p>
    <w:p>
      <w:pPr>
        <w:spacing w:after="0" w:line="42" w:lineRule="exact"/>
        <w:rPr>
          <w:rFonts w:ascii="Arial" w:cs="Arial" w:eastAsia="Arial" w:hAnsi="Arial"/>
          <w:sz w:val="16"/>
          <w:szCs w:val="16"/>
          <w:color w:val="0033A0"/>
        </w:rPr>
      </w:pPr>
    </w:p>
    <w:p>
      <w:pPr>
        <w:jc w:val="both"/>
        <w:ind w:left="196" w:right="20" w:hanging="196"/>
        <w:spacing w:after="0" w:line="259" w:lineRule="auto"/>
        <w:tabs>
          <w:tab w:leader="none" w:pos="196" w:val="left"/>
        </w:tabs>
        <w:numPr>
          <w:ilvl w:val="0"/>
          <w:numId w:val="66"/>
        </w:numPr>
        <w:rPr>
          <w:rFonts w:ascii="Arial" w:cs="Arial" w:eastAsia="Arial" w:hAnsi="Arial"/>
          <w:sz w:val="16"/>
          <w:szCs w:val="16"/>
          <w:color w:val="0033A0"/>
        </w:rPr>
      </w:pPr>
      <w:r>
        <w:rPr>
          <w:rFonts w:ascii="Arial" w:cs="Arial" w:eastAsia="Arial" w:hAnsi="Arial"/>
          <w:sz w:val="16"/>
          <w:szCs w:val="16"/>
          <w:b w:val="1"/>
          <w:bCs w:val="1"/>
          <w:color w:val="0033A0"/>
        </w:rPr>
        <w:t xml:space="preserve">Comparable Target Compensation </w:t>
      </w:r>
      <w:r>
        <w:rPr>
          <w:rFonts w:ascii="Arial" w:cs="Arial" w:eastAsia="Arial" w:hAnsi="Arial"/>
          <w:sz w:val="16"/>
          <w:szCs w:val="16"/>
          <w:color w:val="000000"/>
        </w:rPr>
        <w:t>– Overall target compensation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should be competitive (market median) compared to individuals at peer group companies so that the Company can attract, motivate, and retain talent.</w:t>
      </w:r>
    </w:p>
    <w:p>
      <w:pPr>
        <w:spacing w:after="0" w:line="737" w:lineRule="exact"/>
        <w:rPr>
          <w:sz w:val="20"/>
          <w:szCs w:val="20"/>
          <w:color w:val="auto"/>
        </w:rPr>
      </w:pPr>
    </w:p>
    <w:p>
      <w:pPr>
        <w:sectPr>
          <w:pgSz w:w="11900" w:h="16838" w:orient="portrait"/>
          <w:cols w:equalWidth="0" w:num="2">
            <w:col w:w="5480" w:space="344"/>
            <w:col w:w="5396"/>
          </w:cols>
          <w:pgMar w:left="240" w:top="459" w:right="439" w:bottom="1440" w:gutter="0" w:footer="0" w:header="0"/>
          <w:type w:val="continuous"/>
        </w:sect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Compensation Elements</w:t>
      </w:r>
    </w:p>
    <w:p>
      <w:pPr>
        <w:spacing w:after="0" w:line="362" w:lineRule="exact"/>
        <w:rPr>
          <w:sz w:val="20"/>
          <w:szCs w:val="20"/>
          <w:color w:val="auto"/>
        </w:rPr>
      </w:pPr>
    </w:p>
    <w:p>
      <w:pPr>
        <w:ind w:left="640" w:hanging="430"/>
        <w:spacing w:after="0"/>
        <w:tabs>
          <w:tab w:leader="none" w:pos="640" w:val="left"/>
        </w:tabs>
        <w:numPr>
          <w:ilvl w:val="0"/>
          <w:numId w:val="67"/>
        </w:numPr>
        <w:rPr>
          <w:rFonts w:ascii="Arial" w:cs="Arial" w:eastAsia="Arial" w:hAnsi="Arial"/>
          <w:sz w:val="25"/>
          <w:szCs w:val="25"/>
          <w:color w:val="0033A0"/>
        </w:rPr>
      </w:pPr>
      <w:r>
        <w:rPr>
          <w:rFonts w:ascii="Arial" w:cs="Arial" w:eastAsia="Arial" w:hAnsi="Arial"/>
          <w:sz w:val="25"/>
          <w:szCs w:val="25"/>
          <w:color w:val="auto"/>
        </w:rPr>
        <w:t>Compensation Structure</w:t>
      </w:r>
    </w:p>
    <w:p>
      <w:pPr>
        <w:spacing w:after="0" w:line="225"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The NEOs 2018 compensation structure is market competitive with each pay element targeted at or near the market median. The 2018 compensation structure included the following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139700</wp:posOffset>
            </wp:positionV>
            <wp:extent cx="6167120" cy="29121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67120" cy="291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40" w:hanging="430"/>
        <w:spacing w:after="0"/>
        <w:tabs>
          <w:tab w:leader="none" w:pos="640" w:val="left"/>
        </w:tabs>
        <w:numPr>
          <w:ilvl w:val="0"/>
          <w:numId w:val="68"/>
        </w:numPr>
        <w:rPr>
          <w:rFonts w:ascii="Arial" w:cs="Arial" w:eastAsia="Arial" w:hAnsi="Arial"/>
          <w:sz w:val="25"/>
          <w:szCs w:val="25"/>
          <w:color w:val="0033A0"/>
        </w:rPr>
      </w:pPr>
      <w:r>
        <w:rPr>
          <w:rFonts w:ascii="Arial" w:cs="Arial" w:eastAsia="Arial" w:hAnsi="Arial"/>
          <w:sz w:val="25"/>
          <w:szCs w:val="25"/>
          <w:color w:val="auto"/>
        </w:rPr>
        <w:t>Perquisites and Other Compensation</w:t>
      </w:r>
    </w:p>
    <w:p>
      <w:pPr>
        <w:spacing w:after="0" w:line="185"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We provide perquisites and other compensation to our NEOs consistent with market practices. The following perquisites and other compensation were provided to NEOs in 2018:</w:t>
      </w:r>
    </w:p>
    <w:p>
      <w:pPr>
        <w:spacing w:after="0" w:line="80" w:lineRule="exact"/>
        <w:rPr>
          <w:sz w:val="20"/>
          <w:szCs w:val="20"/>
          <w:color w:val="auto"/>
        </w:rPr>
      </w:pPr>
    </w:p>
    <w:p>
      <w:pPr>
        <w:jc w:val="both"/>
        <w:ind w:left="420" w:hanging="210"/>
        <w:spacing w:after="0" w:line="259" w:lineRule="auto"/>
        <w:tabs>
          <w:tab w:leader="none" w:pos="420" w:val="left"/>
        </w:tabs>
        <w:numPr>
          <w:ilvl w:val="0"/>
          <w:numId w:val="69"/>
        </w:numPr>
        <w:rPr>
          <w:rFonts w:ascii="Arial" w:cs="Arial" w:eastAsia="Arial" w:hAnsi="Arial"/>
          <w:sz w:val="16"/>
          <w:szCs w:val="16"/>
          <w:color w:val="0033A0"/>
        </w:rPr>
      </w:pPr>
      <w:r>
        <w:rPr>
          <w:rFonts w:ascii="Arial" w:cs="Arial" w:eastAsia="Arial" w:hAnsi="Arial"/>
          <w:sz w:val="16"/>
          <w:szCs w:val="16"/>
          <w:b w:val="1"/>
          <w:bCs w:val="1"/>
          <w:color w:val="0033A0"/>
        </w:rPr>
        <w:t xml:space="preserve">Personal Air Travel </w:t>
      </w:r>
      <w:r>
        <w:rPr>
          <w:rFonts w:ascii="Arial" w:cs="Arial" w:eastAsia="Arial" w:hAnsi="Arial"/>
          <w:sz w:val="16"/>
          <w:szCs w:val="16"/>
          <w:color w:val="000000"/>
        </w:rPr>
        <w:t>– Ms. Barra is prohibited by Company policy from commercial air travel due to security reasons identified by an independent third-party security consultant. As a result, the Company pays the costs associated with the use of private aircraft for both business and personal use. Other NEOs may travel on private aircraft in certain circumstances with prior approval from the CEO or the Senior Vice President, Global Human Resources. All NEOs incur imputed income for any personal travel.</w:t>
      </w:r>
    </w:p>
    <w:p>
      <w:pPr>
        <w:sectPr>
          <w:pgSz w:w="11900" w:h="16838" w:orient="portrait"/>
          <w:cols w:equalWidth="0" w:num="1">
            <w:col w:w="11220"/>
          </w:cols>
          <w:pgMar w:left="240" w:top="459" w:right="439" w:bottom="1440" w:gutter="0" w:footer="0" w:header="0"/>
          <w:type w:val="continuous"/>
        </w:sectPr>
      </w:pPr>
    </w:p>
    <w:p>
      <w:pPr>
        <w:spacing w:after="0" w:line="102"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44 </w:t>
      </w:r>
      <w:r>
        <w:rPr>
          <w:sz w:val="1"/>
          <w:szCs w:val="1"/>
          <w:color w:val="auto"/>
        </w:rPr>
        <w:drawing>
          <wp:inline distT="0" distB="0" distL="0" distR="0">
            <wp:extent cx="6852920" cy="14541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00" w:lineRule="exact"/>
        <w:rPr>
          <w:sz w:val="20"/>
          <w:szCs w:val="20"/>
          <w:color w:val="auto"/>
        </w:rPr>
      </w:pPr>
    </w:p>
    <w:p>
      <w:pPr>
        <w:jc w:val="both"/>
        <w:ind w:left="420" w:hanging="210"/>
        <w:spacing w:after="0" w:line="266" w:lineRule="auto"/>
        <w:tabs>
          <w:tab w:leader="none" w:pos="420" w:val="left"/>
        </w:tabs>
        <w:numPr>
          <w:ilvl w:val="0"/>
          <w:numId w:val="70"/>
        </w:numPr>
        <w:rPr>
          <w:rFonts w:ascii="Arial" w:cs="Arial" w:eastAsia="Arial" w:hAnsi="Arial"/>
          <w:sz w:val="16"/>
          <w:szCs w:val="16"/>
          <w:color w:val="0033A0"/>
        </w:rPr>
      </w:pPr>
      <w:r>
        <w:rPr>
          <w:rFonts w:ascii="Arial" w:cs="Arial" w:eastAsia="Arial" w:hAnsi="Arial"/>
          <w:sz w:val="16"/>
          <w:szCs w:val="16"/>
          <w:b w:val="1"/>
          <w:bCs w:val="1"/>
          <w:color w:val="0033A0"/>
        </w:rPr>
        <w:t xml:space="preserve">Company Vehicle Programs </w:t>
      </w:r>
      <w:r>
        <w:rPr>
          <w:rFonts w:ascii="Arial" w:cs="Arial" w:eastAsia="Arial" w:hAnsi="Arial"/>
          <w:sz w:val="16"/>
          <w:szCs w:val="16"/>
          <w:color w:val="000000"/>
        </w:rPr>
        <w:t>– NEOs are eligible to participate in the Executive Company Vehicle Program and may use evaluation vehicles for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purpose of providing feedback on Company products. In addition, NEOs are eligible to use driver services provided by the Company and in accordance with Company policies.</w:t>
      </w:r>
    </w:p>
    <w:p>
      <w:pPr>
        <w:spacing w:after="0" w:line="22" w:lineRule="exact"/>
        <w:rPr>
          <w:rFonts w:ascii="Arial" w:cs="Arial" w:eastAsia="Arial" w:hAnsi="Arial"/>
          <w:sz w:val="16"/>
          <w:szCs w:val="16"/>
          <w:color w:val="0033A0"/>
        </w:rPr>
      </w:pPr>
    </w:p>
    <w:p>
      <w:pPr>
        <w:jc w:val="both"/>
        <w:ind w:left="420" w:hanging="210"/>
        <w:spacing w:after="0" w:line="266" w:lineRule="auto"/>
        <w:tabs>
          <w:tab w:leader="none" w:pos="420" w:val="left"/>
        </w:tabs>
        <w:numPr>
          <w:ilvl w:val="0"/>
          <w:numId w:val="70"/>
        </w:numPr>
        <w:rPr>
          <w:rFonts w:ascii="Arial" w:cs="Arial" w:eastAsia="Arial" w:hAnsi="Arial"/>
          <w:sz w:val="16"/>
          <w:szCs w:val="16"/>
          <w:color w:val="0033A0"/>
        </w:rPr>
      </w:pPr>
      <w:r>
        <w:rPr>
          <w:rFonts w:ascii="Arial" w:cs="Arial" w:eastAsia="Arial" w:hAnsi="Arial"/>
          <w:sz w:val="16"/>
          <w:szCs w:val="16"/>
          <w:b w:val="1"/>
          <w:bCs w:val="1"/>
          <w:color w:val="0033A0"/>
        </w:rPr>
        <w:t xml:space="preserve">Security </w:t>
      </w:r>
      <w:r>
        <w:rPr>
          <w:rFonts w:ascii="Arial" w:cs="Arial" w:eastAsia="Arial" w:hAnsi="Arial"/>
          <w:sz w:val="16"/>
          <w:szCs w:val="16"/>
          <w:color w:val="000000"/>
        </w:rPr>
        <w:t>– NEOs may receive security services, including home security systems and monitoring, for specific security-related reasons identified by</w:t>
      </w:r>
      <w:r>
        <w:rPr>
          <w:rFonts w:ascii="Arial" w:cs="Arial" w:eastAsia="Arial" w:hAnsi="Arial"/>
          <w:sz w:val="16"/>
          <w:szCs w:val="16"/>
          <w:b w:val="1"/>
          <w:bCs w:val="1"/>
          <w:color w:val="0033A0"/>
        </w:rPr>
        <w:t xml:space="preserve"> </w:t>
      </w:r>
      <w:r>
        <w:rPr>
          <w:rFonts w:ascii="Arial" w:cs="Arial" w:eastAsia="Arial" w:hAnsi="Arial"/>
          <w:sz w:val="16"/>
          <w:szCs w:val="16"/>
          <w:color w:val="000000"/>
        </w:rPr>
        <w:t>independent third-party security consultants. We maintain security staff in order to provide all employees with a safe and secure environment to align with and reinforce our safety culture.</w:t>
      </w:r>
    </w:p>
    <w:p>
      <w:pPr>
        <w:spacing w:after="0" w:line="22" w:lineRule="exact"/>
        <w:rPr>
          <w:rFonts w:ascii="Arial" w:cs="Arial" w:eastAsia="Arial" w:hAnsi="Arial"/>
          <w:sz w:val="16"/>
          <w:szCs w:val="16"/>
          <w:color w:val="0033A0"/>
        </w:rPr>
      </w:pPr>
    </w:p>
    <w:p>
      <w:pPr>
        <w:ind w:left="420" w:hanging="210"/>
        <w:spacing w:after="0"/>
        <w:tabs>
          <w:tab w:leader="none" w:pos="420" w:val="left"/>
        </w:tabs>
        <w:numPr>
          <w:ilvl w:val="0"/>
          <w:numId w:val="70"/>
        </w:numPr>
        <w:rPr>
          <w:rFonts w:ascii="Arial" w:cs="Arial" w:eastAsia="Arial" w:hAnsi="Arial"/>
          <w:sz w:val="16"/>
          <w:szCs w:val="16"/>
          <w:color w:val="0033A0"/>
        </w:rPr>
      </w:pPr>
      <w:r>
        <w:rPr>
          <w:rFonts w:ascii="Arial" w:cs="Arial" w:eastAsia="Arial" w:hAnsi="Arial"/>
          <w:sz w:val="16"/>
          <w:szCs w:val="16"/>
          <w:b w:val="1"/>
          <w:bCs w:val="1"/>
          <w:color w:val="0033A0"/>
        </w:rPr>
        <w:t xml:space="preserve">Financial Counseling </w:t>
      </w:r>
      <w:r>
        <w:rPr>
          <w:rFonts w:ascii="Arial" w:cs="Arial" w:eastAsia="Arial" w:hAnsi="Arial"/>
          <w:sz w:val="16"/>
          <w:szCs w:val="16"/>
          <w:color w:val="000000"/>
        </w:rPr>
        <w:t>– NEOs are eligible to receive financial counseling, estate planning, and tax preparation services through an approved provider.</w:t>
      </w:r>
    </w:p>
    <w:p>
      <w:pPr>
        <w:spacing w:after="0" w:line="72" w:lineRule="exact"/>
        <w:rPr>
          <w:rFonts w:ascii="Arial" w:cs="Arial" w:eastAsia="Arial" w:hAnsi="Arial"/>
          <w:sz w:val="16"/>
          <w:szCs w:val="16"/>
          <w:color w:val="0033A0"/>
        </w:rPr>
      </w:pPr>
    </w:p>
    <w:p>
      <w:pPr>
        <w:ind w:left="420" w:hanging="210"/>
        <w:spacing w:after="0"/>
        <w:tabs>
          <w:tab w:leader="none" w:pos="420" w:val="left"/>
        </w:tabs>
        <w:numPr>
          <w:ilvl w:val="0"/>
          <w:numId w:val="70"/>
        </w:numPr>
        <w:rPr>
          <w:rFonts w:ascii="Arial" w:cs="Arial" w:eastAsia="Arial" w:hAnsi="Arial"/>
          <w:sz w:val="16"/>
          <w:szCs w:val="16"/>
          <w:color w:val="0033A0"/>
        </w:rPr>
      </w:pPr>
      <w:r>
        <w:rPr>
          <w:rFonts w:ascii="Arial" w:cs="Arial" w:eastAsia="Arial" w:hAnsi="Arial"/>
          <w:sz w:val="16"/>
          <w:szCs w:val="16"/>
          <w:b w:val="1"/>
          <w:bCs w:val="1"/>
          <w:color w:val="0033A0"/>
        </w:rPr>
        <w:t xml:space="preserve">Executive Physicals </w:t>
      </w:r>
      <w:r>
        <w:rPr>
          <w:rFonts w:ascii="Arial" w:cs="Arial" w:eastAsia="Arial" w:hAnsi="Arial"/>
          <w:sz w:val="16"/>
          <w:szCs w:val="16"/>
          <w:color w:val="000000"/>
        </w:rPr>
        <w:t>– NEOs are eligible to receive executive physicals with an approved provider.</w:t>
      </w:r>
    </w:p>
    <w:p>
      <w:pPr>
        <w:spacing w:after="0" w:line="362" w:lineRule="exact"/>
        <w:rPr>
          <w:sz w:val="20"/>
          <w:szCs w:val="20"/>
          <w:color w:val="auto"/>
        </w:rPr>
      </w:pPr>
    </w:p>
    <w:p>
      <w:pPr>
        <w:ind w:left="640" w:hanging="430"/>
        <w:spacing w:after="0"/>
        <w:tabs>
          <w:tab w:leader="none" w:pos="640" w:val="left"/>
        </w:tabs>
        <w:numPr>
          <w:ilvl w:val="0"/>
          <w:numId w:val="71"/>
        </w:numPr>
        <w:rPr>
          <w:rFonts w:ascii="Arial" w:cs="Arial" w:eastAsia="Arial" w:hAnsi="Arial"/>
          <w:sz w:val="25"/>
          <w:szCs w:val="25"/>
          <w:color w:val="0033A0"/>
        </w:rPr>
      </w:pPr>
      <w:r>
        <w:rPr>
          <w:rFonts w:ascii="Arial" w:cs="Arial" w:eastAsia="Arial" w:hAnsi="Arial"/>
          <w:sz w:val="25"/>
          <w:szCs w:val="25"/>
          <w:color w:val="auto"/>
        </w:rPr>
        <w:t>2018 Target Compensation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target total direct compensation for each NEO in 2018 was as follows:</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160" w:type="dxa"/>
            <w:vAlign w:val="bottom"/>
            <w:tcBorders>
              <w:top w:val="single" w:sz="8" w:color="00A1DF"/>
            </w:tcBorders>
          </w:tcPr>
          <w:p>
            <w:pPr>
              <w:spacing w:after="0"/>
              <w:rPr>
                <w:sz w:val="15"/>
                <w:szCs w:val="15"/>
                <w:color w:val="auto"/>
              </w:rPr>
            </w:pPr>
          </w:p>
        </w:tc>
        <w:tc>
          <w:tcPr>
            <w:tcW w:w="1720" w:type="dxa"/>
            <w:vAlign w:val="bottom"/>
            <w:tcBorders>
              <w:top w:val="single" w:sz="8" w:color="00A1DF"/>
            </w:tcBorders>
          </w:tcPr>
          <w:p>
            <w:pPr>
              <w:spacing w:after="0"/>
              <w:rPr>
                <w:sz w:val="15"/>
                <w:szCs w:val="15"/>
                <w:color w:val="auto"/>
              </w:rPr>
            </w:pPr>
          </w:p>
        </w:tc>
        <w:tc>
          <w:tcPr>
            <w:tcW w:w="1040" w:type="dxa"/>
            <w:vAlign w:val="bottom"/>
            <w:tcBorders>
              <w:top w:val="single" w:sz="8" w:color="00A1DF"/>
            </w:tcBorders>
          </w:tcPr>
          <w:p>
            <w:pPr>
              <w:spacing w:after="0"/>
              <w:rPr>
                <w:sz w:val="15"/>
                <w:szCs w:val="15"/>
                <w:color w:val="auto"/>
              </w:rPr>
            </w:pPr>
          </w:p>
        </w:tc>
        <w:tc>
          <w:tcPr>
            <w:tcW w:w="1060" w:type="dxa"/>
            <w:vAlign w:val="bottom"/>
            <w:tcBorders>
              <w:top w:val="single" w:sz="8" w:color="00A1DF"/>
            </w:tcBorders>
          </w:tcPr>
          <w:p>
            <w:pPr>
              <w:spacing w:after="0"/>
              <w:rPr>
                <w:sz w:val="15"/>
                <w:szCs w:val="15"/>
                <w:color w:val="auto"/>
              </w:rPr>
            </w:pPr>
          </w:p>
        </w:tc>
        <w:tc>
          <w:tcPr>
            <w:tcW w:w="1740" w:type="dxa"/>
            <w:vAlign w:val="bottom"/>
            <w:tcBorders>
              <w:top w:val="single" w:sz="8" w:color="00A1DF"/>
              <w:bottom w:val="single" w:sz="8" w:color="00A1DF"/>
            </w:tcBorders>
            <w:vMerge w:val="restart"/>
          </w:tcPr>
          <w:p>
            <w:pPr>
              <w:jc w:val="right"/>
              <w:ind w:right="291"/>
              <w:spacing w:after="0"/>
              <w:rPr>
                <w:sz w:val="20"/>
                <w:szCs w:val="20"/>
                <w:color w:val="auto"/>
              </w:rPr>
            </w:pPr>
            <w:r>
              <w:rPr>
                <w:rFonts w:ascii="Arial" w:cs="Arial" w:eastAsia="Arial" w:hAnsi="Arial"/>
                <w:sz w:val="15"/>
                <w:szCs w:val="15"/>
                <w:b w:val="1"/>
                <w:bCs w:val="1"/>
                <w:color w:val="00A1DF"/>
              </w:rPr>
              <w:t>Target Total Cash</w:t>
            </w:r>
          </w:p>
        </w:tc>
        <w:tc>
          <w:tcPr>
            <w:tcW w:w="124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LTIP</w:t>
            </w:r>
          </w:p>
        </w:tc>
        <w:tc>
          <w:tcPr>
            <w:tcW w:w="760" w:type="dxa"/>
            <w:vAlign w:val="bottom"/>
            <w:tcBorders>
              <w:top w:val="single" w:sz="8" w:color="00A1DF"/>
              <w:bottom w:val="single" w:sz="8" w:color="00A1DF"/>
            </w:tcBorders>
          </w:tcPr>
          <w:p>
            <w:pPr>
              <w:spacing w:after="0"/>
              <w:rPr>
                <w:sz w:val="15"/>
                <w:szCs w:val="15"/>
                <w:color w:val="auto"/>
              </w:rPr>
            </w:pPr>
          </w:p>
        </w:tc>
        <w:tc>
          <w:tcPr>
            <w:tcW w:w="1280" w:type="dxa"/>
            <w:vAlign w:val="bottom"/>
            <w:tcBorders>
              <w:top w:val="single" w:sz="8" w:color="00A1DF"/>
              <w:bottom w:val="single" w:sz="8" w:color="00A1DF"/>
            </w:tcBorders>
            <w:vMerge w:val="restart"/>
          </w:tcPr>
          <w:p>
            <w:pPr>
              <w:jc w:val="right"/>
              <w:spacing w:after="0"/>
              <w:rPr>
                <w:sz w:val="20"/>
                <w:szCs w:val="20"/>
                <w:color w:val="auto"/>
              </w:rPr>
            </w:pPr>
            <w:r>
              <w:rPr>
                <w:rFonts w:ascii="Arial" w:cs="Arial" w:eastAsia="Arial" w:hAnsi="Arial"/>
                <w:sz w:val="15"/>
                <w:szCs w:val="15"/>
                <w:b w:val="1"/>
                <w:bCs w:val="1"/>
                <w:color w:val="00A1DF"/>
              </w:rPr>
              <w:t>Target Total</w:t>
            </w: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720" w:type="dxa"/>
            <w:vAlign w:val="bottom"/>
            <w:vMerge w:val="restart"/>
          </w:tcPr>
          <w:p>
            <w:pPr>
              <w:jc w:val="right"/>
              <w:ind w:right="184"/>
              <w:spacing w:after="0" w:line="159" w:lineRule="exact"/>
              <w:rPr>
                <w:sz w:val="20"/>
                <w:szCs w:val="20"/>
                <w:color w:val="auto"/>
              </w:rPr>
            </w:pPr>
            <w:r>
              <w:rPr>
                <w:rFonts w:ascii="Arial" w:cs="Arial" w:eastAsia="Arial" w:hAnsi="Arial"/>
                <w:sz w:val="15"/>
                <w:szCs w:val="15"/>
                <w:b w:val="1"/>
                <w:bCs w:val="1"/>
                <w:color w:val="00A1DF"/>
              </w:rPr>
              <w:t>Base Salary</w:t>
            </w:r>
          </w:p>
        </w:tc>
        <w:tc>
          <w:tcPr>
            <w:tcW w:w="1040" w:type="dxa"/>
            <w:vAlign w:val="bottom"/>
            <w:vMerge w:val="restart"/>
          </w:tcPr>
          <w:p>
            <w:pPr>
              <w:jc w:val="right"/>
              <w:ind w:right="344"/>
              <w:spacing w:after="0" w:line="159" w:lineRule="exact"/>
              <w:rPr>
                <w:sz w:val="20"/>
                <w:szCs w:val="20"/>
                <w:color w:val="auto"/>
              </w:rPr>
            </w:pPr>
            <w:r>
              <w:rPr>
                <w:rFonts w:ascii="Arial" w:cs="Arial" w:eastAsia="Arial" w:hAnsi="Arial"/>
                <w:sz w:val="15"/>
                <w:szCs w:val="15"/>
                <w:b w:val="1"/>
                <w:bCs w:val="1"/>
                <w:color w:val="00A1DF"/>
              </w:rPr>
              <w:t>STIP</w:t>
            </w:r>
          </w:p>
        </w:tc>
        <w:tc>
          <w:tcPr>
            <w:tcW w:w="1060" w:type="dxa"/>
            <w:vAlign w:val="bottom"/>
            <w:vMerge w:val="restart"/>
          </w:tcPr>
          <w:p>
            <w:pPr>
              <w:jc w:val="right"/>
              <w:ind w:right="24"/>
              <w:spacing w:after="0" w:line="159" w:lineRule="exact"/>
              <w:rPr>
                <w:sz w:val="20"/>
                <w:szCs w:val="20"/>
                <w:color w:val="auto"/>
              </w:rPr>
            </w:pPr>
            <w:r>
              <w:rPr>
                <w:rFonts w:ascii="Arial" w:cs="Arial" w:eastAsia="Arial" w:hAnsi="Arial"/>
                <w:sz w:val="15"/>
                <w:szCs w:val="15"/>
                <w:b w:val="1"/>
                <w:bCs w:val="1"/>
                <w:color w:val="00A1DF"/>
              </w:rPr>
              <w:t>STIP</w:t>
            </w:r>
          </w:p>
        </w:tc>
        <w:tc>
          <w:tcPr>
            <w:tcW w:w="1740" w:type="dxa"/>
            <w:vAlign w:val="bottom"/>
            <w:vMerge w:val="continue"/>
          </w:tcPr>
          <w:p>
            <w:pPr>
              <w:spacing w:after="0"/>
              <w:rPr>
                <w:sz w:val="11"/>
                <w:szCs w:val="11"/>
                <w:color w:val="auto"/>
              </w:rPr>
            </w:pPr>
          </w:p>
        </w:tc>
        <w:tc>
          <w:tcPr>
            <w:tcW w:w="1240" w:type="dxa"/>
            <w:vAlign w:val="bottom"/>
            <w:vMerge w:val="restart"/>
          </w:tcPr>
          <w:p>
            <w:pPr>
              <w:jc w:val="right"/>
              <w:ind w:right="345"/>
              <w:spacing w:after="0" w:line="159" w:lineRule="exact"/>
              <w:rPr>
                <w:sz w:val="20"/>
                <w:szCs w:val="20"/>
                <w:color w:val="auto"/>
              </w:rPr>
            </w:pPr>
            <w:r>
              <w:rPr>
                <w:rFonts w:ascii="Arial" w:cs="Arial" w:eastAsia="Arial" w:hAnsi="Arial"/>
                <w:sz w:val="15"/>
                <w:szCs w:val="15"/>
                <w:b w:val="1"/>
                <w:bCs w:val="1"/>
                <w:color w:val="00A1DF"/>
              </w:rPr>
              <w:t>PSUs</w:t>
            </w:r>
          </w:p>
        </w:tc>
        <w:tc>
          <w:tcPr>
            <w:tcW w:w="76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Stock</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740" w:type="dxa"/>
            <w:vAlign w:val="bottom"/>
          </w:tcPr>
          <w:p>
            <w:pPr>
              <w:jc w:val="right"/>
              <w:ind w:right="291"/>
              <w:spacing w:after="0"/>
              <w:rPr>
                <w:sz w:val="20"/>
                <w:szCs w:val="20"/>
                <w:color w:val="auto"/>
              </w:rPr>
            </w:pPr>
            <w:r>
              <w:rPr>
                <w:rFonts w:ascii="Arial" w:cs="Arial" w:eastAsia="Arial" w:hAnsi="Arial"/>
                <w:sz w:val="2"/>
                <w:szCs w:val="2"/>
                <w:b w:val="1"/>
                <w:bCs w:val="1"/>
                <w:color w:val="00A1DF"/>
              </w:rPr>
              <w:t>Compensation</w:t>
            </w:r>
          </w:p>
        </w:tc>
        <w:tc>
          <w:tcPr>
            <w:tcW w:w="1240" w:type="dxa"/>
            <w:vAlign w:val="bottom"/>
            <w:vMerge w:val="continue"/>
          </w:tcPr>
          <w:p>
            <w:pPr>
              <w:spacing w:after="0"/>
              <w:rPr>
                <w:sz w:val="2"/>
                <w:szCs w:val="2"/>
                <w:color w:val="auto"/>
              </w:rPr>
            </w:pPr>
          </w:p>
        </w:tc>
        <w:tc>
          <w:tcPr>
            <w:tcW w:w="760" w:type="dxa"/>
            <w:vAlign w:val="bottom"/>
          </w:tcPr>
          <w:p>
            <w:pPr>
              <w:jc w:val="right"/>
              <w:spacing w:after="0"/>
              <w:rPr>
                <w:sz w:val="20"/>
                <w:szCs w:val="20"/>
                <w:color w:val="auto"/>
              </w:rPr>
            </w:pPr>
            <w:r>
              <w:rPr>
                <w:rFonts w:ascii="Arial" w:cs="Arial" w:eastAsia="Arial" w:hAnsi="Arial"/>
                <w:sz w:val="2"/>
                <w:szCs w:val="2"/>
                <w:b w:val="1"/>
                <w:bCs w:val="1"/>
                <w:color w:val="00A1DF"/>
              </w:rPr>
              <w:t>Options</w:t>
            </w:r>
          </w:p>
        </w:tc>
        <w:tc>
          <w:tcPr>
            <w:tcW w:w="1280" w:type="dxa"/>
            <w:vAlign w:val="bottom"/>
          </w:tcPr>
          <w:p>
            <w:pPr>
              <w:jc w:val="right"/>
              <w:spacing w:after="0"/>
              <w:rPr>
                <w:sz w:val="20"/>
                <w:szCs w:val="20"/>
                <w:color w:val="auto"/>
              </w:rPr>
            </w:pPr>
            <w:r>
              <w:rPr>
                <w:rFonts w:ascii="Arial" w:cs="Arial" w:eastAsia="Arial" w:hAnsi="Arial"/>
                <w:sz w:val="2"/>
                <w:szCs w:val="2"/>
                <w:b w:val="1"/>
                <w:bCs w:val="1"/>
                <w:color w:val="00A1DF"/>
              </w:rPr>
              <w:t>Compensation</w:t>
            </w:r>
          </w:p>
        </w:tc>
        <w:tc>
          <w:tcPr>
            <w:tcW w:w="0" w:type="dxa"/>
            <w:vAlign w:val="bottom"/>
          </w:tcPr>
          <w:p>
            <w:pPr>
              <w:spacing w:after="0" w:line="20" w:lineRule="exact"/>
              <w:rPr>
                <w:sz w:val="1"/>
                <w:szCs w:val="1"/>
                <w:color w:val="auto"/>
              </w:rPr>
            </w:pPr>
          </w:p>
        </w:tc>
      </w:tr>
      <w:tr>
        <w:trPr>
          <w:trHeight w:val="137"/>
        </w:trPr>
        <w:tc>
          <w:tcPr>
            <w:tcW w:w="2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40" w:type="dxa"/>
            <w:vAlign w:val="bottom"/>
          </w:tcPr>
          <w:p>
            <w:pPr>
              <w:jc w:val="right"/>
              <w:ind w:right="185"/>
              <w:spacing w:after="0" w:line="137" w:lineRule="exact"/>
              <w:rPr>
                <w:sz w:val="20"/>
                <w:szCs w:val="20"/>
                <w:color w:val="auto"/>
              </w:rPr>
            </w:pPr>
            <w:r>
              <w:rPr>
                <w:rFonts w:ascii="Arial" w:cs="Arial" w:eastAsia="Arial" w:hAnsi="Arial"/>
                <w:sz w:val="13"/>
                <w:szCs w:val="13"/>
                <w:b w:val="1"/>
                <w:bCs w:val="1"/>
                <w:color w:val="00A1DF"/>
              </w:rPr>
              <w:t>(1)</w:t>
            </w:r>
          </w:p>
        </w:tc>
        <w:tc>
          <w:tcPr>
            <w:tcW w:w="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16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720" w:type="dxa"/>
            <w:vAlign w:val="bottom"/>
            <w:tcBorders>
              <w:bottom w:val="single" w:sz="8" w:color="00A1DF"/>
            </w:tcBorders>
          </w:tcPr>
          <w:p>
            <w:pPr>
              <w:jc w:val="right"/>
              <w:ind w:right="184"/>
              <w:spacing w:after="0"/>
              <w:rPr>
                <w:sz w:val="20"/>
                <w:szCs w:val="20"/>
                <w:color w:val="auto"/>
              </w:rPr>
            </w:pPr>
            <w:r>
              <w:rPr>
                <w:rFonts w:ascii="Arial" w:cs="Arial" w:eastAsia="Arial" w:hAnsi="Arial"/>
                <w:sz w:val="15"/>
                <w:szCs w:val="15"/>
                <w:b w:val="1"/>
                <w:bCs w:val="1"/>
                <w:color w:val="00A1DF"/>
              </w:rPr>
              <w:t>($)</w:t>
            </w:r>
          </w:p>
        </w:tc>
        <w:tc>
          <w:tcPr>
            <w:tcW w:w="1040" w:type="dxa"/>
            <w:vAlign w:val="bottom"/>
            <w:tcBorders>
              <w:bottom w:val="single" w:sz="8" w:color="00A1DF"/>
            </w:tcBorders>
          </w:tcPr>
          <w:p>
            <w:pPr>
              <w:jc w:val="right"/>
              <w:ind w:right="344"/>
              <w:spacing w:after="0"/>
              <w:rPr>
                <w:sz w:val="20"/>
                <w:szCs w:val="20"/>
                <w:color w:val="auto"/>
              </w:rPr>
            </w:pPr>
            <w:r>
              <w:rPr>
                <w:rFonts w:ascii="Arial" w:cs="Arial" w:eastAsia="Arial" w:hAnsi="Arial"/>
                <w:sz w:val="15"/>
                <w:szCs w:val="15"/>
                <w:b w:val="1"/>
                <w:bCs w:val="1"/>
                <w:color w:val="00A1DF"/>
              </w:rPr>
              <w:t>(%)</w:t>
            </w:r>
          </w:p>
        </w:tc>
        <w:tc>
          <w:tcPr>
            <w:tcW w:w="1060" w:type="dxa"/>
            <w:vAlign w:val="bottom"/>
            <w:tcBorders>
              <w:bottom w:val="single" w:sz="8" w:color="00A1DF"/>
            </w:tcBorders>
          </w:tcPr>
          <w:p>
            <w:pPr>
              <w:jc w:val="right"/>
              <w:ind w:right="24"/>
              <w:spacing w:after="0"/>
              <w:rPr>
                <w:sz w:val="20"/>
                <w:szCs w:val="20"/>
                <w:color w:val="auto"/>
              </w:rPr>
            </w:pPr>
            <w:r>
              <w:rPr>
                <w:rFonts w:ascii="Arial" w:cs="Arial" w:eastAsia="Arial" w:hAnsi="Arial"/>
                <w:sz w:val="15"/>
                <w:szCs w:val="15"/>
                <w:b w:val="1"/>
                <w:bCs w:val="1"/>
                <w:color w:val="00A1DF"/>
              </w:rPr>
              <w:t>($)</w:t>
            </w:r>
          </w:p>
        </w:tc>
        <w:tc>
          <w:tcPr>
            <w:tcW w:w="1740" w:type="dxa"/>
            <w:vAlign w:val="bottom"/>
            <w:tcBorders>
              <w:bottom w:val="single" w:sz="8" w:color="00A1DF"/>
            </w:tcBorders>
          </w:tcPr>
          <w:p>
            <w:pPr>
              <w:jc w:val="right"/>
              <w:ind w:right="291"/>
              <w:spacing w:after="0"/>
              <w:rPr>
                <w:sz w:val="20"/>
                <w:szCs w:val="20"/>
                <w:color w:val="auto"/>
              </w:rPr>
            </w:pPr>
            <w:r>
              <w:rPr>
                <w:rFonts w:ascii="Arial" w:cs="Arial" w:eastAsia="Arial" w:hAnsi="Arial"/>
                <w:sz w:val="15"/>
                <w:szCs w:val="15"/>
                <w:b w:val="1"/>
                <w:bCs w:val="1"/>
                <w:color w:val="00A1DF"/>
              </w:rPr>
              <w:t>($)</w:t>
            </w:r>
          </w:p>
        </w:tc>
        <w:tc>
          <w:tcPr>
            <w:tcW w:w="1240" w:type="dxa"/>
            <w:vAlign w:val="bottom"/>
            <w:tcBorders>
              <w:bottom w:val="single" w:sz="8" w:color="00A1DF"/>
            </w:tcBorders>
          </w:tcPr>
          <w:p>
            <w:pPr>
              <w:jc w:val="right"/>
              <w:ind w:right="185"/>
              <w:spacing w:after="0"/>
              <w:rPr>
                <w:sz w:val="20"/>
                <w:szCs w:val="20"/>
                <w:color w:val="auto"/>
              </w:rPr>
            </w:pPr>
            <w:r>
              <w:rPr>
                <w:rFonts w:ascii="Arial" w:cs="Arial" w:eastAsia="Arial" w:hAnsi="Arial"/>
                <w:sz w:val="15"/>
                <w:szCs w:val="15"/>
                <w:b w:val="1"/>
                <w:bCs w:val="1"/>
                <w:color w:val="00A1DF"/>
              </w:rPr>
              <w:t>($)</w:t>
            </w:r>
          </w:p>
        </w:tc>
        <w:tc>
          <w:tcPr>
            <w:tcW w:w="76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w:t>
            </w:r>
          </w:p>
        </w:tc>
        <w:tc>
          <w:tcPr>
            <w:tcW w:w="128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215"/>
        </w:trPr>
        <w:tc>
          <w:tcPr>
            <w:tcW w:w="2160" w:type="dxa"/>
            <w:vAlign w:val="bottom"/>
          </w:tcPr>
          <w:p>
            <w:pPr>
              <w:ind w:left="60"/>
              <w:spacing w:after="0"/>
              <w:rPr>
                <w:sz w:val="20"/>
                <w:szCs w:val="20"/>
                <w:color w:val="auto"/>
              </w:rPr>
            </w:pPr>
            <w:r>
              <w:rPr>
                <w:rFonts w:ascii="Arial" w:cs="Arial" w:eastAsia="Arial" w:hAnsi="Arial"/>
                <w:sz w:val="15"/>
                <w:szCs w:val="15"/>
                <w:color w:val="auto"/>
              </w:rPr>
              <w:t>Mary T. Barra</w:t>
            </w:r>
          </w:p>
        </w:tc>
        <w:tc>
          <w:tcPr>
            <w:tcW w:w="1720" w:type="dxa"/>
            <w:vAlign w:val="bottom"/>
          </w:tcPr>
          <w:p>
            <w:pPr>
              <w:jc w:val="right"/>
              <w:ind w:right="184"/>
              <w:spacing w:after="0"/>
              <w:rPr>
                <w:sz w:val="20"/>
                <w:szCs w:val="20"/>
                <w:color w:val="auto"/>
              </w:rPr>
            </w:pPr>
            <w:r>
              <w:rPr>
                <w:rFonts w:ascii="Arial" w:cs="Arial" w:eastAsia="Arial" w:hAnsi="Arial"/>
                <w:sz w:val="15"/>
                <w:szCs w:val="15"/>
                <w:color w:val="auto"/>
              </w:rPr>
              <w:t>2,100,000</w:t>
            </w:r>
          </w:p>
        </w:tc>
        <w:tc>
          <w:tcPr>
            <w:tcW w:w="1040" w:type="dxa"/>
            <w:vAlign w:val="bottom"/>
          </w:tcPr>
          <w:p>
            <w:pPr>
              <w:jc w:val="right"/>
              <w:ind w:right="204"/>
              <w:spacing w:after="0"/>
              <w:rPr>
                <w:sz w:val="20"/>
                <w:szCs w:val="20"/>
                <w:color w:val="auto"/>
              </w:rPr>
            </w:pPr>
            <w:r>
              <w:rPr>
                <w:rFonts w:ascii="Arial" w:cs="Arial" w:eastAsia="Arial" w:hAnsi="Arial"/>
                <w:sz w:val="15"/>
                <w:szCs w:val="15"/>
                <w:color w:val="auto"/>
              </w:rPr>
              <w:t>200%</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4,200,000</w:t>
            </w:r>
          </w:p>
        </w:tc>
        <w:tc>
          <w:tcPr>
            <w:tcW w:w="1740" w:type="dxa"/>
            <w:vAlign w:val="bottom"/>
          </w:tcPr>
          <w:p>
            <w:pPr>
              <w:jc w:val="right"/>
              <w:ind w:right="291"/>
              <w:spacing w:after="0"/>
              <w:rPr>
                <w:sz w:val="20"/>
                <w:szCs w:val="20"/>
                <w:color w:val="auto"/>
              </w:rPr>
            </w:pPr>
            <w:r>
              <w:rPr>
                <w:rFonts w:ascii="Arial" w:cs="Arial" w:eastAsia="Arial" w:hAnsi="Arial"/>
                <w:sz w:val="15"/>
                <w:szCs w:val="15"/>
                <w:b w:val="1"/>
                <w:bCs w:val="1"/>
                <w:color w:val="auto"/>
              </w:rPr>
              <w:t>6,300,000</w:t>
            </w:r>
          </w:p>
        </w:tc>
        <w:tc>
          <w:tcPr>
            <w:tcW w:w="1240" w:type="dxa"/>
            <w:vAlign w:val="bottom"/>
          </w:tcPr>
          <w:p>
            <w:pPr>
              <w:jc w:val="right"/>
              <w:ind w:right="185"/>
              <w:spacing w:after="0"/>
              <w:rPr>
                <w:sz w:val="20"/>
                <w:szCs w:val="20"/>
                <w:color w:val="auto"/>
              </w:rPr>
            </w:pPr>
            <w:r>
              <w:rPr>
                <w:rFonts w:ascii="Arial" w:cs="Arial" w:eastAsia="Arial" w:hAnsi="Arial"/>
                <w:sz w:val="15"/>
                <w:szCs w:val="15"/>
                <w:color w:val="auto"/>
              </w:rPr>
              <w:t>10,275,000</w:t>
            </w:r>
          </w:p>
        </w:tc>
        <w:tc>
          <w:tcPr>
            <w:tcW w:w="760" w:type="dxa"/>
            <w:vAlign w:val="bottom"/>
          </w:tcPr>
          <w:p>
            <w:pPr>
              <w:jc w:val="right"/>
              <w:spacing w:after="0"/>
              <w:rPr>
                <w:sz w:val="20"/>
                <w:szCs w:val="20"/>
                <w:color w:val="auto"/>
              </w:rPr>
            </w:pPr>
            <w:r>
              <w:rPr>
                <w:rFonts w:ascii="Arial" w:cs="Arial" w:eastAsia="Arial" w:hAnsi="Arial"/>
                <w:sz w:val="15"/>
                <w:szCs w:val="15"/>
                <w:color w:val="auto"/>
              </w:rPr>
              <w:t>3,425,000</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20,000,000</w:t>
            </w: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0"/>
              <w:spacing w:after="0"/>
              <w:rPr>
                <w:sz w:val="20"/>
                <w:szCs w:val="20"/>
                <w:color w:val="auto"/>
              </w:rPr>
            </w:pPr>
            <w:r>
              <w:rPr>
                <w:rFonts w:ascii="Arial" w:cs="Arial" w:eastAsia="Arial" w:hAnsi="Arial"/>
                <w:sz w:val="15"/>
                <w:szCs w:val="15"/>
                <w:color w:val="auto"/>
              </w:rPr>
              <w:t>Dhivya Suryadevara</w:t>
            </w:r>
          </w:p>
        </w:tc>
        <w:tc>
          <w:tcPr>
            <w:tcW w:w="1720" w:type="dxa"/>
            <w:vAlign w:val="bottom"/>
          </w:tcPr>
          <w:p>
            <w:pPr>
              <w:jc w:val="right"/>
              <w:ind w:right="184"/>
              <w:spacing w:after="0"/>
              <w:rPr>
                <w:sz w:val="20"/>
                <w:szCs w:val="20"/>
                <w:color w:val="auto"/>
              </w:rPr>
            </w:pPr>
            <w:r>
              <w:rPr>
                <w:rFonts w:ascii="Arial" w:cs="Arial" w:eastAsia="Arial" w:hAnsi="Arial"/>
                <w:sz w:val="15"/>
                <w:szCs w:val="15"/>
                <w:color w:val="auto"/>
              </w:rPr>
              <w:t>900,000</w:t>
            </w:r>
          </w:p>
        </w:tc>
        <w:tc>
          <w:tcPr>
            <w:tcW w:w="10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1,125,000</w:t>
            </w:r>
          </w:p>
        </w:tc>
        <w:tc>
          <w:tcPr>
            <w:tcW w:w="1740" w:type="dxa"/>
            <w:vAlign w:val="bottom"/>
          </w:tcPr>
          <w:p>
            <w:pPr>
              <w:jc w:val="right"/>
              <w:ind w:right="291"/>
              <w:spacing w:after="0"/>
              <w:rPr>
                <w:sz w:val="20"/>
                <w:szCs w:val="20"/>
                <w:color w:val="auto"/>
              </w:rPr>
            </w:pPr>
            <w:r>
              <w:rPr>
                <w:rFonts w:ascii="Arial" w:cs="Arial" w:eastAsia="Arial" w:hAnsi="Arial"/>
                <w:sz w:val="15"/>
                <w:szCs w:val="15"/>
                <w:b w:val="1"/>
                <w:bCs w:val="1"/>
                <w:color w:val="auto"/>
              </w:rPr>
              <w:t>2,025,000</w:t>
            </w:r>
          </w:p>
        </w:tc>
        <w:tc>
          <w:tcPr>
            <w:tcW w:w="1240" w:type="dxa"/>
            <w:vAlign w:val="bottom"/>
          </w:tcPr>
          <w:p>
            <w:pPr>
              <w:jc w:val="right"/>
              <w:ind w:right="185"/>
              <w:spacing w:after="0"/>
              <w:rPr>
                <w:sz w:val="20"/>
                <w:szCs w:val="20"/>
                <w:color w:val="auto"/>
              </w:rPr>
            </w:pPr>
            <w:r>
              <w:rPr>
                <w:rFonts w:ascii="Arial" w:cs="Arial" w:eastAsia="Arial" w:hAnsi="Arial"/>
                <w:sz w:val="15"/>
                <w:szCs w:val="15"/>
                <w:color w:val="auto"/>
              </w:rPr>
              <w:t>2,231,250</w:t>
            </w:r>
          </w:p>
        </w:tc>
        <w:tc>
          <w:tcPr>
            <w:tcW w:w="760" w:type="dxa"/>
            <w:vAlign w:val="bottom"/>
          </w:tcPr>
          <w:p>
            <w:pPr>
              <w:jc w:val="right"/>
              <w:spacing w:after="0"/>
              <w:rPr>
                <w:sz w:val="20"/>
                <w:szCs w:val="20"/>
                <w:color w:val="auto"/>
              </w:rPr>
            </w:pPr>
            <w:r>
              <w:rPr>
                <w:rFonts w:ascii="Arial" w:cs="Arial" w:eastAsia="Arial" w:hAnsi="Arial"/>
                <w:sz w:val="15"/>
                <w:szCs w:val="15"/>
                <w:color w:val="auto"/>
              </w:rPr>
              <w:t>743,750</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5,000,000</w:t>
            </w: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0"/>
              <w:spacing w:after="0"/>
              <w:rPr>
                <w:sz w:val="20"/>
                <w:szCs w:val="20"/>
                <w:color w:val="auto"/>
              </w:rPr>
            </w:pPr>
            <w:r>
              <w:rPr>
                <w:rFonts w:ascii="Arial" w:cs="Arial" w:eastAsia="Arial" w:hAnsi="Arial"/>
                <w:sz w:val="15"/>
                <w:szCs w:val="15"/>
                <w:color w:val="auto"/>
              </w:rPr>
              <w:t>Daniel Ammann</w:t>
            </w:r>
          </w:p>
        </w:tc>
        <w:tc>
          <w:tcPr>
            <w:tcW w:w="1720" w:type="dxa"/>
            <w:vAlign w:val="bottom"/>
          </w:tcPr>
          <w:p>
            <w:pPr>
              <w:jc w:val="right"/>
              <w:ind w:right="184"/>
              <w:spacing w:after="0"/>
              <w:rPr>
                <w:sz w:val="20"/>
                <w:szCs w:val="20"/>
                <w:color w:val="auto"/>
              </w:rPr>
            </w:pPr>
            <w:r>
              <w:rPr>
                <w:rFonts w:ascii="Arial" w:cs="Arial" w:eastAsia="Arial" w:hAnsi="Arial"/>
                <w:sz w:val="15"/>
                <w:szCs w:val="15"/>
                <w:color w:val="auto"/>
              </w:rPr>
              <w:t>1,450,000</w:t>
            </w:r>
          </w:p>
        </w:tc>
        <w:tc>
          <w:tcPr>
            <w:tcW w:w="10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1,812,500</w:t>
            </w:r>
          </w:p>
        </w:tc>
        <w:tc>
          <w:tcPr>
            <w:tcW w:w="1740" w:type="dxa"/>
            <w:vAlign w:val="bottom"/>
          </w:tcPr>
          <w:p>
            <w:pPr>
              <w:jc w:val="right"/>
              <w:ind w:right="291"/>
              <w:spacing w:after="0"/>
              <w:rPr>
                <w:sz w:val="20"/>
                <w:szCs w:val="20"/>
                <w:color w:val="auto"/>
              </w:rPr>
            </w:pPr>
            <w:r>
              <w:rPr>
                <w:rFonts w:ascii="Arial" w:cs="Arial" w:eastAsia="Arial" w:hAnsi="Arial"/>
                <w:sz w:val="15"/>
                <w:szCs w:val="15"/>
                <w:b w:val="1"/>
                <w:bCs w:val="1"/>
                <w:color w:val="auto"/>
              </w:rPr>
              <w:t>3,262,500</w:t>
            </w:r>
          </w:p>
        </w:tc>
        <w:tc>
          <w:tcPr>
            <w:tcW w:w="1240" w:type="dxa"/>
            <w:vAlign w:val="bottom"/>
          </w:tcPr>
          <w:p>
            <w:pPr>
              <w:jc w:val="right"/>
              <w:ind w:right="185"/>
              <w:spacing w:after="0"/>
              <w:rPr>
                <w:sz w:val="20"/>
                <w:szCs w:val="20"/>
                <w:color w:val="auto"/>
              </w:rPr>
            </w:pPr>
            <w:r>
              <w:rPr>
                <w:rFonts w:ascii="Arial" w:cs="Arial" w:eastAsia="Arial" w:hAnsi="Arial"/>
                <w:sz w:val="15"/>
                <w:szCs w:val="15"/>
                <w:color w:val="auto"/>
              </w:rPr>
              <w:t>3,703,125</w:t>
            </w:r>
          </w:p>
        </w:tc>
        <w:tc>
          <w:tcPr>
            <w:tcW w:w="760" w:type="dxa"/>
            <w:vAlign w:val="bottom"/>
          </w:tcPr>
          <w:p>
            <w:pPr>
              <w:jc w:val="right"/>
              <w:spacing w:after="0"/>
              <w:rPr>
                <w:sz w:val="20"/>
                <w:szCs w:val="20"/>
                <w:color w:val="auto"/>
              </w:rPr>
            </w:pPr>
            <w:r>
              <w:rPr>
                <w:rFonts w:ascii="Arial" w:cs="Arial" w:eastAsia="Arial" w:hAnsi="Arial"/>
                <w:sz w:val="15"/>
                <w:szCs w:val="15"/>
                <w:color w:val="auto"/>
              </w:rPr>
              <w:t>1,234,375</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8,200,000</w:t>
            </w: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0"/>
              <w:spacing w:after="0"/>
              <w:rPr>
                <w:sz w:val="20"/>
                <w:szCs w:val="20"/>
                <w:color w:val="auto"/>
              </w:rPr>
            </w:pPr>
            <w:r>
              <w:rPr>
                <w:rFonts w:ascii="Arial" w:cs="Arial" w:eastAsia="Arial" w:hAnsi="Arial"/>
                <w:sz w:val="15"/>
                <w:szCs w:val="15"/>
                <w:color w:val="auto"/>
              </w:rPr>
              <w:t>Mark L. Reuss</w:t>
            </w:r>
          </w:p>
        </w:tc>
        <w:tc>
          <w:tcPr>
            <w:tcW w:w="1720" w:type="dxa"/>
            <w:vAlign w:val="bottom"/>
          </w:tcPr>
          <w:p>
            <w:pPr>
              <w:jc w:val="right"/>
              <w:ind w:right="184"/>
              <w:spacing w:after="0"/>
              <w:rPr>
                <w:sz w:val="20"/>
                <w:szCs w:val="20"/>
                <w:color w:val="auto"/>
              </w:rPr>
            </w:pPr>
            <w:r>
              <w:rPr>
                <w:rFonts w:ascii="Arial" w:cs="Arial" w:eastAsia="Arial" w:hAnsi="Arial"/>
                <w:sz w:val="15"/>
                <w:szCs w:val="15"/>
                <w:color w:val="auto"/>
              </w:rPr>
              <w:t>1,200,000</w:t>
            </w:r>
          </w:p>
        </w:tc>
        <w:tc>
          <w:tcPr>
            <w:tcW w:w="10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1,500,000</w:t>
            </w:r>
          </w:p>
        </w:tc>
        <w:tc>
          <w:tcPr>
            <w:tcW w:w="1740" w:type="dxa"/>
            <w:vAlign w:val="bottom"/>
          </w:tcPr>
          <w:p>
            <w:pPr>
              <w:jc w:val="right"/>
              <w:ind w:right="291"/>
              <w:spacing w:after="0"/>
              <w:rPr>
                <w:sz w:val="20"/>
                <w:szCs w:val="20"/>
                <w:color w:val="auto"/>
              </w:rPr>
            </w:pPr>
            <w:r>
              <w:rPr>
                <w:rFonts w:ascii="Arial" w:cs="Arial" w:eastAsia="Arial" w:hAnsi="Arial"/>
                <w:sz w:val="15"/>
                <w:szCs w:val="15"/>
                <w:b w:val="1"/>
                <w:bCs w:val="1"/>
                <w:color w:val="auto"/>
              </w:rPr>
              <w:t>2,700,000</w:t>
            </w:r>
          </w:p>
        </w:tc>
        <w:tc>
          <w:tcPr>
            <w:tcW w:w="1240" w:type="dxa"/>
            <w:vAlign w:val="bottom"/>
          </w:tcPr>
          <w:p>
            <w:pPr>
              <w:jc w:val="right"/>
              <w:ind w:right="185"/>
              <w:spacing w:after="0"/>
              <w:rPr>
                <w:sz w:val="20"/>
                <w:szCs w:val="20"/>
                <w:color w:val="auto"/>
              </w:rPr>
            </w:pPr>
            <w:r>
              <w:rPr>
                <w:rFonts w:ascii="Arial" w:cs="Arial" w:eastAsia="Arial" w:hAnsi="Arial"/>
                <w:sz w:val="15"/>
                <w:szCs w:val="15"/>
                <w:color w:val="auto"/>
              </w:rPr>
              <w:t>3,037,500</w:t>
            </w:r>
          </w:p>
        </w:tc>
        <w:tc>
          <w:tcPr>
            <w:tcW w:w="760" w:type="dxa"/>
            <w:vAlign w:val="bottom"/>
          </w:tcPr>
          <w:p>
            <w:pPr>
              <w:jc w:val="right"/>
              <w:spacing w:after="0"/>
              <w:rPr>
                <w:sz w:val="20"/>
                <w:szCs w:val="20"/>
                <w:color w:val="auto"/>
              </w:rPr>
            </w:pPr>
            <w:r>
              <w:rPr>
                <w:rFonts w:ascii="Arial" w:cs="Arial" w:eastAsia="Arial" w:hAnsi="Arial"/>
                <w:sz w:val="15"/>
                <w:szCs w:val="15"/>
                <w:color w:val="auto"/>
              </w:rPr>
              <w:t>1,012,500</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6,750,000</w:t>
            </w: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0"/>
              <w:spacing w:after="0"/>
              <w:rPr>
                <w:sz w:val="20"/>
                <w:szCs w:val="20"/>
                <w:color w:val="auto"/>
              </w:rPr>
            </w:pPr>
            <w:r>
              <w:rPr>
                <w:rFonts w:ascii="Arial" w:cs="Arial" w:eastAsia="Arial" w:hAnsi="Arial"/>
                <w:sz w:val="15"/>
                <w:szCs w:val="15"/>
                <w:color w:val="auto"/>
              </w:rPr>
              <w:t>Alan S. Batey</w:t>
            </w:r>
          </w:p>
        </w:tc>
        <w:tc>
          <w:tcPr>
            <w:tcW w:w="1720" w:type="dxa"/>
            <w:vAlign w:val="bottom"/>
          </w:tcPr>
          <w:p>
            <w:pPr>
              <w:jc w:val="right"/>
              <w:ind w:right="184"/>
              <w:spacing w:after="0"/>
              <w:rPr>
                <w:sz w:val="20"/>
                <w:szCs w:val="20"/>
                <w:color w:val="auto"/>
              </w:rPr>
            </w:pPr>
            <w:r>
              <w:rPr>
                <w:rFonts w:ascii="Arial" w:cs="Arial" w:eastAsia="Arial" w:hAnsi="Arial"/>
                <w:sz w:val="15"/>
                <w:szCs w:val="15"/>
                <w:color w:val="auto"/>
              </w:rPr>
              <w:t>1,025,000</w:t>
            </w:r>
          </w:p>
        </w:tc>
        <w:tc>
          <w:tcPr>
            <w:tcW w:w="10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1,281,300</w:t>
            </w:r>
          </w:p>
        </w:tc>
        <w:tc>
          <w:tcPr>
            <w:tcW w:w="1740" w:type="dxa"/>
            <w:vAlign w:val="bottom"/>
          </w:tcPr>
          <w:p>
            <w:pPr>
              <w:jc w:val="right"/>
              <w:ind w:right="291"/>
              <w:spacing w:after="0"/>
              <w:rPr>
                <w:sz w:val="20"/>
                <w:szCs w:val="20"/>
                <w:color w:val="auto"/>
              </w:rPr>
            </w:pPr>
            <w:r>
              <w:rPr>
                <w:rFonts w:ascii="Arial" w:cs="Arial" w:eastAsia="Arial" w:hAnsi="Arial"/>
                <w:sz w:val="15"/>
                <w:szCs w:val="15"/>
                <w:b w:val="1"/>
                <w:bCs w:val="1"/>
                <w:color w:val="auto"/>
              </w:rPr>
              <w:t>2,306,300</w:t>
            </w:r>
          </w:p>
        </w:tc>
        <w:tc>
          <w:tcPr>
            <w:tcW w:w="1240" w:type="dxa"/>
            <w:vAlign w:val="bottom"/>
          </w:tcPr>
          <w:p>
            <w:pPr>
              <w:jc w:val="right"/>
              <w:ind w:right="185"/>
              <w:spacing w:after="0"/>
              <w:rPr>
                <w:sz w:val="20"/>
                <w:szCs w:val="20"/>
                <w:color w:val="auto"/>
              </w:rPr>
            </w:pPr>
            <w:r>
              <w:rPr>
                <w:rFonts w:ascii="Arial" w:cs="Arial" w:eastAsia="Arial" w:hAnsi="Arial"/>
                <w:sz w:val="15"/>
                <w:szCs w:val="15"/>
                <w:color w:val="auto"/>
              </w:rPr>
              <w:t>2,020,275</w:t>
            </w:r>
          </w:p>
        </w:tc>
        <w:tc>
          <w:tcPr>
            <w:tcW w:w="760" w:type="dxa"/>
            <w:vAlign w:val="bottom"/>
          </w:tcPr>
          <w:p>
            <w:pPr>
              <w:jc w:val="right"/>
              <w:spacing w:after="0"/>
              <w:rPr>
                <w:sz w:val="20"/>
                <w:szCs w:val="20"/>
                <w:color w:val="auto"/>
              </w:rPr>
            </w:pPr>
            <w:r>
              <w:rPr>
                <w:rFonts w:ascii="Arial" w:cs="Arial" w:eastAsia="Arial" w:hAnsi="Arial"/>
                <w:sz w:val="15"/>
                <w:szCs w:val="15"/>
                <w:color w:val="auto"/>
              </w:rPr>
              <w:t>673,425</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5,000,000</w:t>
            </w: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0"/>
              <w:spacing w:after="0"/>
              <w:rPr>
                <w:sz w:val="20"/>
                <w:szCs w:val="20"/>
                <w:color w:val="auto"/>
              </w:rPr>
            </w:pPr>
            <w:r>
              <w:rPr>
                <w:rFonts w:ascii="Arial" w:cs="Arial" w:eastAsia="Arial" w:hAnsi="Arial"/>
                <w:sz w:val="15"/>
                <w:szCs w:val="15"/>
                <w:color w:val="auto"/>
              </w:rPr>
              <w:t>Charles K. Stevens, III</w:t>
            </w:r>
          </w:p>
        </w:tc>
        <w:tc>
          <w:tcPr>
            <w:tcW w:w="1720" w:type="dxa"/>
            <w:vAlign w:val="bottom"/>
          </w:tcPr>
          <w:p>
            <w:pPr>
              <w:jc w:val="right"/>
              <w:ind w:right="184"/>
              <w:spacing w:after="0"/>
              <w:rPr>
                <w:sz w:val="20"/>
                <w:szCs w:val="20"/>
                <w:color w:val="auto"/>
              </w:rPr>
            </w:pPr>
            <w:r>
              <w:rPr>
                <w:rFonts w:ascii="Arial" w:cs="Arial" w:eastAsia="Arial" w:hAnsi="Arial"/>
                <w:sz w:val="15"/>
                <w:szCs w:val="15"/>
                <w:color w:val="auto"/>
              </w:rPr>
              <w:t>1,100,000</w:t>
            </w:r>
          </w:p>
        </w:tc>
        <w:tc>
          <w:tcPr>
            <w:tcW w:w="10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1,375,000</w:t>
            </w:r>
          </w:p>
        </w:tc>
        <w:tc>
          <w:tcPr>
            <w:tcW w:w="1740" w:type="dxa"/>
            <w:vAlign w:val="bottom"/>
          </w:tcPr>
          <w:p>
            <w:pPr>
              <w:jc w:val="right"/>
              <w:ind w:right="291"/>
              <w:spacing w:after="0"/>
              <w:rPr>
                <w:sz w:val="20"/>
                <w:szCs w:val="20"/>
                <w:color w:val="auto"/>
              </w:rPr>
            </w:pPr>
            <w:r>
              <w:rPr>
                <w:rFonts w:ascii="Arial" w:cs="Arial" w:eastAsia="Arial" w:hAnsi="Arial"/>
                <w:sz w:val="15"/>
                <w:szCs w:val="15"/>
                <w:b w:val="1"/>
                <w:bCs w:val="1"/>
                <w:color w:val="auto"/>
              </w:rPr>
              <w:t>2,475,000</w:t>
            </w:r>
          </w:p>
        </w:tc>
        <w:tc>
          <w:tcPr>
            <w:tcW w:w="1240" w:type="dxa"/>
            <w:vAlign w:val="bottom"/>
          </w:tcPr>
          <w:p>
            <w:pPr>
              <w:jc w:val="right"/>
              <w:ind w:right="185"/>
              <w:spacing w:after="0"/>
              <w:rPr>
                <w:sz w:val="20"/>
                <w:szCs w:val="20"/>
                <w:color w:val="auto"/>
              </w:rPr>
            </w:pPr>
            <w:r>
              <w:rPr>
                <w:rFonts w:ascii="Arial" w:cs="Arial" w:eastAsia="Arial" w:hAnsi="Arial"/>
                <w:sz w:val="15"/>
                <w:szCs w:val="15"/>
                <w:color w:val="auto"/>
              </w:rPr>
              <w:t>3,018,750</w:t>
            </w:r>
          </w:p>
        </w:tc>
        <w:tc>
          <w:tcPr>
            <w:tcW w:w="760" w:type="dxa"/>
            <w:vAlign w:val="bottom"/>
          </w:tcPr>
          <w:p>
            <w:pPr>
              <w:jc w:val="right"/>
              <w:spacing w:after="0"/>
              <w:rPr>
                <w:sz w:val="20"/>
                <w:szCs w:val="20"/>
                <w:color w:val="auto"/>
              </w:rPr>
            </w:pPr>
            <w:r>
              <w:rPr>
                <w:rFonts w:ascii="Arial" w:cs="Arial" w:eastAsia="Arial" w:hAnsi="Arial"/>
                <w:sz w:val="15"/>
                <w:szCs w:val="15"/>
                <w:color w:val="auto"/>
              </w:rPr>
              <w:t>1,006,250</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6,500,000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13335</wp:posOffset>
            </wp:positionV>
            <wp:extent cx="69894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46" w:lineRule="exact"/>
        <w:rPr>
          <w:sz w:val="20"/>
          <w:szCs w:val="20"/>
          <w:color w:val="auto"/>
        </w:rPr>
      </w:pPr>
    </w:p>
    <w:p>
      <w:pPr>
        <w:ind w:left="540" w:hanging="330"/>
        <w:spacing w:after="0" w:line="278" w:lineRule="auto"/>
        <w:tabs>
          <w:tab w:leader="none" w:pos="54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awarded is determined by using the target PSU value divided by the closing price on the date of grant. PSUs with performance tied to Relative TSR are valued in the Summary Compensation Table using a Monte Carlo analysis resulting in amounts that may be higher or lower than target.</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Performance Measures</w:t>
      </w:r>
    </w:p>
    <w:p>
      <w:pPr>
        <w:spacing w:after="0" w:line="348" w:lineRule="exact"/>
        <w:rPr>
          <w:sz w:val="20"/>
          <w:szCs w:val="20"/>
          <w:color w:val="auto"/>
        </w:rPr>
      </w:pPr>
    </w:p>
    <w:p>
      <w:pPr>
        <w:ind w:left="640" w:hanging="430"/>
        <w:spacing w:after="0"/>
        <w:tabs>
          <w:tab w:leader="none" w:pos="640" w:val="left"/>
        </w:tabs>
        <w:numPr>
          <w:ilvl w:val="0"/>
          <w:numId w:val="73"/>
        </w:numPr>
        <w:rPr>
          <w:rFonts w:ascii="Arial" w:cs="Arial" w:eastAsia="Arial" w:hAnsi="Arial"/>
          <w:sz w:val="25"/>
          <w:szCs w:val="25"/>
          <w:color w:val="0033A0"/>
        </w:rPr>
      </w:pPr>
      <w:r>
        <w:rPr>
          <w:rFonts w:ascii="Arial" w:cs="Arial" w:eastAsia="Arial" w:hAnsi="Arial"/>
          <w:sz w:val="25"/>
          <w:szCs w:val="25"/>
          <w:color w:val="auto"/>
        </w:rPr>
        <w:t>How We Set Performance Targets</w:t>
      </w:r>
    </w:p>
    <w:p>
      <w:pPr>
        <w:spacing w:after="0" w:line="199"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Annually, the Compensation Committee approves the performance measures for the STIP and LTIP. The Compensation Committee reviews recommendations from management, receives input from their independent compensation consultant, evaluates the annual budget and mid-term business plan, and reviews prior-year performance to approve value-creating goals tied to long-term shareholder value.</w:t>
      </w:r>
    </w:p>
    <w:p>
      <w:pPr>
        <w:spacing w:after="0" w:line="322" w:lineRule="exact"/>
        <w:rPr>
          <w:sz w:val="20"/>
          <w:szCs w:val="20"/>
          <w:color w:val="auto"/>
        </w:rPr>
      </w:pPr>
    </w:p>
    <w:p>
      <w:pPr>
        <w:ind w:left="640" w:hanging="430"/>
        <w:spacing w:after="0"/>
        <w:tabs>
          <w:tab w:leader="none" w:pos="640" w:val="left"/>
        </w:tabs>
        <w:numPr>
          <w:ilvl w:val="0"/>
          <w:numId w:val="74"/>
        </w:numPr>
        <w:rPr>
          <w:rFonts w:ascii="Arial" w:cs="Arial" w:eastAsia="Arial" w:hAnsi="Arial"/>
          <w:sz w:val="25"/>
          <w:szCs w:val="25"/>
          <w:color w:val="0033A0"/>
        </w:rPr>
      </w:pPr>
      <w:r>
        <w:rPr>
          <w:rFonts w:ascii="Arial" w:cs="Arial" w:eastAsia="Arial" w:hAnsi="Arial"/>
          <w:sz w:val="25"/>
          <w:szCs w:val="25"/>
          <w:color w:val="auto"/>
        </w:rPr>
        <w:t>2018 STIP Performance</w:t>
      </w:r>
    </w:p>
    <w:p>
      <w:pPr>
        <w:spacing w:after="0" w:line="18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STIP rewards NEOs for performance linked to the Company’s achievement of annual financial goals, operational performance goals, and individual performance results. The Compensation Committee annually reviews and approves STIP goals that align with shareholders through the achievement of the business plan and strategic objectives. 2018 STIP targets were challenging goals set at the beginning of the performance period based on the business plan. Individual performance is assessed using an individual performance scorecard measuring results against pre-established goals that the Compensation Committee approves at the beginning of the year. Individual performance results and final individual compensation decisions are discussed beginning on page 49.</w:t>
      </w:r>
    </w:p>
    <w:p>
      <w:pPr>
        <w:spacing w:after="0" w:line="96"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STIP awards, if any, are determined following final Company performance against the measures displayed below and the Compensation Committee’s assessment of individual performance. The table below describes each STIP performance measure, its weighting, its target, and the behaviors each measure drives: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126365</wp:posOffset>
            </wp:positionV>
            <wp:extent cx="69894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2060" w:type="dxa"/>
            <w:vAlign w:val="bottom"/>
          </w:tcPr>
          <w:p>
            <w:pPr>
              <w:ind w:left="40"/>
              <w:spacing w:after="0"/>
              <w:rPr>
                <w:sz w:val="20"/>
                <w:szCs w:val="20"/>
                <w:color w:val="auto"/>
              </w:rPr>
            </w:pPr>
            <w:r>
              <w:rPr>
                <w:rFonts w:ascii="Arial" w:cs="Arial" w:eastAsia="Arial" w:hAnsi="Arial"/>
                <w:sz w:val="15"/>
                <w:szCs w:val="15"/>
                <w:b w:val="1"/>
                <w:bCs w:val="1"/>
                <w:color w:val="00A1DF"/>
              </w:rPr>
              <w:t>STIP Measure</w:t>
            </w:r>
          </w:p>
        </w:tc>
        <w:tc>
          <w:tcPr>
            <w:tcW w:w="800" w:type="dxa"/>
            <w:vAlign w:val="bottom"/>
          </w:tcPr>
          <w:p>
            <w:pPr>
              <w:jc w:val="center"/>
              <w:ind w:left="84"/>
              <w:spacing w:after="0"/>
              <w:rPr>
                <w:sz w:val="20"/>
                <w:szCs w:val="20"/>
                <w:color w:val="auto"/>
              </w:rPr>
            </w:pPr>
            <w:r>
              <w:rPr>
                <w:rFonts w:ascii="Arial" w:cs="Arial" w:eastAsia="Arial" w:hAnsi="Arial"/>
                <w:sz w:val="15"/>
                <w:szCs w:val="15"/>
                <w:b w:val="1"/>
                <w:bCs w:val="1"/>
                <w:color w:val="00A1DF"/>
              </w:rPr>
              <w:t>Weight</w:t>
            </w:r>
          </w:p>
        </w:tc>
        <w:tc>
          <w:tcPr>
            <w:tcW w:w="780" w:type="dxa"/>
            <w:vAlign w:val="bottom"/>
          </w:tcPr>
          <w:p>
            <w:pPr>
              <w:jc w:val="right"/>
              <w:ind w:right="84"/>
              <w:spacing w:after="0"/>
              <w:rPr>
                <w:sz w:val="20"/>
                <w:szCs w:val="20"/>
                <w:color w:val="auto"/>
              </w:rPr>
            </w:pPr>
            <w:r>
              <w:rPr>
                <w:rFonts w:ascii="Arial" w:cs="Arial" w:eastAsia="Arial" w:hAnsi="Arial"/>
                <w:sz w:val="15"/>
                <w:szCs w:val="15"/>
                <w:b w:val="1"/>
                <w:bCs w:val="1"/>
                <w:color w:val="00A1DF"/>
              </w:rPr>
              <w:t>Target</w:t>
            </w:r>
          </w:p>
        </w:tc>
        <w:tc>
          <w:tcPr>
            <w:tcW w:w="7360" w:type="dxa"/>
            <w:vAlign w:val="bottom"/>
          </w:tcPr>
          <w:p>
            <w:pPr>
              <w:ind w:left="160"/>
              <w:spacing w:after="0"/>
              <w:rPr>
                <w:sz w:val="20"/>
                <w:szCs w:val="20"/>
                <w:color w:val="auto"/>
              </w:rPr>
            </w:pPr>
            <w:r>
              <w:rPr>
                <w:rFonts w:ascii="Arial" w:cs="Arial" w:eastAsia="Arial" w:hAnsi="Arial"/>
                <w:sz w:val="15"/>
                <w:szCs w:val="15"/>
                <w:b w:val="1"/>
                <w:bCs w:val="1"/>
                <w:color w:val="00A1DF"/>
              </w:rPr>
              <w:t>Leadership Behaviors</w:t>
            </w:r>
          </w:p>
        </w:tc>
      </w:tr>
      <w:tr>
        <w:trPr>
          <w:trHeight w:val="21"/>
        </w:trPr>
        <w:tc>
          <w:tcPr>
            <w:tcW w:w="2060" w:type="dxa"/>
            <w:vAlign w:val="bottom"/>
            <w:tcBorders>
              <w:bottom w:val="single" w:sz="8" w:color="00A1DF"/>
            </w:tcBorders>
          </w:tcPr>
          <w:p>
            <w:pPr>
              <w:spacing w:after="0" w:line="20" w:lineRule="exact"/>
              <w:rPr>
                <w:sz w:val="1"/>
                <w:szCs w:val="1"/>
                <w:color w:val="auto"/>
              </w:rPr>
            </w:pPr>
          </w:p>
        </w:tc>
        <w:tc>
          <w:tcPr>
            <w:tcW w:w="800" w:type="dxa"/>
            <w:vAlign w:val="bottom"/>
            <w:tcBorders>
              <w:bottom w:val="single" w:sz="8" w:color="00A1DF"/>
            </w:tcBorders>
          </w:tcPr>
          <w:p>
            <w:pPr>
              <w:spacing w:after="0" w:line="20" w:lineRule="exact"/>
              <w:rPr>
                <w:sz w:val="1"/>
                <w:szCs w:val="1"/>
                <w:color w:val="auto"/>
              </w:rPr>
            </w:pPr>
          </w:p>
        </w:tc>
        <w:tc>
          <w:tcPr>
            <w:tcW w:w="780" w:type="dxa"/>
            <w:vAlign w:val="bottom"/>
            <w:tcBorders>
              <w:bottom w:val="single" w:sz="8" w:color="00A1DF"/>
            </w:tcBorders>
          </w:tcPr>
          <w:p>
            <w:pPr>
              <w:spacing w:after="0" w:line="20" w:lineRule="exact"/>
              <w:rPr>
                <w:sz w:val="1"/>
                <w:szCs w:val="1"/>
                <w:color w:val="auto"/>
              </w:rPr>
            </w:pPr>
          </w:p>
        </w:tc>
        <w:tc>
          <w:tcPr>
            <w:tcW w:w="7360" w:type="dxa"/>
            <w:vAlign w:val="bottom"/>
            <w:tcBorders>
              <w:bottom w:val="single" w:sz="8" w:color="00A1DF"/>
            </w:tcBorders>
          </w:tcPr>
          <w:p>
            <w:pPr>
              <w:spacing w:after="0" w:line="20" w:lineRule="exact"/>
              <w:rPr>
                <w:sz w:val="1"/>
                <w:szCs w:val="1"/>
                <w:color w:val="auto"/>
              </w:rPr>
            </w:pPr>
          </w:p>
        </w:tc>
      </w:tr>
      <w:tr>
        <w:trPr>
          <w:trHeight w:val="236"/>
        </w:trPr>
        <w:tc>
          <w:tcPr>
            <w:tcW w:w="20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5"/>
                <w:szCs w:val="15"/>
                <w:b w:val="1"/>
                <w:bCs w:val="1"/>
                <w:color w:val="auto"/>
              </w:rPr>
              <w:t>EBIT-adjusted ($B)</w:t>
            </w:r>
            <w:r>
              <w:rPr>
                <w:rFonts w:ascii="Arial" w:cs="Arial" w:eastAsia="Arial" w:hAnsi="Arial"/>
                <w:sz w:val="25"/>
                <w:szCs w:val="25"/>
                <w:b w:val="1"/>
                <w:bCs w:val="1"/>
                <w:color w:val="auto"/>
                <w:vertAlign w:val="superscript"/>
              </w:rPr>
              <w:t>(1)</w:t>
            </w:r>
          </w:p>
        </w:tc>
        <w:tc>
          <w:tcPr>
            <w:tcW w:w="80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color w:val="auto"/>
              </w:rPr>
              <w:t>50%</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   12.9</w:t>
            </w:r>
          </w:p>
        </w:tc>
        <w:tc>
          <w:tcPr>
            <w:tcW w:w="73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Focus on operating profit and driving strong profitability</w:t>
            </w:r>
          </w:p>
        </w:tc>
      </w:tr>
      <w:tr>
        <w:trPr>
          <w:trHeight w:val="236"/>
        </w:trPr>
        <w:tc>
          <w:tcPr>
            <w:tcW w:w="20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5"/>
                <w:szCs w:val="15"/>
                <w:b w:val="1"/>
                <w:bCs w:val="1"/>
                <w:color w:val="auto"/>
              </w:rPr>
              <w:t>Adjusted AFCF ($B)</w:t>
            </w:r>
            <w:r>
              <w:rPr>
                <w:rFonts w:ascii="Arial" w:cs="Arial" w:eastAsia="Arial" w:hAnsi="Arial"/>
                <w:sz w:val="25"/>
                <w:szCs w:val="25"/>
                <w:b w:val="1"/>
                <w:bCs w:val="1"/>
                <w:color w:val="auto"/>
                <w:vertAlign w:val="superscript"/>
              </w:rPr>
              <w:t>(1)(2)</w:t>
            </w:r>
          </w:p>
        </w:tc>
        <w:tc>
          <w:tcPr>
            <w:tcW w:w="80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color w:val="auto"/>
              </w:rPr>
              <w:t>25%</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$5.4</w:t>
            </w:r>
          </w:p>
        </w:tc>
        <w:tc>
          <w:tcPr>
            <w:tcW w:w="73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Focus on driving strong cash flow to invest in the business</w:t>
            </w:r>
          </w:p>
        </w:tc>
      </w:tr>
      <w:tr>
        <w:trPr>
          <w:trHeight w:val="215"/>
        </w:trPr>
        <w:tc>
          <w:tcPr>
            <w:tcW w:w="2060" w:type="dxa"/>
            <w:vAlign w:val="bottom"/>
          </w:tcPr>
          <w:p>
            <w:pPr>
              <w:ind w:left="60"/>
              <w:spacing w:after="0"/>
              <w:rPr>
                <w:sz w:val="20"/>
                <w:szCs w:val="20"/>
                <w:color w:val="auto"/>
              </w:rPr>
            </w:pPr>
            <w:r>
              <w:rPr>
                <w:rFonts w:ascii="Arial" w:cs="Arial" w:eastAsia="Arial" w:hAnsi="Arial"/>
                <w:sz w:val="15"/>
                <w:szCs w:val="15"/>
                <w:b w:val="1"/>
                <w:bCs w:val="1"/>
                <w:color w:val="auto"/>
              </w:rPr>
              <w:t>Individual Performance</w:t>
            </w:r>
          </w:p>
        </w:tc>
        <w:tc>
          <w:tcPr>
            <w:tcW w:w="800" w:type="dxa"/>
            <w:vAlign w:val="bottom"/>
          </w:tcPr>
          <w:p>
            <w:pPr>
              <w:jc w:val="center"/>
              <w:ind w:left="84"/>
              <w:spacing w:after="0"/>
              <w:rPr>
                <w:sz w:val="20"/>
                <w:szCs w:val="20"/>
                <w:color w:val="auto"/>
              </w:rPr>
            </w:pPr>
            <w:r>
              <w:rPr>
                <w:rFonts w:ascii="Arial" w:cs="Arial" w:eastAsia="Arial" w:hAnsi="Arial"/>
                <w:sz w:val="15"/>
                <w:szCs w:val="15"/>
                <w:color w:val="auto"/>
              </w:rPr>
              <w:t>25%</w:t>
            </w:r>
          </w:p>
        </w:tc>
        <w:tc>
          <w:tcPr>
            <w:tcW w:w="780" w:type="dxa"/>
            <w:vAlign w:val="bottom"/>
          </w:tcPr>
          <w:p>
            <w:pPr>
              <w:jc w:val="right"/>
              <w:ind w:right="84"/>
              <w:spacing w:after="0"/>
              <w:rPr>
                <w:sz w:val="20"/>
                <w:szCs w:val="20"/>
                <w:color w:val="auto"/>
              </w:rPr>
            </w:pPr>
            <w:r>
              <w:rPr>
                <w:rFonts w:ascii="Arial" w:cs="Arial" w:eastAsia="Arial" w:hAnsi="Arial"/>
                <w:sz w:val="15"/>
                <w:szCs w:val="15"/>
                <w:color w:val="auto"/>
              </w:rPr>
              <w:t>25 pts.</w:t>
            </w:r>
          </w:p>
        </w:tc>
        <w:tc>
          <w:tcPr>
            <w:tcW w:w="7360" w:type="dxa"/>
            <w:vAlign w:val="bottom"/>
          </w:tcPr>
          <w:p>
            <w:pPr>
              <w:ind w:left="160"/>
              <w:spacing w:after="0"/>
              <w:rPr>
                <w:sz w:val="20"/>
                <w:szCs w:val="20"/>
                <w:color w:val="auto"/>
              </w:rPr>
            </w:pPr>
            <w:r>
              <w:rPr>
                <w:rFonts w:ascii="Arial" w:cs="Arial" w:eastAsia="Arial" w:hAnsi="Arial"/>
                <w:sz w:val="15"/>
                <w:szCs w:val="15"/>
                <w:color w:val="auto"/>
              </w:rPr>
              <w:t>Focus on individual performance goals and behaviors that impact business results</w:t>
            </w:r>
          </w:p>
        </w:tc>
      </w:tr>
      <w:tr>
        <w:trPr>
          <w:trHeight w:val="21"/>
        </w:trPr>
        <w:tc>
          <w:tcPr>
            <w:tcW w:w="2060" w:type="dxa"/>
            <w:vAlign w:val="bottom"/>
            <w:tcBorders>
              <w:bottom w:val="single" w:sz="8" w:color="0033A0"/>
            </w:tcBorders>
          </w:tcPr>
          <w:p>
            <w:pPr>
              <w:spacing w:after="0" w:line="20" w:lineRule="exact"/>
              <w:rPr>
                <w:sz w:val="1"/>
                <w:szCs w:val="1"/>
                <w:color w:val="auto"/>
              </w:rPr>
            </w:pPr>
          </w:p>
        </w:tc>
        <w:tc>
          <w:tcPr>
            <w:tcW w:w="800" w:type="dxa"/>
            <w:vAlign w:val="bottom"/>
            <w:tcBorders>
              <w:bottom w:val="single" w:sz="8" w:color="0033A0"/>
            </w:tcBorders>
          </w:tcPr>
          <w:p>
            <w:pPr>
              <w:spacing w:after="0" w:line="20" w:lineRule="exact"/>
              <w:rPr>
                <w:sz w:val="1"/>
                <w:szCs w:val="1"/>
                <w:color w:val="auto"/>
              </w:rPr>
            </w:pPr>
          </w:p>
        </w:tc>
        <w:tc>
          <w:tcPr>
            <w:tcW w:w="780" w:type="dxa"/>
            <w:vAlign w:val="bottom"/>
            <w:tcBorders>
              <w:bottom w:val="single" w:sz="8" w:color="0033A0"/>
            </w:tcBorders>
          </w:tcPr>
          <w:p>
            <w:pPr>
              <w:spacing w:after="0" w:line="20" w:lineRule="exact"/>
              <w:rPr>
                <w:sz w:val="1"/>
                <w:szCs w:val="1"/>
                <w:color w:val="auto"/>
              </w:rPr>
            </w:pPr>
          </w:p>
        </w:tc>
        <w:tc>
          <w:tcPr>
            <w:tcW w:w="7360" w:type="dxa"/>
            <w:vAlign w:val="bottom"/>
            <w:tcBorders>
              <w:bottom w:val="single" w:sz="8" w:color="0033A0"/>
            </w:tcBorders>
          </w:tcPr>
          <w:p>
            <w:pPr>
              <w:spacing w:after="0" w:line="20" w:lineRule="exact"/>
              <w:rPr>
                <w:sz w:val="1"/>
                <w:szCs w:val="1"/>
                <w:color w:val="auto"/>
              </w:rPr>
            </w:pPr>
          </w:p>
        </w:tc>
      </w:tr>
    </w:tbl>
    <w:p>
      <w:pPr>
        <w:spacing w:after="0" w:line="58" w:lineRule="exact"/>
        <w:rPr>
          <w:sz w:val="20"/>
          <w:szCs w:val="20"/>
          <w:color w:val="auto"/>
        </w:rPr>
      </w:pPr>
    </w:p>
    <w:p>
      <w:pPr>
        <w:ind w:left="540" w:hanging="330"/>
        <w:spacing w:after="0"/>
        <w:tabs>
          <w:tab w:leader="none" w:pos="5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Measure adjusted for incentive purposes and excludes certain business operations.</w:t>
      </w:r>
    </w:p>
    <w:p>
      <w:pPr>
        <w:spacing w:after="0" w:line="68" w:lineRule="exact"/>
        <w:rPr>
          <w:rFonts w:ascii="Arial" w:cs="Arial" w:eastAsia="Arial" w:hAnsi="Arial"/>
          <w:sz w:val="14"/>
          <w:szCs w:val="14"/>
          <w:i w:val="1"/>
          <w:iCs w:val="1"/>
          <w:color w:val="auto"/>
        </w:rPr>
      </w:pPr>
    </w:p>
    <w:p>
      <w:pPr>
        <w:ind w:left="540" w:right="20" w:hanging="330"/>
        <w:spacing w:after="0" w:line="278" w:lineRule="auto"/>
        <w:tabs>
          <w:tab w:leader="none" w:pos="5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events occurring in 2014. For a description of how Adjusted AFCF is calculated,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68580</wp:posOffset>
            </wp:positionV>
            <wp:extent cx="6758305" cy="1282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93"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45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8"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potential payouts for each Company performance measure ranges from 0% to 200% of target, based on actual Company performance, with the threshold performance level being 50% of EBIT-adjusted and 39% of Adjusted AFCF. Final STIP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139700</wp:posOffset>
            </wp:positionV>
            <wp:extent cx="5191125" cy="17729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91125" cy="177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hanging="430"/>
        <w:spacing w:after="0"/>
        <w:tabs>
          <w:tab w:leader="none" w:pos="640" w:val="left"/>
        </w:tabs>
        <w:numPr>
          <w:ilvl w:val="0"/>
          <w:numId w:val="76"/>
        </w:numPr>
        <w:rPr>
          <w:rFonts w:ascii="Arial" w:cs="Arial" w:eastAsia="Arial" w:hAnsi="Arial"/>
          <w:sz w:val="25"/>
          <w:szCs w:val="25"/>
          <w:color w:val="0033A0"/>
        </w:rPr>
      </w:pPr>
      <w:r>
        <w:rPr>
          <w:rFonts w:ascii="Arial" w:cs="Arial" w:eastAsia="Arial" w:hAnsi="Arial"/>
          <w:sz w:val="25"/>
          <w:szCs w:val="25"/>
          <w:color w:val="auto"/>
        </w:rPr>
        <w:t>2018–2020 LTIP Performance</w:t>
      </w:r>
    </w:p>
    <w:p>
      <w:pPr>
        <w:spacing w:after="0" w:line="199"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Grants under the LTIP are intended to link the financial interests of NEOs with the long-term interests of shareholders. The structure for NEOs includes 75% PSUs and 25% Stock Options. PSUs cliff-vest following a three-year performance period and Stock Options vest ratably over three years.</w:t>
      </w:r>
    </w:p>
    <w:p>
      <w:pPr>
        <w:spacing w:after="0" w:line="87"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2018–2020 PSUs will be awarded based on Relative ROIC-adjusted and Relative TSR performance against our OEM peers displayed on page 42. PSU performance measures promote the efficient use of capital for long-term growth to create value for shareholders with an increased focus on stock price appreciation. The following table shows the PSU performance measures and the behaviors each measure drives: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69894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2020" w:type="dxa"/>
            <w:vAlign w:val="bottom"/>
          </w:tcPr>
          <w:p>
            <w:pPr>
              <w:ind w:left="80"/>
              <w:spacing w:after="0"/>
              <w:rPr>
                <w:sz w:val="20"/>
                <w:szCs w:val="20"/>
                <w:color w:val="auto"/>
              </w:rPr>
            </w:pPr>
            <w:r>
              <w:rPr>
                <w:rFonts w:ascii="Arial" w:cs="Arial" w:eastAsia="Arial" w:hAnsi="Arial"/>
                <w:sz w:val="15"/>
                <w:szCs w:val="15"/>
                <w:b w:val="1"/>
                <w:bCs w:val="1"/>
                <w:color w:val="00A1DF"/>
              </w:rPr>
              <w:t>Performance Measure</w:t>
            </w:r>
          </w:p>
        </w:tc>
        <w:tc>
          <w:tcPr>
            <w:tcW w:w="1300" w:type="dxa"/>
            <w:vAlign w:val="bottom"/>
          </w:tcPr>
          <w:p>
            <w:pPr>
              <w:jc w:val="center"/>
              <w:ind w:left="4"/>
              <w:spacing w:after="0"/>
              <w:rPr>
                <w:sz w:val="20"/>
                <w:szCs w:val="20"/>
                <w:color w:val="auto"/>
              </w:rPr>
            </w:pPr>
            <w:r>
              <w:rPr>
                <w:rFonts w:ascii="Arial" w:cs="Arial" w:eastAsia="Arial" w:hAnsi="Arial"/>
                <w:sz w:val="15"/>
                <w:szCs w:val="15"/>
                <w:b w:val="1"/>
                <w:bCs w:val="1"/>
                <w:color w:val="00A1DF"/>
              </w:rPr>
              <w:t>PSU Weight</w:t>
            </w:r>
          </w:p>
        </w:tc>
        <w:tc>
          <w:tcPr>
            <w:tcW w:w="2740" w:type="dxa"/>
            <w:vAlign w:val="bottom"/>
            <w:gridSpan w:val="2"/>
          </w:tcPr>
          <w:p>
            <w:pPr>
              <w:ind w:left="1020"/>
              <w:spacing w:after="0"/>
              <w:rPr>
                <w:sz w:val="20"/>
                <w:szCs w:val="20"/>
                <w:color w:val="auto"/>
              </w:rPr>
            </w:pPr>
            <w:r>
              <w:rPr>
                <w:rFonts w:ascii="Arial" w:cs="Arial" w:eastAsia="Arial" w:hAnsi="Arial"/>
                <w:sz w:val="15"/>
                <w:szCs w:val="15"/>
                <w:b w:val="1"/>
                <w:bCs w:val="1"/>
                <w:color w:val="00A1DF"/>
              </w:rPr>
              <w:t>Payout</w:t>
            </w:r>
          </w:p>
        </w:tc>
        <w:tc>
          <w:tcPr>
            <w:tcW w:w="4940" w:type="dxa"/>
            <w:vAlign w:val="bottom"/>
          </w:tcPr>
          <w:p>
            <w:pPr>
              <w:ind w:left="100"/>
              <w:spacing w:after="0"/>
              <w:rPr>
                <w:sz w:val="20"/>
                <w:szCs w:val="20"/>
                <w:color w:val="auto"/>
              </w:rPr>
            </w:pPr>
            <w:r>
              <w:rPr>
                <w:rFonts w:ascii="Arial" w:cs="Arial" w:eastAsia="Arial" w:hAnsi="Arial"/>
                <w:sz w:val="15"/>
                <w:szCs w:val="15"/>
                <w:b w:val="1"/>
                <w:bCs w:val="1"/>
                <w:color w:val="00A1DF"/>
              </w:rPr>
              <w:t>Leadership Behaviors</w:t>
            </w:r>
          </w:p>
        </w:tc>
        <w:tc>
          <w:tcPr>
            <w:tcW w:w="0" w:type="dxa"/>
            <w:vAlign w:val="bottom"/>
          </w:tcPr>
          <w:p>
            <w:pPr>
              <w:spacing w:after="0"/>
              <w:rPr>
                <w:sz w:val="1"/>
                <w:szCs w:val="1"/>
                <w:color w:val="auto"/>
              </w:rPr>
            </w:pPr>
          </w:p>
        </w:tc>
      </w:tr>
      <w:tr>
        <w:trPr>
          <w:trHeight w:val="21"/>
        </w:trPr>
        <w:tc>
          <w:tcPr>
            <w:tcW w:w="2020" w:type="dxa"/>
            <w:vAlign w:val="bottom"/>
            <w:tcBorders>
              <w:bottom w:val="single" w:sz="8" w:color="00A1DF"/>
            </w:tcBorders>
          </w:tcPr>
          <w:p>
            <w:pPr>
              <w:spacing w:after="0" w:line="20" w:lineRule="exact"/>
              <w:rPr>
                <w:sz w:val="1"/>
                <w:szCs w:val="1"/>
                <w:color w:val="auto"/>
              </w:rPr>
            </w:pPr>
          </w:p>
        </w:tc>
        <w:tc>
          <w:tcPr>
            <w:tcW w:w="1300" w:type="dxa"/>
            <w:vAlign w:val="bottom"/>
            <w:tcBorders>
              <w:bottom w:val="single" w:sz="8" w:color="00A1DF"/>
            </w:tcBorders>
          </w:tcPr>
          <w:p>
            <w:pPr>
              <w:spacing w:after="0" w:line="20" w:lineRule="exact"/>
              <w:rPr>
                <w:sz w:val="1"/>
                <w:szCs w:val="1"/>
                <w:color w:val="auto"/>
              </w:rPr>
            </w:pPr>
          </w:p>
        </w:tc>
        <w:tc>
          <w:tcPr>
            <w:tcW w:w="1400" w:type="dxa"/>
            <w:vAlign w:val="bottom"/>
            <w:tcBorders>
              <w:bottom w:val="single" w:sz="8" w:color="00A1DF"/>
            </w:tcBorders>
          </w:tcPr>
          <w:p>
            <w:pPr>
              <w:spacing w:after="0" w:line="20" w:lineRule="exact"/>
              <w:rPr>
                <w:sz w:val="1"/>
                <w:szCs w:val="1"/>
                <w:color w:val="auto"/>
              </w:rPr>
            </w:pPr>
          </w:p>
        </w:tc>
        <w:tc>
          <w:tcPr>
            <w:tcW w:w="1340" w:type="dxa"/>
            <w:vAlign w:val="bottom"/>
            <w:tcBorders>
              <w:bottom w:val="single" w:sz="8" w:color="00A1DF"/>
            </w:tcBorders>
          </w:tcPr>
          <w:p>
            <w:pPr>
              <w:spacing w:after="0" w:line="20" w:lineRule="exact"/>
              <w:rPr>
                <w:sz w:val="1"/>
                <w:szCs w:val="1"/>
                <w:color w:val="auto"/>
              </w:rPr>
            </w:pPr>
          </w:p>
        </w:tc>
        <w:tc>
          <w:tcPr>
            <w:tcW w:w="4940" w:type="dxa"/>
            <w:vAlign w:val="bottom"/>
            <w:tcBorders>
              <w:bottom w:val="single" w:sz="8" w:color="00A1D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0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Relative ROIC-adjusted</w:t>
            </w:r>
          </w:p>
        </w:tc>
        <w:tc>
          <w:tcPr>
            <w:tcW w:w="1300" w:type="dxa"/>
            <w:vAlign w:val="bottom"/>
          </w:tcPr>
          <w:p>
            <w:pPr>
              <w:spacing w:after="0"/>
              <w:rPr>
                <w:sz w:val="14"/>
                <w:szCs w:val="14"/>
                <w:color w:val="auto"/>
              </w:rPr>
            </w:pPr>
          </w:p>
        </w:tc>
        <w:tc>
          <w:tcPr>
            <w:tcW w:w="1400" w:type="dxa"/>
            <w:vAlign w:val="bottom"/>
          </w:tcPr>
          <w:p>
            <w:pPr>
              <w:jc w:val="right"/>
              <w:spacing w:after="0" w:line="166" w:lineRule="exact"/>
              <w:rPr>
                <w:sz w:val="20"/>
                <w:szCs w:val="20"/>
                <w:color w:val="auto"/>
              </w:rPr>
            </w:pPr>
            <w:r>
              <w:rPr>
                <w:rFonts w:ascii="Arial" w:cs="Arial" w:eastAsia="Arial" w:hAnsi="Arial"/>
                <w:sz w:val="15"/>
                <w:szCs w:val="15"/>
                <w:color w:val="auto"/>
              </w:rPr>
              <w:t>Threshold (50%)</w:t>
            </w:r>
          </w:p>
        </w:tc>
        <w:tc>
          <w:tcPr>
            <w:tcW w:w="1340" w:type="dxa"/>
            <w:vAlign w:val="bottom"/>
          </w:tcPr>
          <w:p>
            <w:pPr>
              <w:ind w:left="20"/>
              <w:spacing w:after="0" w:line="166" w:lineRule="exact"/>
              <w:rPr>
                <w:sz w:val="20"/>
                <w:szCs w:val="20"/>
                <w:color w:val="auto"/>
              </w:rPr>
            </w:pPr>
            <w:r>
              <w:rPr>
                <w:rFonts w:ascii="Arial" w:cs="Arial" w:eastAsia="Arial" w:hAnsi="Arial"/>
                <w:sz w:val="15"/>
                <w:szCs w:val="15"/>
                <w:color w:val="auto"/>
              </w:rPr>
              <w:t>– 35th Percentile</w:t>
            </w:r>
          </w:p>
        </w:tc>
        <w:tc>
          <w:tcPr>
            <w:tcW w:w="4940" w:type="dxa"/>
            <w:vAlign w:val="bottom"/>
          </w:tcPr>
          <w:p>
            <w:pPr>
              <w:ind w:left="100"/>
              <w:spacing w:after="0" w:line="166" w:lineRule="exact"/>
              <w:rPr>
                <w:sz w:val="20"/>
                <w:szCs w:val="20"/>
                <w:color w:val="auto"/>
              </w:rPr>
            </w:pPr>
            <w:r>
              <w:rPr>
                <w:rFonts w:ascii="Arial" w:cs="Arial" w:eastAsia="Arial" w:hAnsi="Arial"/>
                <w:sz w:val="15"/>
                <w:szCs w:val="15"/>
                <w:color w:val="auto"/>
              </w:rPr>
              <w:t>Focus on making sound investments that follow the disciplined capital</w:t>
            </w:r>
          </w:p>
        </w:tc>
        <w:tc>
          <w:tcPr>
            <w:tcW w:w="0" w:type="dxa"/>
            <w:vAlign w:val="bottom"/>
          </w:tcPr>
          <w:p>
            <w:pPr>
              <w:spacing w:after="0"/>
              <w:rPr>
                <w:sz w:val="1"/>
                <w:szCs w:val="1"/>
                <w:color w:val="auto"/>
              </w:rPr>
            </w:pPr>
          </w:p>
        </w:tc>
      </w:tr>
      <w:tr>
        <w:trPr>
          <w:trHeight w:val="162"/>
        </w:trPr>
        <w:tc>
          <w:tcPr>
            <w:tcW w:w="2020" w:type="dxa"/>
            <w:vAlign w:val="bottom"/>
            <w:vMerge w:val="continue"/>
          </w:tcPr>
          <w:p>
            <w:pPr>
              <w:spacing w:after="0"/>
              <w:rPr>
                <w:sz w:val="14"/>
                <w:szCs w:val="14"/>
                <w:color w:val="auto"/>
              </w:rPr>
            </w:pPr>
          </w:p>
        </w:tc>
        <w:tc>
          <w:tcPr>
            <w:tcW w:w="1300" w:type="dxa"/>
            <w:vAlign w:val="bottom"/>
          </w:tcPr>
          <w:p>
            <w:pPr>
              <w:jc w:val="center"/>
              <w:ind w:left="4"/>
              <w:spacing w:after="0" w:line="162" w:lineRule="exact"/>
              <w:rPr>
                <w:sz w:val="20"/>
                <w:szCs w:val="20"/>
                <w:color w:val="auto"/>
              </w:rPr>
            </w:pPr>
            <w:r>
              <w:rPr>
                <w:rFonts w:ascii="Arial" w:cs="Arial" w:eastAsia="Arial" w:hAnsi="Arial"/>
                <w:sz w:val="15"/>
                <w:szCs w:val="15"/>
                <w:color w:val="auto"/>
                <w:w w:val="99"/>
              </w:rPr>
              <w:t>67%</w:t>
            </w:r>
          </w:p>
        </w:tc>
        <w:tc>
          <w:tcPr>
            <w:tcW w:w="1400" w:type="dxa"/>
            <w:vAlign w:val="bottom"/>
          </w:tcPr>
          <w:p>
            <w:pPr>
              <w:jc w:val="right"/>
              <w:spacing w:after="0" w:line="162" w:lineRule="exact"/>
              <w:rPr>
                <w:sz w:val="20"/>
                <w:szCs w:val="20"/>
                <w:color w:val="auto"/>
              </w:rPr>
            </w:pPr>
            <w:r>
              <w:rPr>
                <w:rFonts w:ascii="Arial" w:cs="Arial" w:eastAsia="Arial" w:hAnsi="Arial"/>
                <w:sz w:val="15"/>
                <w:szCs w:val="15"/>
                <w:color w:val="auto"/>
              </w:rPr>
              <w:t>Target (100%)</w:t>
            </w:r>
          </w:p>
        </w:tc>
        <w:tc>
          <w:tcPr>
            <w:tcW w:w="1340" w:type="dxa"/>
            <w:vAlign w:val="bottom"/>
          </w:tcPr>
          <w:p>
            <w:pPr>
              <w:ind w:left="20"/>
              <w:spacing w:after="0" w:line="162" w:lineRule="exact"/>
              <w:rPr>
                <w:sz w:val="20"/>
                <w:szCs w:val="20"/>
                <w:color w:val="auto"/>
              </w:rPr>
            </w:pPr>
            <w:r>
              <w:rPr>
                <w:rFonts w:ascii="Arial" w:cs="Arial" w:eastAsia="Arial" w:hAnsi="Arial"/>
                <w:sz w:val="15"/>
                <w:szCs w:val="15"/>
                <w:color w:val="auto"/>
              </w:rPr>
              <w:t>– 60th Percentile</w:t>
            </w:r>
          </w:p>
        </w:tc>
        <w:tc>
          <w:tcPr>
            <w:tcW w:w="4940" w:type="dxa"/>
            <w:vAlign w:val="bottom"/>
          </w:tcPr>
          <w:p>
            <w:pPr>
              <w:ind w:left="100"/>
              <w:spacing w:after="0" w:line="162" w:lineRule="exact"/>
              <w:rPr>
                <w:sz w:val="20"/>
                <w:szCs w:val="20"/>
                <w:color w:val="auto"/>
              </w:rPr>
            </w:pPr>
            <w:r>
              <w:rPr>
                <w:rFonts w:ascii="Arial" w:cs="Arial" w:eastAsia="Arial" w:hAnsi="Arial"/>
                <w:sz w:val="15"/>
                <w:szCs w:val="15"/>
                <w:color w:val="auto"/>
              </w:rPr>
              <w:t>approach of driving 20% or higher returns in world-class vehicles and</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Maximum (200%)</w:t>
            </w: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100th Percentile</w:t>
            </w:r>
          </w:p>
        </w:tc>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leading technology</w:t>
            </w: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Threshold (50%)</w:t>
            </w:r>
          </w:p>
        </w:tc>
        <w:tc>
          <w:tcPr>
            <w:tcW w:w="1340" w:type="dxa"/>
            <w:vAlign w:val="bottom"/>
          </w:tcPr>
          <w:p>
            <w:pPr>
              <w:ind w:left="20"/>
              <w:spacing w:after="0"/>
              <w:rPr>
                <w:sz w:val="20"/>
                <w:szCs w:val="20"/>
                <w:color w:val="auto"/>
              </w:rPr>
            </w:pPr>
            <w:r>
              <w:rPr>
                <w:rFonts w:ascii="Arial" w:cs="Arial" w:eastAsia="Arial" w:hAnsi="Arial"/>
                <w:sz w:val="15"/>
                <w:szCs w:val="15"/>
                <w:color w:val="auto"/>
              </w:rPr>
              <w:t>– 25th Percentile</w:t>
            </w:r>
          </w:p>
        </w:tc>
        <w:tc>
          <w:tcPr>
            <w:tcW w:w="4940" w:type="dxa"/>
            <w:vAlign w:val="bottom"/>
            <w:vMerge w:val="restart"/>
          </w:tcPr>
          <w:p>
            <w:pPr>
              <w:ind w:left="100"/>
              <w:spacing w:after="0"/>
              <w:rPr>
                <w:sz w:val="20"/>
                <w:szCs w:val="20"/>
                <w:color w:val="auto"/>
              </w:rPr>
            </w:pPr>
            <w:r>
              <w:rPr>
                <w:rFonts w:ascii="Arial" w:cs="Arial" w:eastAsia="Arial" w:hAnsi="Arial"/>
                <w:sz w:val="15"/>
                <w:szCs w:val="15"/>
                <w:color w:val="auto"/>
              </w:rPr>
              <w:t>Focus on delivering shareholder returns that outperform our OEM</w:t>
            </w:r>
          </w:p>
        </w:tc>
        <w:tc>
          <w:tcPr>
            <w:tcW w:w="0" w:type="dxa"/>
            <w:vAlign w:val="bottom"/>
          </w:tcPr>
          <w:p>
            <w:pPr>
              <w:spacing w:after="0"/>
              <w:rPr>
                <w:sz w:val="1"/>
                <w:szCs w:val="1"/>
                <w:color w:val="auto"/>
              </w:rPr>
            </w:pPr>
          </w:p>
        </w:tc>
      </w:tr>
      <w:tr>
        <w:trPr>
          <w:trHeight w:val="81"/>
        </w:trPr>
        <w:tc>
          <w:tcPr>
            <w:tcW w:w="20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Relative TSR</w:t>
            </w:r>
          </w:p>
        </w:tc>
        <w:tc>
          <w:tcPr>
            <w:tcW w:w="1300" w:type="dxa"/>
            <w:vAlign w:val="bottom"/>
            <w:vMerge w:val="restart"/>
          </w:tcPr>
          <w:p>
            <w:pPr>
              <w:jc w:val="center"/>
              <w:ind w:left="4"/>
              <w:spacing w:after="0"/>
              <w:rPr>
                <w:sz w:val="20"/>
                <w:szCs w:val="20"/>
                <w:color w:val="auto"/>
              </w:rPr>
            </w:pPr>
            <w:r>
              <w:rPr>
                <w:rFonts w:ascii="Arial" w:cs="Arial" w:eastAsia="Arial" w:hAnsi="Arial"/>
                <w:sz w:val="15"/>
                <w:szCs w:val="15"/>
                <w:color w:val="auto"/>
                <w:w w:val="99"/>
              </w:rPr>
              <w:t>33%</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Target (100%)</w:t>
            </w:r>
          </w:p>
        </w:tc>
        <w:tc>
          <w:tcPr>
            <w:tcW w:w="1340" w:type="dxa"/>
            <w:vAlign w:val="bottom"/>
            <w:vMerge w:val="restart"/>
          </w:tcPr>
          <w:p>
            <w:pPr>
              <w:ind w:left="20"/>
              <w:spacing w:after="0"/>
              <w:rPr>
                <w:sz w:val="20"/>
                <w:szCs w:val="20"/>
                <w:color w:val="auto"/>
              </w:rPr>
            </w:pPr>
            <w:r>
              <w:rPr>
                <w:rFonts w:ascii="Arial" w:cs="Arial" w:eastAsia="Arial" w:hAnsi="Arial"/>
                <w:sz w:val="15"/>
                <w:szCs w:val="15"/>
                <w:color w:val="auto"/>
              </w:rPr>
              <w:t>– 50th Percentile</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5"/>
                <w:szCs w:val="15"/>
                <w:color w:val="auto"/>
              </w:rPr>
              <w:t>peers</w:t>
            </w: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Maximum (200%)</w:t>
            </w:r>
          </w:p>
        </w:tc>
        <w:tc>
          <w:tcPr>
            <w:tcW w:w="1340" w:type="dxa"/>
            <w:vAlign w:val="bottom"/>
            <w:vMerge w:val="restart"/>
          </w:tcPr>
          <w:p>
            <w:pPr>
              <w:ind w:left="20"/>
              <w:spacing w:after="0"/>
              <w:rPr>
                <w:sz w:val="20"/>
                <w:szCs w:val="20"/>
                <w:color w:val="auto"/>
              </w:rPr>
            </w:pPr>
            <w:r>
              <w:rPr>
                <w:rFonts w:ascii="Arial" w:cs="Arial" w:eastAsia="Arial" w:hAnsi="Arial"/>
                <w:sz w:val="15"/>
                <w:szCs w:val="15"/>
                <w:color w:val="auto"/>
              </w:rPr>
              <w:t>– 75th Percentile</w:t>
            </w:r>
          </w:p>
        </w:tc>
        <w:tc>
          <w:tcPr>
            <w:tcW w:w="4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20" w:type="dxa"/>
            <w:vAlign w:val="bottom"/>
            <w:tcBorders>
              <w:bottom w:val="single" w:sz="8" w:color="0033A0"/>
            </w:tcBorders>
          </w:tcPr>
          <w:p>
            <w:pPr>
              <w:spacing w:after="0"/>
              <w:rPr>
                <w:sz w:val="6"/>
                <w:szCs w:val="6"/>
                <w:color w:val="auto"/>
              </w:rPr>
            </w:pPr>
          </w:p>
        </w:tc>
        <w:tc>
          <w:tcPr>
            <w:tcW w:w="1300" w:type="dxa"/>
            <w:vAlign w:val="bottom"/>
            <w:tcBorders>
              <w:bottom w:val="single" w:sz="8" w:color="0033A0"/>
            </w:tcBorders>
          </w:tcPr>
          <w:p>
            <w:pPr>
              <w:spacing w:after="0"/>
              <w:rPr>
                <w:sz w:val="6"/>
                <w:szCs w:val="6"/>
                <w:color w:val="auto"/>
              </w:rPr>
            </w:pPr>
          </w:p>
        </w:tc>
        <w:tc>
          <w:tcPr>
            <w:tcW w:w="1400" w:type="dxa"/>
            <w:vAlign w:val="bottom"/>
            <w:tcBorders>
              <w:bottom w:val="single" w:sz="8" w:color="0033A0"/>
            </w:tcBorders>
            <w:vMerge w:val="continue"/>
          </w:tcPr>
          <w:p>
            <w:pPr>
              <w:spacing w:after="0"/>
              <w:rPr>
                <w:sz w:val="6"/>
                <w:szCs w:val="6"/>
                <w:color w:val="auto"/>
              </w:rPr>
            </w:pPr>
          </w:p>
        </w:tc>
        <w:tc>
          <w:tcPr>
            <w:tcW w:w="1340" w:type="dxa"/>
            <w:vAlign w:val="bottom"/>
            <w:tcBorders>
              <w:bottom w:val="single" w:sz="8" w:color="0033A0"/>
            </w:tcBorders>
            <w:vMerge w:val="continue"/>
          </w:tcPr>
          <w:p>
            <w:pPr>
              <w:spacing w:after="0"/>
              <w:rPr>
                <w:sz w:val="6"/>
                <w:szCs w:val="6"/>
                <w:color w:val="auto"/>
              </w:rPr>
            </w:pPr>
          </w:p>
        </w:tc>
        <w:tc>
          <w:tcPr>
            <w:tcW w:w="4940" w:type="dxa"/>
            <w:vAlign w:val="bottom"/>
            <w:tcBorders>
              <w:bottom w:val="single" w:sz="8" w:color="0033A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2018–2020 PSUs vest and are awarded and delivered following the completion of the three-year performance period beginning January 1, 2018 and may be earned at a level between 0% and 200% of target based on actual Company results. When determining grant amounts, the Compensation Committee considers factors such as individual responsibilities, experience, and performance. In addition, the Compensation Committee factors relevant market compensation comparison data and seeks input from their independent compensation consultant.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146050</wp:posOffset>
            </wp:positionV>
            <wp:extent cx="6852920" cy="20300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2920" cy="203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46</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40" w:hanging="430"/>
        <w:spacing w:after="0"/>
        <w:tabs>
          <w:tab w:leader="none" w:pos="640" w:val="left"/>
        </w:tabs>
        <w:numPr>
          <w:ilvl w:val="0"/>
          <w:numId w:val="77"/>
        </w:numPr>
        <w:rPr>
          <w:rFonts w:ascii="Arial" w:cs="Arial" w:eastAsia="Arial" w:hAnsi="Arial"/>
          <w:sz w:val="25"/>
          <w:szCs w:val="25"/>
          <w:color w:val="0033A0"/>
        </w:rPr>
      </w:pPr>
      <w:r>
        <w:rPr>
          <w:rFonts w:ascii="Arial" w:cs="Arial" w:eastAsia="Arial" w:hAnsi="Arial"/>
          <w:sz w:val="25"/>
          <w:szCs w:val="25"/>
          <w:color w:val="auto"/>
        </w:rPr>
        <w:t>Summary of Outstanding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159385</wp:posOffset>
            </wp:positionV>
            <wp:extent cx="4968240" cy="18586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68240" cy="185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left="300"/>
        <w:spacing w:after="0" w:line="259" w:lineRule="auto"/>
        <w:rPr>
          <w:sz w:val="20"/>
          <w:szCs w:val="20"/>
          <w:color w:val="auto"/>
        </w:rPr>
      </w:pPr>
      <w:r>
        <w:rPr>
          <w:rFonts w:ascii="Arial" w:cs="Arial" w:eastAsia="Arial" w:hAnsi="Arial"/>
          <w:sz w:val="18"/>
          <w:szCs w:val="18"/>
          <w:color w:val="auto"/>
        </w:rPr>
        <w:t>Award Performance Period Performance Metrics Potential Payouts (1) Vest Date 2020 2021 DSV Option Grant 7/28/2015 4.5 Years to 12/31/2019 TSR vs. OEM Peer Group 0% or 100% 2/15/2020 20172019 PSUs 1/1/2017 3 Years to 12/31/2019 Relative ROIC-adjusted Relative TSR 0%200% 2/14/2020 20182020 PSUs 1/1/2018 3 Years to 12/31/2020 Relative ROIC-adjusted Relative TSR 0%200% 2/13/2021 (1) The performance of each award will be measured and determined at the end of the performance period.</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Performance Results and Compensation Decisions</w:t>
      </w:r>
    </w:p>
    <w:p>
      <w:pPr>
        <w:spacing w:after="0" w:line="362" w:lineRule="exact"/>
        <w:rPr>
          <w:sz w:val="20"/>
          <w:szCs w:val="20"/>
          <w:color w:val="auto"/>
        </w:rPr>
      </w:pPr>
    </w:p>
    <w:p>
      <w:pPr>
        <w:ind w:left="640" w:hanging="430"/>
        <w:spacing w:after="0"/>
        <w:tabs>
          <w:tab w:leader="none" w:pos="640" w:val="left"/>
        </w:tabs>
        <w:numPr>
          <w:ilvl w:val="0"/>
          <w:numId w:val="78"/>
        </w:numPr>
        <w:rPr>
          <w:rFonts w:ascii="Arial" w:cs="Arial" w:eastAsia="Arial" w:hAnsi="Arial"/>
          <w:sz w:val="25"/>
          <w:szCs w:val="25"/>
          <w:color w:val="0033A0"/>
        </w:rPr>
      </w:pPr>
      <w:r>
        <w:rPr>
          <w:rFonts w:ascii="Arial" w:cs="Arial" w:eastAsia="Arial" w:hAnsi="Arial"/>
          <w:sz w:val="25"/>
          <w:szCs w:val="25"/>
          <w:color w:val="auto"/>
        </w:rPr>
        <w:t>2018 STIP Results</w:t>
      </w:r>
    </w:p>
    <w:p>
      <w:pPr>
        <w:spacing w:after="0" w:line="185"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Company portion of the 2018 STIP award was calculated based on the Company’s achievement of EBIT-adjusted and Adjusted AFCF performance measures. In addition, each NEO has an individual performance portion of their STIP that measures performance against pre-established goals. Final STIP performance approved by the Compensation Committee is displayed below:</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2840" w:type="dxa"/>
            <w:vAlign w:val="bottom"/>
            <w:tcBorders>
              <w:top w:val="single" w:sz="8" w:color="00A1DF"/>
            </w:tcBorders>
          </w:tcPr>
          <w:p>
            <w:pPr>
              <w:spacing w:after="0"/>
              <w:rPr>
                <w:sz w:val="14"/>
                <w:szCs w:val="14"/>
                <w:color w:val="auto"/>
              </w:rPr>
            </w:pPr>
          </w:p>
        </w:tc>
        <w:tc>
          <w:tcPr>
            <w:tcW w:w="1880" w:type="dxa"/>
            <w:vAlign w:val="bottom"/>
            <w:tcBorders>
              <w:top w:val="single" w:sz="8" w:color="00A1DF"/>
            </w:tcBorders>
          </w:tcPr>
          <w:p>
            <w:pPr>
              <w:spacing w:after="0"/>
              <w:rPr>
                <w:sz w:val="14"/>
                <w:szCs w:val="14"/>
                <w:color w:val="auto"/>
              </w:rPr>
            </w:pPr>
          </w:p>
        </w:tc>
        <w:tc>
          <w:tcPr>
            <w:tcW w:w="1320" w:type="dxa"/>
            <w:vAlign w:val="bottom"/>
            <w:tcBorders>
              <w:top w:val="single" w:sz="8" w:color="00A1DF"/>
            </w:tcBorders>
          </w:tcPr>
          <w:p>
            <w:pPr>
              <w:spacing w:after="0"/>
              <w:rPr>
                <w:sz w:val="14"/>
                <w:szCs w:val="14"/>
                <w:color w:val="auto"/>
              </w:rPr>
            </w:pPr>
          </w:p>
        </w:tc>
        <w:tc>
          <w:tcPr>
            <w:tcW w:w="1100" w:type="dxa"/>
            <w:vAlign w:val="bottom"/>
            <w:tcBorders>
              <w:top w:val="single" w:sz="8" w:color="00A1DF"/>
            </w:tcBorders>
          </w:tcPr>
          <w:p>
            <w:pPr>
              <w:spacing w:after="0"/>
              <w:rPr>
                <w:sz w:val="14"/>
                <w:szCs w:val="14"/>
                <w:color w:val="auto"/>
              </w:rPr>
            </w:pPr>
          </w:p>
        </w:tc>
        <w:tc>
          <w:tcPr>
            <w:tcW w:w="1220" w:type="dxa"/>
            <w:vAlign w:val="bottom"/>
            <w:tcBorders>
              <w:top w:val="single" w:sz="8" w:color="00A1DF"/>
            </w:tcBorders>
          </w:tcPr>
          <w:p>
            <w:pPr>
              <w:spacing w:after="0"/>
              <w:rPr>
                <w:sz w:val="14"/>
                <w:szCs w:val="14"/>
                <w:color w:val="auto"/>
              </w:rPr>
            </w:pPr>
          </w:p>
        </w:tc>
        <w:tc>
          <w:tcPr>
            <w:tcW w:w="1340" w:type="dxa"/>
            <w:vAlign w:val="bottom"/>
            <w:tcBorders>
              <w:top w:val="single" w:sz="8" w:color="00A1DF"/>
            </w:tcBorders>
          </w:tcPr>
          <w:p>
            <w:pPr>
              <w:jc w:val="right"/>
              <w:ind w:right="104"/>
              <w:spacing w:after="0" w:line="167" w:lineRule="exact"/>
              <w:rPr>
                <w:sz w:val="20"/>
                <w:szCs w:val="20"/>
                <w:color w:val="auto"/>
              </w:rPr>
            </w:pPr>
            <w:r>
              <w:rPr>
                <w:rFonts w:ascii="Arial" w:cs="Arial" w:eastAsia="Arial" w:hAnsi="Arial"/>
                <w:sz w:val="15"/>
                <w:szCs w:val="15"/>
                <w:b w:val="1"/>
                <w:bCs w:val="1"/>
                <w:color w:val="00A1DF"/>
              </w:rPr>
              <w:t>Performance</w:t>
            </w:r>
          </w:p>
        </w:tc>
        <w:tc>
          <w:tcPr>
            <w:tcW w:w="1300" w:type="dxa"/>
            <w:vAlign w:val="bottom"/>
            <w:tcBorders>
              <w:top w:val="single" w:sz="8" w:color="00A1DF"/>
            </w:tcBorders>
          </w:tcPr>
          <w:p>
            <w:pPr>
              <w:jc w:val="right"/>
              <w:ind w:right="124"/>
              <w:spacing w:after="0" w:line="167" w:lineRule="exact"/>
              <w:rPr>
                <w:sz w:val="20"/>
                <w:szCs w:val="20"/>
                <w:color w:val="auto"/>
              </w:rPr>
            </w:pPr>
            <w:r>
              <w:rPr>
                <w:rFonts w:ascii="Arial" w:cs="Arial" w:eastAsia="Arial" w:hAnsi="Arial"/>
                <w:sz w:val="15"/>
                <w:szCs w:val="15"/>
                <w:b w:val="1"/>
                <w:bCs w:val="1"/>
                <w:color w:val="00A1DF"/>
              </w:rPr>
              <w:t>Performance</w:t>
            </w:r>
          </w:p>
        </w:tc>
      </w:tr>
      <w:tr>
        <w:trPr>
          <w:trHeight w:val="206"/>
        </w:trPr>
        <w:tc>
          <w:tcPr>
            <w:tcW w:w="284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STIP Measure</w:t>
            </w:r>
          </w:p>
        </w:tc>
        <w:tc>
          <w:tcPr>
            <w:tcW w:w="1880" w:type="dxa"/>
            <w:vAlign w:val="bottom"/>
            <w:tcBorders>
              <w:bottom w:val="single" w:sz="8" w:color="00A1DF"/>
            </w:tcBorders>
          </w:tcPr>
          <w:p>
            <w:pPr>
              <w:jc w:val="right"/>
              <w:ind w:right="184"/>
              <w:spacing w:after="0"/>
              <w:rPr>
                <w:sz w:val="20"/>
                <w:szCs w:val="20"/>
                <w:color w:val="auto"/>
              </w:rPr>
            </w:pPr>
            <w:r>
              <w:rPr>
                <w:rFonts w:ascii="Arial" w:cs="Arial" w:eastAsia="Arial" w:hAnsi="Arial"/>
                <w:sz w:val="15"/>
                <w:szCs w:val="15"/>
                <w:b w:val="1"/>
                <w:bCs w:val="1"/>
                <w:color w:val="00A1DF"/>
              </w:rPr>
              <w:t>Weight</w:t>
            </w:r>
          </w:p>
        </w:tc>
        <w:tc>
          <w:tcPr>
            <w:tcW w:w="1320" w:type="dxa"/>
            <w:vAlign w:val="bottom"/>
            <w:tcBorders>
              <w:bottom w:val="single" w:sz="8" w:color="00A1DF"/>
            </w:tcBorders>
          </w:tcPr>
          <w:p>
            <w:pPr>
              <w:jc w:val="right"/>
              <w:ind w:right="244"/>
              <w:spacing w:after="0"/>
              <w:rPr>
                <w:sz w:val="20"/>
                <w:szCs w:val="20"/>
                <w:color w:val="auto"/>
              </w:rPr>
            </w:pPr>
            <w:r>
              <w:rPr>
                <w:rFonts w:ascii="Arial" w:cs="Arial" w:eastAsia="Arial" w:hAnsi="Arial"/>
                <w:sz w:val="15"/>
                <w:szCs w:val="15"/>
                <w:b w:val="1"/>
                <w:bCs w:val="1"/>
                <w:color w:val="00A1DF"/>
              </w:rPr>
              <w:t>Threshold</w:t>
            </w:r>
          </w:p>
        </w:tc>
        <w:tc>
          <w:tcPr>
            <w:tcW w:w="1100" w:type="dxa"/>
            <w:vAlign w:val="bottom"/>
            <w:tcBorders>
              <w:bottom w:val="single" w:sz="8" w:color="00A1DF"/>
            </w:tcBorders>
          </w:tcPr>
          <w:p>
            <w:pPr>
              <w:jc w:val="right"/>
              <w:ind w:right="244"/>
              <w:spacing w:after="0"/>
              <w:rPr>
                <w:sz w:val="20"/>
                <w:szCs w:val="20"/>
                <w:color w:val="auto"/>
              </w:rPr>
            </w:pPr>
            <w:r>
              <w:rPr>
                <w:rFonts w:ascii="Arial" w:cs="Arial" w:eastAsia="Arial" w:hAnsi="Arial"/>
                <w:sz w:val="15"/>
                <w:szCs w:val="15"/>
                <w:b w:val="1"/>
                <w:bCs w:val="1"/>
                <w:color w:val="00A1DF"/>
              </w:rPr>
              <w:t>Target</w:t>
            </w:r>
          </w:p>
        </w:tc>
        <w:tc>
          <w:tcPr>
            <w:tcW w:w="1220" w:type="dxa"/>
            <w:vAlign w:val="bottom"/>
            <w:tcBorders>
              <w:bottom w:val="single" w:sz="8" w:color="00A1DF"/>
            </w:tcBorders>
          </w:tcPr>
          <w:p>
            <w:pPr>
              <w:jc w:val="right"/>
              <w:ind w:right="144"/>
              <w:spacing w:after="0"/>
              <w:rPr>
                <w:sz w:val="20"/>
                <w:szCs w:val="20"/>
                <w:color w:val="auto"/>
              </w:rPr>
            </w:pPr>
            <w:r>
              <w:rPr>
                <w:rFonts w:ascii="Arial" w:cs="Arial" w:eastAsia="Arial" w:hAnsi="Arial"/>
                <w:sz w:val="15"/>
                <w:szCs w:val="15"/>
                <w:b w:val="1"/>
                <w:bCs w:val="1"/>
                <w:color w:val="00A1DF"/>
              </w:rPr>
              <w:t>Maximum</w:t>
            </w:r>
          </w:p>
        </w:tc>
        <w:tc>
          <w:tcPr>
            <w:tcW w:w="1340" w:type="dxa"/>
            <w:vAlign w:val="bottom"/>
            <w:tcBorders>
              <w:bottom w:val="single" w:sz="8" w:color="00A1DF"/>
            </w:tcBorders>
          </w:tcPr>
          <w:p>
            <w:pPr>
              <w:jc w:val="right"/>
              <w:ind w:right="104"/>
              <w:spacing w:after="0"/>
              <w:rPr>
                <w:sz w:val="20"/>
                <w:szCs w:val="20"/>
                <w:color w:val="auto"/>
              </w:rPr>
            </w:pPr>
            <w:r>
              <w:rPr>
                <w:rFonts w:ascii="Arial" w:cs="Arial" w:eastAsia="Arial" w:hAnsi="Arial"/>
                <w:sz w:val="15"/>
                <w:szCs w:val="15"/>
                <w:b w:val="1"/>
                <w:bCs w:val="1"/>
                <w:color w:val="00A1DF"/>
              </w:rPr>
              <w:t>Results</w:t>
            </w:r>
          </w:p>
        </w:tc>
        <w:tc>
          <w:tcPr>
            <w:tcW w:w="1300" w:type="dxa"/>
            <w:vAlign w:val="bottom"/>
            <w:tcBorders>
              <w:bottom w:val="single" w:sz="8" w:color="00A1DF"/>
            </w:tcBorders>
          </w:tcPr>
          <w:p>
            <w:pPr>
              <w:jc w:val="right"/>
              <w:ind w:right="124"/>
              <w:spacing w:after="0"/>
              <w:rPr>
                <w:sz w:val="20"/>
                <w:szCs w:val="20"/>
                <w:color w:val="auto"/>
              </w:rPr>
            </w:pPr>
            <w:r>
              <w:rPr>
                <w:rFonts w:ascii="Arial" w:cs="Arial" w:eastAsia="Arial" w:hAnsi="Arial"/>
                <w:sz w:val="15"/>
                <w:szCs w:val="15"/>
                <w:b w:val="1"/>
                <w:bCs w:val="1"/>
                <w:color w:val="00A1DF"/>
              </w:rPr>
              <w:t>Payout</w:t>
            </w:r>
          </w:p>
        </w:tc>
      </w:tr>
      <w:tr>
        <w:trPr>
          <w:trHeight w:val="240"/>
        </w:trPr>
        <w:tc>
          <w:tcPr>
            <w:tcW w:w="284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5"/>
                <w:szCs w:val="15"/>
                <w:color w:val="auto"/>
              </w:rPr>
              <w:t>EBIT-adjusted ($B)</w:t>
            </w:r>
            <w:r>
              <w:rPr>
                <w:rFonts w:ascii="Arial" w:cs="Arial" w:eastAsia="Arial" w:hAnsi="Arial"/>
                <w:sz w:val="25"/>
                <w:szCs w:val="25"/>
                <w:color w:val="auto"/>
                <w:vertAlign w:val="superscript"/>
              </w:rPr>
              <w:t>(1)</w:t>
            </w:r>
          </w:p>
        </w:tc>
        <w:tc>
          <w:tcPr>
            <w:tcW w:w="18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50%</w:t>
            </w:r>
          </w:p>
        </w:tc>
        <w:tc>
          <w:tcPr>
            <w:tcW w:w="13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$7.0</w:t>
            </w:r>
          </w:p>
        </w:tc>
        <w:tc>
          <w:tcPr>
            <w:tcW w:w="11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$12.9</w:t>
            </w:r>
          </w:p>
        </w:tc>
        <w:tc>
          <w:tcPr>
            <w:tcW w:w="12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$14.2</w:t>
            </w:r>
          </w:p>
        </w:tc>
        <w:tc>
          <w:tcPr>
            <w:tcW w:w="13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r>
      <w:tr>
        <w:trPr>
          <w:trHeight w:val="236"/>
        </w:trPr>
        <w:tc>
          <w:tcPr>
            <w:tcW w:w="28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5"/>
                <w:szCs w:val="15"/>
                <w:color w:val="auto"/>
              </w:rPr>
              <w:t>Adjusted AFCF ($B)</w:t>
            </w:r>
            <w:r>
              <w:rPr>
                <w:rFonts w:ascii="Arial" w:cs="Arial" w:eastAsia="Arial" w:hAnsi="Arial"/>
                <w:sz w:val="25"/>
                <w:szCs w:val="25"/>
                <w:color w:val="auto"/>
                <w:vertAlign w:val="superscript"/>
              </w:rPr>
              <w:t>(1)(2)</w:t>
            </w:r>
          </w:p>
        </w:tc>
        <w:tc>
          <w:tcPr>
            <w:tcW w:w="18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25%</w:t>
            </w:r>
          </w:p>
        </w:tc>
        <w:tc>
          <w:tcPr>
            <w:tcW w:w="13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$0.0</w:t>
            </w:r>
          </w:p>
        </w:tc>
        <w:tc>
          <w:tcPr>
            <w:tcW w:w="11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$5.4</w:t>
            </w:r>
          </w:p>
        </w:tc>
        <w:tc>
          <w:tcPr>
            <w:tcW w:w="12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$6.4</w:t>
            </w:r>
          </w:p>
        </w:tc>
        <w:tc>
          <w:tcPr>
            <w:tcW w:w="13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r>
      <w:tr>
        <w:trPr>
          <w:trHeight w:val="215"/>
        </w:trPr>
        <w:tc>
          <w:tcPr>
            <w:tcW w:w="2840" w:type="dxa"/>
            <w:vAlign w:val="bottom"/>
          </w:tcPr>
          <w:p>
            <w:pPr>
              <w:ind w:left="60"/>
              <w:spacing w:after="0"/>
              <w:rPr>
                <w:sz w:val="20"/>
                <w:szCs w:val="20"/>
                <w:color w:val="auto"/>
              </w:rPr>
            </w:pPr>
            <w:r>
              <w:rPr>
                <w:rFonts w:ascii="Arial" w:cs="Arial" w:eastAsia="Arial" w:hAnsi="Arial"/>
                <w:sz w:val="15"/>
                <w:szCs w:val="15"/>
                <w:color w:val="auto"/>
              </w:rPr>
              <w:t>Individual Performance</w:t>
            </w:r>
          </w:p>
        </w:tc>
        <w:tc>
          <w:tcPr>
            <w:tcW w:w="1880" w:type="dxa"/>
            <w:vAlign w:val="bottom"/>
          </w:tcPr>
          <w:p>
            <w:pPr>
              <w:jc w:val="right"/>
              <w:ind w:right="264"/>
              <w:spacing w:after="0"/>
              <w:rPr>
                <w:sz w:val="20"/>
                <w:szCs w:val="20"/>
                <w:color w:val="auto"/>
              </w:rPr>
            </w:pPr>
            <w:r>
              <w:rPr>
                <w:rFonts w:ascii="Arial" w:cs="Arial" w:eastAsia="Arial" w:hAnsi="Arial"/>
                <w:sz w:val="15"/>
                <w:szCs w:val="15"/>
                <w:color w:val="auto"/>
              </w:rPr>
              <w:t>25%</w:t>
            </w:r>
          </w:p>
        </w:tc>
        <w:tc>
          <w:tcPr>
            <w:tcW w:w="1320" w:type="dxa"/>
            <w:vAlign w:val="bottom"/>
          </w:tcPr>
          <w:p>
            <w:pPr>
              <w:jc w:val="right"/>
              <w:ind w:right="244"/>
              <w:spacing w:after="0"/>
              <w:rPr>
                <w:sz w:val="20"/>
                <w:szCs w:val="20"/>
                <w:color w:val="auto"/>
              </w:rPr>
            </w:pPr>
            <w:r>
              <w:rPr>
                <w:rFonts w:ascii="Arial" w:cs="Arial" w:eastAsia="Arial" w:hAnsi="Arial"/>
                <w:sz w:val="15"/>
                <w:szCs w:val="15"/>
                <w:color w:val="auto"/>
              </w:rPr>
              <w:t>0 pts.</w:t>
            </w:r>
          </w:p>
        </w:tc>
        <w:tc>
          <w:tcPr>
            <w:tcW w:w="1100" w:type="dxa"/>
            <w:vAlign w:val="bottom"/>
          </w:tcPr>
          <w:p>
            <w:pPr>
              <w:jc w:val="right"/>
              <w:ind w:right="244"/>
              <w:spacing w:after="0"/>
              <w:rPr>
                <w:sz w:val="20"/>
                <w:szCs w:val="20"/>
                <w:color w:val="auto"/>
              </w:rPr>
            </w:pPr>
            <w:r>
              <w:rPr>
                <w:rFonts w:ascii="Arial" w:cs="Arial" w:eastAsia="Arial" w:hAnsi="Arial"/>
                <w:sz w:val="15"/>
                <w:szCs w:val="15"/>
                <w:color w:val="auto"/>
              </w:rPr>
              <w:t>25 pts.</w:t>
            </w:r>
          </w:p>
        </w:tc>
        <w:tc>
          <w:tcPr>
            <w:tcW w:w="1220" w:type="dxa"/>
            <w:vAlign w:val="bottom"/>
          </w:tcPr>
          <w:p>
            <w:pPr>
              <w:jc w:val="right"/>
              <w:ind w:right="144"/>
              <w:spacing w:after="0"/>
              <w:rPr>
                <w:sz w:val="20"/>
                <w:szCs w:val="20"/>
                <w:color w:val="auto"/>
              </w:rPr>
            </w:pPr>
            <w:r>
              <w:rPr>
                <w:rFonts w:ascii="Arial" w:cs="Arial" w:eastAsia="Arial" w:hAnsi="Arial"/>
                <w:sz w:val="15"/>
                <w:szCs w:val="15"/>
                <w:color w:val="auto"/>
              </w:rPr>
              <w:t>50 pts.</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25 – 35 pts.</w:t>
            </w:r>
          </w:p>
        </w:tc>
        <w:tc>
          <w:tcPr>
            <w:tcW w:w="1300" w:type="dxa"/>
            <w:vAlign w:val="bottom"/>
          </w:tcPr>
          <w:p>
            <w:pPr>
              <w:jc w:val="right"/>
              <w:spacing w:after="0"/>
              <w:rPr>
                <w:sz w:val="20"/>
                <w:szCs w:val="20"/>
                <w:color w:val="auto"/>
              </w:rPr>
            </w:pPr>
            <w:r>
              <w:rPr>
                <w:rFonts w:ascii="Arial" w:cs="Arial" w:eastAsia="Arial" w:hAnsi="Arial"/>
                <w:sz w:val="15"/>
                <w:szCs w:val="15"/>
                <w:color w:val="auto"/>
              </w:rPr>
              <w:t>25%–35%</w:t>
            </w:r>
          </w:p>
        </w:tc>
      </w:tr>
      <w:tr>
        <w:trPr>
          <w:trHeight w:val="21"/>
        </w:trPr>
        <w:tc>
          <w:tcPr>
            <w:tcW w:w="2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5"/>
        </w:trPr>
        <w:tc>
          <w:tcPr>
            <w:tcW w:w="2840" w:type="dxa"/>
            <w:vAlign w:val="bottom"/>
          </w:tcPr>
          <w:p>
            <w:pPr>
              <w:ind w:left="60"/>
              <w:spacing w:after="0"/>
              <w:rPr>
                <w:sz w:val="20"/>
                <w:szCs w:val="20"/>
                <w:color w:val="auto"/>
              </w:rPr>
            </w:pPr>
            <w:r>
              <w:rPr>
                <w:rFonts w:ascii="Arial" w:cs="Arial" w:eastAsia="Arial" w:hAnsi="Arial"/>
                <w:sz w:val="15"/>
                <w:szCs w:val="15"/>
                <w:b w:val="1"/>
                <w:bCs w:val="1"/>
                <w:color w:val="0033A0"/>
              </w:rPr>
              <w:t>Result</w:t>
            </w:r>
          </w:p>
        </w:tc>
        <w:tc>
          <w:tcPr>
            <w:tcW w:w="1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0033A0"/>
              </w:rPr>
              <w:t>96%–106%</w:t>
            </w:r>
          </w:p>
        </w:tc>
      </w:tr>
      <w:tr>
        <w:trPr>
          <w:trHeight w:val="21"/>
        </w:trPr>
        <w:tc>
          <w:tcPr>
            <w:tcW w:w="2840" w:type="dxa"/>
            <w:vAlign w:val="bottom"/>
            <w:tcBorders>
              <w:bottom w:val="single" w:sz="8" w:color="0033A0"/>
            </w:tcBorders>
          </w:tcPr>
          <w:p>
            <w:pPr>
              <w:spacing w:after="0" w:line="20" w:lineRule="exact"/>
              <w:rPr>
                <w:sz w:val="1"/>
                <w:szCs w:val="1"/>
                <w:color w:val="auto"/>
              </w:rPr>
            </w:pPr>
          </w:p>
        </w:tc>
        <w:tc>
          <w:tcPr>
            <w:tcW w:w="1880" w:type="dxa"/>
            <w:vAlign w:val="bottom"/>
            <w:tcBorders>
              <w:bottom w:val="single" w:sz="8" w:color="0033A0"/>
            </w:tcBorders>
          </w:tcPr>
          <w:p>
            <w:pPr>
              <w:spacing w:after="0" w:line="20" w:lineRule="exact"/>
              <w:rPr>
                <w:sz w:val="1"/>
                <w:szCs w:val="1"/>
                <w:color w:val="auto"/>
              </w:rPr>
            </w:pPr>
          </w:p>
        </w:tc>
        <w:tc>
          <w:tcPr>
            <w:tcW w:w="1320" w:type="dxa"/>
            <w:vAlign w:val="bottom"/>
            <w:tcBorders>
              <w:bottom w:val="single" w:sz="8" w:color="0033A0"/>
            </w:tcBorders>
          </w:tcPr>
          <w:p>
            <w:pPr>
              <w:spacing w:after="0" w:line="20" w:lineRule="exact"/>
              <w:rPr>
                <w:sz w:val="1"/>
                <w:szCs w:val="1"/>
                <w:color w:val="auto"/>
              </w:rPr>
            </w:pPr>
          </w:p>
        </w:tc>
        <w:tc>
          <w:tcPr>
            <w:tcW w:w="1100" w:type="dxa"/>
            <w:vAlign w:val="bottom"/>
            <w:tcBorders>
              <w:bottom w:val="single" w:sz="8" w:color="0033A0"/>
            </w:tcBorders>
          </w:tcPr>
          <w:p>
            <w:pPr>
              <w:spacing w:after="0" w:line="20" w:lineRule="exact"/>
              <w:rPr>
                <w:sz w:val="1"/>
                <w:szCs w:val="1"/>
                <w:color w:val="auto"/>
              </w:rPr>
            </w:pPr>
          </w:p>
        </w:tc>
        <w:tc>
          <w:tcPr>
            <w:tcW w:w="1220" w:type="dxa"/>
            <w:vAlign w:val="bottom"/>
            <w:tcBorders>
              <w:bottom w:val="single" w:sz="8" w:color="0033A0"/>
            </w:tcBorders>
          </w:tcPr>
          <w:p>
            <w:pPr>
              <w:spacing w:after="0" w:line="20" w:lineRule="exact"/>
              <w:rPr>
                <w:sz w:val="1"/>
                <w:szCs w:val="1"/>
                <w:color w:val="auto"/>
              </w:rPr>
            </w:pPr>
          </w:p>
        </w:tc>
        <w:tc>
          <w:tcPr>
            <w:tcW w:w="1340" w:type="dxa"/>
            <w:vAlign w:val="bottom"/>
            <w:tcBorders>
              <w:bottom w:val="single" w:sz="8" w:color="0033A0"/>
            </w:tcBorders>
          </w:tcPr>
          <w:p>
            <w:pPr>
              <w:spacing w:after="0" w:line="20" w:lineRule="exact"/>
              <w:rPr>
                <w:sz w:val="1"/>
                <w:szCs w:val="1"/>
                <w:color w:val="auto"/>
              </w:rPr>
            </w:pPr>
          </w:p>
        </w:tc>
        <w:tc>
          <w:tcPr>
            <w:tcW w:w="1300" w:type="dxa"/>
            <w:vAlign w:val="bottom"/>
            <w:tcBorders>
              <w:bottom w:val="single" w:sz="8" w:color="0033A0"/>
            </w:tcBorders>
          </w:tcPr>
          <w:p>
            <w:pPr>
              <w:spacing w:after="0" w:line="20" w:lineRule="exact"/>
              <w:rPr>
                <w:sz w:val="1"/>
                <w:szCs w:val="1"/>
                <w:color w:val="auto"/>
              </w:rPr>
            </w:pPr>
          </w:p>
        </w:tc>
      </w:tr>
    </w:tbl>
    <w:p>
      <w:pPr>
        <w:spacing w:after="0" w:line="58" w:lineRule="exact"/>
        <w:rPr>
          <w:sz w:val="20"/>
          <w:szCs w:val="20"/>
          <w:color w:val="auto"/>
        </w:rPr>
      </w:pPr>
    </w:p>
    <w:p>
      <w:pPr>
        <w:ind w:left="540" w:hanging="330"/>
        <w:spacing w:after="0"/>
        <w:tabs>
          <w:tab w:leader="none" w:pos="5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Measure adjusted for incentive purposes and excludes certain business operations.</w:t>
      </w:r>
    </w:p>
    <w:p>
      <w:pPr>
        <w:spacing w:after="0" w:line="68" w:lineRule="exact"/>
        <w:rPr>
          <w:rFonts w:ascii="Arial" w:cs="Arial" w:eastAsia="Arial" w:hAnsi="Arial"/>
          <w:sz w:val="14"/>
          <w:szCs w:val="14"/>
          <w:i w:val="1"/>
          <w:iCs w:val="1"/>
          <w:color w:val="auto"/>
        </w:rPr>
      </w:pPr>
    </w:p>
    <w:p>
      <w:pPr>
        <w:ind w:left="540" w:hanging="330"/>
        <w:spacing w:after="0" w:line="278" w:lineRule="auto"/>
        <w:tabs>
          <w:tab w:leader="none" w:pos="5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events occurring in 2014. Final performance result excludes $0.6B in pre-funding payments to certain non-U.S. pensions in Q3 2018. For a description of how Adjusted AFCF is calculated, see Appendix A.</w:t>
      </w:r>
    </w:p>
    <w:p>
      <w:pPr>
        <w:spacing w:after="0" w:line="151"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Despite significant incremental commodity and foreign exchange headwinds, the Company delivered strong performance in 2018. As demonstrated by the results above, the Compensation Committee continues to set challenging performance targets.</w:t>
      </w:r>
    </w:p>
    <w:p>
      <w:pPr>
        <w:spacing w:after="0" w:line="316" w:lineRule="exact"/>
        <w:rPr>
          <w:sz w:val="20"/>
          <w:szCs w:val="20"/>
          <w:color w:val="auto"/>
        </w:rPr>
      </w:pPr>
    </w:p>
    <w:p>
      <w:pPr>
        <w:ind w:left="640" w:hanging="430"/>
        <w:spacing w:after="0"/>
        <w:tabs>
          <w:tab w:leader="none" w:pos="640" w:val="left"/>
        </w:tabs>
        <w:numPr>
          <w:ilvl w:val="0"/>
          <w:numId w:val="80"/>
        </w:numPr>
        <w:rPr>
          <w:rFonts w:ascii="Arial" w:cs="Arial" w:eastAsia="Arial" w:hAnsi="Arial"/>
          <w:sz w:val="25"/>
          <w:szCs w:val="25"/>
          <w:color w:val="0033A0"/>
        </w:rPr>
      </w:pPr>
      <w:r>
        <w:rPr>
          <w:rFonts w:ascii="Arial" w:cs="Arial" w:eastAsia="Arial" w:hAnsi="Arial"/>
          <w:sz w:val="25"/>
          <w:szCs w:val="25"/>
          <w:color w:val="auto"/>
        </w:rPr>
        <w:t>2016–2018 LTIP Results</w:t>
      </w:r>
    </w:p>
    <w:p>
      <w:pPr>
        <w:spacing w:after="0" w:line="185"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2016–2018 PSU awards vested on February 10, 2019, based on Company performance for the three-year period beginning January 1, 2016, against pre-established performance targets for ROIC-adjusted and the Global Market Share modifier. The following performance was approved by the Compensation Committee:</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2320" w:type="dxa"/>
            <w:vAlign w:val="bottom"/>
            <w:tcBorders>
              <w:top w:val="single" w:sz="8" w:color="00A1DF"/>
            </w:tcBorders>
          </w:tcPr>
          <w:p>
            <w:pPr>
              <w:spacing w:after="0"/>
              <w:rPr>
                <w:sz w:val="14"/>
                <w:szCs w:val="14"/>
                <w:color w:val="auto"/>
              </w:rPr>
            </w:pPr>
          </w:p>
        </w:tc>
        <w:tc>
          <w:tcPr>
            <w:tcW w:w="2040" w:type="dxa"/>
            <w:vAlign w:val="bottom"/>
            <w:tcBorders>
              <w:top w:val="single" w:sz="8" w:color="00A1DF"/>
            </w:tcBorders>
          </w:tcPr>
          <w:p>
            <w:pPr>
              <w:spacing w:after="0"/>
              <w:rPr>
                <w:sz w:val="14"/>
                <w:szCs w:val="14"/>
                <w:color w:val="auto"/>
              </w:rPr>
            </w:pPr>
          </w:p>
        </w:tc>
        <w:tc>
          <w:tcPr>
            <w:tcW w:w="1300" w:type="dxa"/>
            <w:vAlign w:val="bottom"/>
            <w:tcBorders>
              <w:top w:val="single" w:sz="8" w:color="00A1DF"/>
            </w:tcBorders>
          </w:tcPr>
          <w:p>
            <w:pPr>
              <w:spacing w:after="0"/>
              <w:rPr>
                <w:sz w:val="14"/>
                <w:szCs w:val="14"/>
                <w:color w:val="auto"/>
              </w:rPr>
            </w:pPr>
          </w:p>
        </w:tc>
        <w:tc>
          <w:tcPr>
            <w:tcW w:w="1020" w:type="dxa"/>
            <w:vAlign w:val="bottom"/>
            <w:tcBorders>
              <w:top w:val="single" w:sz="8" w:color="00A1DF"/>
            </w:tcBorders>
          </w:tcPr>
          <w:p>
            <w:pPr>
              <w:spacing w:after="0"/>
              <w:rPr>
                <w:sz w:val="14"/>
                <w:szCs w:val="14"/>
                <w:color w:val="auto"/>
              </w:rPr>
            </w:pPr>
          </w:p>
        </w:tc>
        <w:tc>
          <w:tcPr>
            <w:tcW w:w="1260" w:type="dxa"/>
            <w:vAlign w:val="bottom"/>
            <w:tcBorders>
              <w:top w:val="single" w:sz="8" w:color="00A1DF"/>
            </w:tcBorders>
          </w:tcPr>
          <w:p>
            <w:pPr>
              <w:spacing w:after="0"/>
              <w:rPr>
                <w:sz w:val="14"/>
                <w:szCs w:val="14"/>
                <w:color w:val="auto"/>
              </w:rPr>
            </w:pPr>
          </w:p>
        </w:tc>
        <w:tc>
          <w:tcPr>
            <w:tcW w:w="1640" w:type="dxa"/>
            <w:vAlign w:val="bottom"/>
            <w:tcBorders>
              <w:top w:val="single" w:sz="8" w:color="00A1DF"/>
            </w:tcBorders>
          </w:tcPr>
          <w:p>
            <w:pPr>
              <w:jc w:val="right"/>
              <w:ind w:right="364"/>
              <w:spacing w:after="0" w:line="167" w:lineRule="exact"/>
              <w:rPr>
                <w:sz w:val="20"/>
                <w:szCs w:val="20"/>
                <w:color w:val="auto"/>
              </w:rPr>
            </w:pPr>
            <w:r>
              <w:rPr>
                <w:rFonts w:ascii="Arial" w:cs="Arial" w:eastAsia="Arial" w:hAnsi="Arial"/>
                <w:sz w:val="15"/>
                <w:szCs w:val="15"/>
                <w:b w:val="1"/>
                <w:bCs w:val="1"/>
                <w:color w:val="00A1DF"/>
              </w:rPr>
              <w:t>Performance</w:t>
            </w:r>
          </w:p>
        </w:tc>
        <w:tc>
          <w:tcPr>
            <w:tcW w:w="1420" w:type="dxa"/>
            <w:vAlign w:val="bottom"/>
            <w:tcBorders>
              <w:top w:val="single" w:sz="8" w:color="00A1DF"/>
            </w:tcBorders>
          </w:tcPr>
          <w:p>
            <w:pPr>
              <w:jc w:val="right"/>
              <w:ind w:right="264"/>
              <w:spacing w:after="0" w:line="167" w:lineRule="exact"/>
              <w:rPr>
                <w:sz w:val="20"/>
                <w:szCs w:val="20"/>
                <w:color w:val="auto"/>
              </w:rPr>
            </w:pPr>
            <w:r>
              <w:rPr>
                <w:rFonts w:ascii="Arial" w:cs="Arial" w:eastAsia="Arial" w:hAnsi="Arial"/>
                <w:sz w:val="15"/>
                <w:szCs w:val="15"/>
                <w:b w:val="1"/>
                <w:bCs w:val="1"/>
                <w:color w:val="00A1DF"/>
              </w:rPr>
              <w:t>Performance</w:t>
            </w:r>
          </w:p>
        </w:tc>
      </w:tr>
      <w:tr>
        <w:trPr>
          <w:trHeight w:val="197"/>
        </w:trPr>
        <w:tc>
          <w:tcPr>
            <w:tcW w:w="232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LTIP Measure</w:t>
            </w:r>
          </w:p>
        </w:tc>
        <w:tc>
          <w:tcPr>
            <w:tcW w:w="2040" w:type="dxa"/>
            <w:vAlign w:val="bottom"/>
            <w:tcBorders>
              <w:bottom w:val="single" w:sz="8" w:color="00A1DF"/>
            </w:tcBorders>
          </w:tcPr>
          <w:p>
            <w:pPr>
              <w:jc w:val="center"/>
              <w:ind w:left="924"/>
              <w:spacing w:after="0"/>
              <w:rPr>
                <w:sz w:val="20"/>
                <w:szCs w:val="20"/>
                <w:color w:val="auto"/>
              </w:rPr>
            </w:pPr>
            <w:r>
              <w:rPr>
                <w:rFonts w:ascii="Arial" w:cs="Arial" w:eastAsia="Arial" w:hAnsi="Arial"/>
                <w:sz w:val="15"/>
                <w:szCs w:val="15"/>
                <w:b w:val="1"/>
                <w:bCs w:val="1"/>
                <w:color w:val="00A1DF"/>
              </w:rPr>
              <w:t>Weight</w:t>
            </w:r>
          </w:p>
        </w:tc>
        <w:tc>
          <w:tcPr>
            <w:tcW w:w="1300" w:type="dxa"/>
            <w:vAlign w:val="bottom"/>
            <w:tcBorders>
              <w:bottom w:val="single" w:sz="8" w:color="00A1DF"/>
            </w:tcBorders>
          </w:tcPr>
          <w:p>
            <w:pPr>
              <w:jc w:val="right"/>
              <w:ind w:right="204"/>
              <w:spacing w:after="0"/>
              <w:rPr>
                <w:sz w:val="20"/>
                <w:szCs w:val="20"/>
                <w:color w:val="auto"/>
              </w:rPr>
            </w:pPr>
            <w:r>
              <w:rPr>
                <w:rFonts w:ascii="Arial" w:cs="Arial" w:eastAsia="Arial" w:hAnsi="Arial"/>
                <w:sz w:val="15"/>
                <w:szCs w:val="15"/>
                <w:b w:val="1"/>
                <w:bCs w:val="1"/>
                <w:color w:val="00A1DF"/>
              </w:rPr>
              <w:t>Threshold</w:t>
            </w:r>
          </w:p>
        </w:tc>
        <w:tc>
          <w:tcPr>
            <w:tcW w:w="1020" w:type="dxa"/>
            <w:vAlign w:val="bottom"/>
            <w:tcBorders>
              <w:bottom w:val="single" w:sz="8" w:color="00A1DF"/>
            </w:tcBorders>
          </w:tcPr>
          <w:p>
            <w:pPr>
              <w:jc w:val="right"/>
              <w:ind w:right="184"/>
              <w:spacing w:after="0"/>
              <w:rPr>
                <w:sz w:val="20"/>
                <w:szCs w:val="20"/>
                <w:color w:val="auto"/>
              </w:rPr>
            </w:pPr>
            <w:r>
              <w:rPr>
                <w:rFonts w:ascii="Arial" w:cs="Arial" w:eastAsia="Arial" w:hAnsi="Arial"/>
                <w:sz w:val="15"/>
                <w:szCs w:val="15"/>
                <w:b w:val="1"/>
                <w:bCs w:val="1"/>
                <w:color w:val="00A1DF"/>
              </w:rPr>
              <w:t>Target</w:t>
            </w:r>
          </w:p>
        </w:tc>
        <w:tc>
          <w:tcPr>
            <w:tcW w:w="1260" w:type="dxa"/>
            <w:vAlign w:val="bottom"/>
            <w:tcBorders>
              <w:bottom w:val="single" w:sz="8" w:color="00A1DF"/>
            </w:tcBorders>
          </w:tcPr>
          <w:p>
            <w:pPr>
              <w:jc w:val="right"/>
              <w:ind w:right="204"/>
              <w:spacing w:after="0"/>
              <w:rPr>
                <w:sz w:val="20"/>
                <w:szCs w:val="20"/>
                <w:color w:val="auto"/>
              </w:rPr>
            </w:pPr>
            <w:r>
              <w:rPr>
                <w:rFonts w:ascii="Arial" w:cs="Arial" w:eastAsia="Arial" w:hAnsi="Arial"/>
                <w:sz w:val="15"/>
                <w:szCs w:val="15"/>
                <w:b w:val="1"/>
                <w:bCs w:val="1"/>
                <w:color w:val="00A1DF"/>
              </w:rPr>
              <w:t>Maximum</w:t>
            </w:r>
          </w:p>
        </w:tc>
        <w:tc>
          <w:tcPr>
            <w:tcW w:w="1640" w:type="dxa"/>
            <w:vAlign w:val="bottom"/>
            <w:tcBorders>
              <w:bottom w:val="single" w:sz="8" w:color="00A1DF"/>
            </w:tcBorders>
          </w:tcPr>
          <w:p>
            <w:pPr>
              <w:jc w:val="right"/>
              <w:ind w:right="364"/>
              <w:spacing w:after="0"/>
              <w:rPr>
                <w:sz w:val="20"/>
                <w:szCs w:val="20"/>
                <w:color w:val="auto"/>
              </w:rPr>
            </w:pPr>
            <w:r>
              <w:rPr>
                <w:rFonts w:ascii="Arial" w:cs="Arial" w:eastAsia="Arial" w:hAnsi="Arial"/>
                <w:sz w:val="15"/>
                <w:szCs w:val="15"/>
                <w:b w:val="1"/>
                <w:bCs w:val="1"/>
                <w:color w:val="00A1DF"/>
              </w:rPr>
              <w:t>Results</w:t>
            </w:r>
          </w:p>
        </w:tc>
        <w:tc>
          <w:tcPr>
            <w:tcW w:w="1420" w:type="dxa"/>
            <w:vAlign w:val="bottom"/>
            <w:tcBorders>
              <w:bottom w:val="single" w:sz="8" w:color="00A1DF"/>
            </w:tcBorders>
          </w:tcPr>
          <w:p>
            <w:pPr>
              <w:jc w:val="right"/>
              <w:ind w:right="264"/>
              <w:spacing w:after="0"/>
              <w:rPr>
                <w:sz w:val="20"/>
                <w:szCs w:val="20"/>
                <w:color w:val="auto"/>
              </w:rPr>
            </w:pPr>
            <w:r>
              <w:rPr>
                <w:rFonts w:ascii="Arial" w:cs="Arial" w:eastAsia="Arial" w:hAnsi="Arial"/>
                <w:sz w:val="15"/>
                <w:szCs w:val="15"/>
                <w:b w:val="1"/>
                <w:bCs w:val="1"/>
                <w:color w:val="00A1DF"/>
              </w:rPr>
              <w:t>Payout</w:t>
            </w:r>
          </w:p>
        </w:tc>
      </w:tr>
      <w:tr>
        <w:trPr>
          <w:trHeight w:val="236"/>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ROIC-adjusted</w:t>
            </w:r>
          </w:p>
        </w:tc>
        <w:tc>
          <w:tcPr>
            <w:tcW w:w="20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100%</w:t>
            </w:r>
          </w:p>
        </w:tc>
        <w:tc>
          <w:tcPr>
            <w:tcW w:w="13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12.0%</w:t>
            </w:r>
          </w:p>
        </w:tc>
        <w:tc>
          <w:tcPr>
            <w:tcW w:w="10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20.0%</w:t>
            </w:r>
          </w:p>
        </w:tc>
        <w:tc>
          <w:tcPr>
            <w:tcW w:w="12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28.0%</w:t>
            </w:r>
          </w:p>
        </w:tc>
        <w:tc>
          <w:tcPr>
            <w:tcW w:w="1640" w:type="dxa"/>
            <w:vAlign w:val="bottom"/>
            <w:tcBorders>
              <w:bottom w:val="single" w:sz="8" w:color="auto"/>
            </w:tcBorders>
          </w:tcPr>
          <w:p>
            <w:pPr>
              <w:jc w:val="right"/>
              <w:ind w:right="64"/>
              <w:spacing w:after="0" w:line="236" w:lineRule="exact"/>
              <w:rPr>
                <w:sz w:val="20"/>
                <w:szCs w:val="20"/>
                <w:color w:val="auto"/>
              </w:rPr>
            </w:pPr>
            <w:r>
              <w:rPr>
                <w:rFonts w:ascii="Arial" w:cs="Arial" w:eastAsia="Arial" w:hAnsi="Arial"/>
                <w:sz w:val="15"/>
                <w:szCs w:val="15"/>
                <w:color w:val="auto"/>
              </w:rPr>
              <w:t>27.3%</w:t>
            </w:r>
            <w:r>
              <w:rPr>
                <w:rFonts w:ascii="Arial" w:cs="Arial" w:eastAsia="Arial" w:hAnsi="Arial"/>
                <w:sz w:val="25"/>
                <w:szCs w:val="25"/>
                <w:color w:val="auto"/>
                <w:vertAlign w:val="superscript"/>
              </w:rPr>
              <w:t>(1)</w:t>
            </w:r>
          </w:p>
        </w:tc>
        <w:tc>
          <w:tcPr>
            <w:tcW w:w="142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191%</w:t>
            </w:r>
          </w:p>
        </w:tc>
      </w:tr>
      <w:tr>
        <w:trPr>
          <w:trHeight w:val="236"/>
        </w:trPr>
        <w:tc>
          <w:tcPr>
            <w:tcW w:w="23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Result</w:t>
            </w:r>
          </w:p>
        </w:tc>
        <w:tc>
          <w:tcPr>
            <w:tcW w:w="2040" w:type="dxa"/>
            <w:vAlign w:val="bottom"/>
            <w:tcBorders>
              <w:bottom w:val="single" w:sz="8" w:color="0033A0"/>
            </w:tcBorders>
          </w:tcPr>
          <w:p>
            <w:pPr>
              <w:spacing w:after="0"/>
              <w:rPr>
                <w:sz w:val="20"/>
                <w:szCs w:val="20"/>
                <w:color w:val="auto"/>
              </w:rPr>
            </w:pPr>
          </w:p>
        </w:tc>
        <w:tc>
          <w:tcPr>
            <w:tcW w:w="1300" w:type="dxa"/>
            <w:vAlign w:val="bottom"/>
            <w:tcBorders>
              <w:bottom w:val="single" w:sz="8" w:color="0033A0"/>
            </w:tcBorders>
          </w:tcPr>
          <w:p>
            <w:pPr>
              <w:spacing w:after="0"/>
              <w:rPr>
                <w:sz w:val="20"/>
                <w:szCs w:val="20"/>
                <w:color w:val="auto"/>
              </w:rPr>
            </w:pPr>
          </w:p>
        </w:tc>
        <w:tc>
          <w:tcPr>
            <w:tcW w:w="1020" w:type="dxa"/>
            <w:vAlign w:val="bottom"/>
            <w:tcBorders>
              <w:bottom w:val="single" w:sz="8" w:color="0033A0"/>
            </w:tcBorders>
          </w:tcPr>
          <w:p>
            <w:pPr>
              <w:spacing w:after="0"/>
              <w:rPr>
                <w:sz w:val="20"/>
                <w:szCs w:val="20"/>
                <w:color w:val="auto"/>
              </w:rPr>
            </w:pPr>
          </w:p>
        </w:tc>
        <w:tc>
          <w:tcPr>
            <w:tcW w:w="1260" w:type="dxa"/>
            <w:vAlign w:val="bottom"/>
            <w:tcBorders>
              <w:bottom w:val="single" w:sz="8" w:color="0033A0"/>
            </w:tcBorders>
          </w:tcPr>
          <w:p>
            <w:pPr>
              <w:spacing w:after="0"/>
              <w:rPr>
                <w:sz w:val="20"/>
                <w:szCs w:val="20"/>
                <w:color w:val="auto"/>
              </w:rPr>
            </w:pPr>
          </w:p>
        </w:tc>
        <w:tc>
          <w:tcPr>
            <w:tcW w:w="1640" w:type="dxa"/>
            <w:vAlign w:val="bottom"/>
            <w:tcBorders>
              <w:bottom w:val="single" w:sz="8" w:color="0033A0"/>
            </w:tcBorders>
          </w:tcPr>
          <w:p>
            <w:pPr>
              <w:spacing w:after="0"/>
              <w:rPr>
                <w:sz w:val="20"/>
                <w:szCs w:val="20"/>
                <w:color w:val="auto"/>
              </w:rPr>
            </w:pPr>
          </w:p>
        </w:tc>
        <w:tc>
          <w:tcPr>
            <w:tcW w:w="1420" w:type="dxa"/>
            <w:vAlign w:val="bottom"/>
            <w:tcBorders>
              <w:bottom w:val="single" w:sz="8" w:color="0033A0"/>
            </w:tcBorders>
          </w:tcPr>
          <w:p>
            <w:pPr>
              <w:ind w:left="820"/>
              <w:spacing w:after="0" w:line="236" w:lineRule="exact"/>
              <w:rPr>
                <w:sz w:val="20"/>
                <w:szCs w:val="20"/>
                <w:color w:val="auto"/>
              </w:rPr>
            </w:pPr>
            <w:r>
              <w:rPr>
                <w:rFonts w:ascii="Arial" w:cs="Arial" w:eastAsia="Arial" w:hAnsi="Arial"/>
                <w:sz w:val="15"/>
                <w:szCs w:val="15"/>
                <w:b w:val="1"/>
                <w:bCs w:val="1"/>
                <w:color w:val="0033A0"/>
                <w:w w:val="98"/>
              </w:rPr>
              <w:t>166%</w:t>
            </w:r>
            <w:r>
              <w:rPr>
                <w:rFonts w:ascii="Arial" w:cs="Arial" w:eastAsia="Arial" w:hAnsi="Arial"/>
                <w:sz w:val="25"/>
                <w:szCs w:val="25"/>
                <w:b w:val="1"/>
                <w:bCs w:val="1"/>
                <w:color w:val="0033A0"/>
                <w:w w:val="98"/>
                <w:vertAlign w:val="superscript"/>
              </w:rPr>
              <w:t>(2)</w:t>
            </w:r>
          </w:p>
        </w:tc>
      </w:tr>
    </w:tbl>
    <w:p>
      <w:pPr>
        <w:spacing w:after="0" w:line="58" w:lineRule="exact"/>
        <w:rPr>
          <w:sz w:val="20"/>
          <w:szCs w:val="20"/>
          <w:color w:val="auto"/>
        </w:rPr>
      </w:pPr>
    </w:p>
    <w:p>
      <w:pPr>
        <w:ind w:left="540" w:right="20" w:hanging="330"/>
        <w:spacing w:after="0" w:line="278" w:lineRule="auto"/>
        <w:tabs>
          <w:tab w:leader="none" w:pos="540" w:val="left"/>
        </w:tabs>
        <w:numPr>
          <w:ilvl w:val="0"/>
          <w:numId w:val="8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average of ROIC-adjusted for 2016 through 2018. ROIC-adjusted for 2016 was 28.9%. ROIC-adjusted for 2017 and 2018 was 28.2% and 24.9%, respectively, as reported on a continuing operations basis.</w:t>
      </w:r>
    </w:p>
    <w:p>
      <w:pPr>
        <w:spacing w:after="0" w:line="18" w:lineRule="exact"/>
        <w:rPr>
          <w:rFonts w:ascii="Arial" w:cs="Arial" w:eastAsia="Arial" w:hAnsi="Arial"/>
          <w:sz w:val="14"/>
          <w:szCs w:val="14"/>
          <w:i w:val="1"/>
          <w:iCs w:val="1"/>
          <w:color w:val="auto"/>
        </w:rPr>
      </w:pPr>
    </w:p>
    <w:p>
      <w:pPr>
        <w:jc w:val="both"/>
        <w:ind w:left="540" w:hanging="330"/>
        <w:spacing w:after="0" w:line="260" w:lineRule="auto"/>
        <w:tabs>
          <w:tab w:leader="none" w:pos="540" w:val="left"/>
        </w:tabs>
        <w:numPr>
          <w:ilvl w:val="0"/>
          <w:numId w:val="81"/>
        </w:numPr>
        <w:rPr>
          <w:rFonts w:ascii="Arial" w:cs="Arial" w:eastAsia="Arial" w:hAnsi="Arial"/>
          <w:sz w:val="14"/>
          <w:szCs w:val="14"/>
          <w:i w:val="1"/>
          <w:iCs w:val="1"/>
          <w:color w:val="auto"/>
        </w:rPr>
      </w:pPr>
      <w:r>
        <w:rPr>
          <w:rFonts w:ascii="Arial" w:cs="Arial" w:eastAsia="Arial" w:hAnsi="Arial"/>
          <w:sz w:val="14"/>
          <w:szCs w:val="14"/>
          <w:i w:val="1"/>
          <w:iCs w:val="1"/>
          <w:color w:val="auto"/>
        </w:rPr>
        <w:t>The three-year average Global Market Share modifier reduces the payout 25 points if below 10.8% and increases the payout 25 points if at or above 11.6%, not to exceed plan maximum of 200%. The Company achieved a result of 10.7%, excluding the impact of the Company’s decision to exit markets during the performance period, thus a 25-point reduction was applied to the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76200</wp:posOffset>
            </wp:positionV>
            <wp:extent cx="6758305" cy="1282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05"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47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Focusing leadership on ROIC-adjusted has resulted in significant performance improvements since calendar year 2012, when ROIC-adjusted was 16.0%. The Company continues to focus on delivering 20% or higher ROIC-adjusted results. We ended calendar year 2018 with ROIC-adjusted of 24.9%. Despite external pressures impacting TSR over the 2016-2018 performance period, we continued to meet our ROIC commitments while investing in the future. The 2016-2018 PSUs are the final awards that measure absolute ROIC-adjusted. Beginning with the 2017-2019 PSUs, performance is measured on Relative ROIC-adjusted and Relative TSR against OEM peers from the Dow Jones Automobiles &amp; Parts Titans 30 Index.</w:t>
      </w:r>
    </w:p>
    <w:p>
      <w:pPr>
        <w:spacing w:after="0" w:line="327" w:lineRule="exact"/>
        <w:rPr>
          <w:sz w:val="20"/>
          <w:szCs w:val="20"/>
          <w:color w:val="auto"/>
        </w:rPr>
      </w:pPr>
    </w:p>
    <w:p>
      <w:pPr>
        <w:ind w:left="640" w:hanging="430"/>
        <w:spacing w:after="0"/>
        <w:tabs>
          <w:tab w:leader="none" w:pos="640" w:val="left"/>
        </w:tabs>
        <w:numPr>
          <w:ilvl w:val="0"/>
          <w:numId w:val="82"/>
        </w:numPr>
        <w:rPr>
          <w:rFonts w:ascii="Arial" w:cs="Arial" w:eastAsia="Arial" w:hAnsi="Arial"/>
          <w:sz w:val="25"/>
          <w:szCs w:val="25"/>
          <w:color w:val="0033A0"/>
        </w:rPr>
      </w:pPr>
      <w:r>
        <w:rPr>
          <w:rFonts w:ascii="Arial" w:cs="Arial" w:eastAsia="Arial" w:hAnsi="Arial"/>
          <w:sz w:val="25"/>
          <w:szCs w:val="25"/>
          <w:color w:val="auto"/>
        </w:rPr>
        <w:t>One-Time 2015–2020 DSV Option Grant</w:t>
      </w:r>
    </w:p>
    <w:p>
      <w:pPr>
        <w:spacing w:after="0" w:line="18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DSV option grant was a one-time grant made on July 28, 2015, to senior leaders to secure non-compete and non-solicitation terms and to drive an increased focus on stock price appreciation. The DSV option grant featured 40% time-based vesting, which vested on February 15, 2017, and 60% performance-based vesting that vests upon meeting or exceeding the median TSR relative to the OEM peer group on the date of grant. Shown below are the results of two of the three performance-based tranches. The final 20% tranche remains outstanding with the performance period ending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7"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640" w:type="dxa"/>
            <w:vAlign w:val="bottom"/>
          </w:tcPr>
          <w:p>
            <w:pPr>
              <w:jc w:val="center"/>
              <w:ind w:right="524"/>
              <w:spacing w:after="0"/>
              <w:rPr>
                <w:sz w:val="20"/>
                <w:szCs w:val="20"/>
                <w:color w:val="auto"/>
              </w:rPr>
            </w:pPr>
            <w:r>
              <w:rPr>
                <w:rFonts w:ascii="Arial" w:cs="Arial" w:eastAsia="Arial" w:hAnsi="Arial"/>
                <w:sz w:val="15"/>
                <w:szCs w:val="15"/>
                <w:b w:val="1"/>
                <w:bCs w:val="1"/>
                <w:color w:val="00A1DF"/>
              </w:rPr>
              <w:t>DSV Measure</w:t>
            </w:r>
          </w:p>
        </w:tc>
        <w:tc>
          <w:tcPr>
            <w:tcW w:w="3160" w:type="dxa"/>
            <w:vAlign w:val="bottom"/>
          </w:tcPr>
          <w:p>
            <w:pPr>
              <w:jc w:val="right"/>
              <w:ind w:right="124"/>
              <w:spacing w:after="0"/>
              <w:rPr>
                <w:sz w:val="20"/>
                <w:szCs w:val="20"/>
                <w:color w:val="auto"/>
              </w:rPr>
            </w:pPr>
            <w:r>
              <w:rPr>
                <w:rFonts w:ascii="Arial" w:cs="Arial" w:eastAsia="Arial" w:hAnsi="Arial"/>
                <w:sz w:val="15"/>
                <w:szCs w:val="15"/>
                <w:b w:val="1"/>
                <w:bCs w:val="1"/>
                <w:color w:val="00A1DF"/>
              </w:rPr>
              <w:t>Performance Period</w:t>
            </w:r>
          </w:p>
        </w:tc>
        <w:tc>
          <w:tcPr>
            <w:tcW w:w="1640" w:type="dxa"/>
            <w:vAlign w:val="bottom"/>
          </w:tcPr>
          <w:p>
            <w:pPr>
              <w:jc w:val="right"/>
              <w:ind w:right="104"/>
              <w:spacing w:after="0"/>
              <w:rPr>
                <w:sz w:val="20"/>
                <w:szCs w:val="20"/>
                <w:color w:val="auto"/>
              </w:rPr>
            </w:pPr>
            <w:r>
              <w:rPr>
                <w:rFonts w:ascii="Arial" w:cs="Arial" w:eastAsia="Arial" w:hAnsi="Arial"/>
                <w:sz w:val="15"/>
                <w:szCs w:val="15"/>
                <w:b w:val="1"/>
                <w:bCs w:val="1"/>
                <w:color w:val="00A1DF"/>
              </w:rPr>
              <w:t>Vesting Date</w:t>
            </w:r>
          </w:p>
        </w:tc>
        <w:tc>
          <w:tcPr>
            <w:tcW w:w="980" w:type="dxa"/>
            <w:vAlign w:val="bottom"/>
          </w:tcPr>
          <w:p>
            <w:pPr>
              <w:jc w:val="right"/>
              <w:ind w:right="224"/>
              <w:spacing w:after="0"/>
              <w:rPr>
                <w:sz w:val="20"/>
                <w:szCs w:val="20"/>
                <w:color w:val="auto"/>
              </w:rPr>
            </w:pPr>
            <w:r>
              <w:rPr>
                <w:rFonts w:ascii="Arial" w:cs="Arial" w:eastAsia="Arial" w:hAnsi="Arial"/>
                <w:sz w:val="15"/>
                <w:szCs w:val="15"/>
                <w:b w:val="1"/>
                <w:bCs w:val="1"/>
                <w:color w:val="00A1DF"/>
              </w:rPr>
              <w:t>Weight</w:t>
            </w:r>
          </w:p>
        </w:tc>
        <w:tc>
          <w:tcPr>
            <w:tcW w:w="1360" w:type="dxa"/>
            <w:vAlign w:val="bottom"/>
          </w:tcPr>
          <w:p>
            <w:pPr>
              <w:jc w:val="right"/>
              <w:ind w:right="144"/>
              <w:spacing w:after="0"/>
              <w:rPr>
                <w:sz w:val="20"/>
                <w:szCs w:val="20"/>
                <w:color w:val="auto"/>
              </w:rPr>
            </w:pPr>
            <w:r>
              <w:rPr>
                <w:rFonts w:ascii="Arial" w:cs="Arial" w:eastAsia="Arial" w:hAnsi="Arial"/>
                <w:sz w:val="15"/>
                <w:szCs w:val="15"/>
                <w:b w:val="1"/>
                <w:bCs w:val="1"/>
                <w:color w:val="00A1DF"/>
              </w:rPr>
              <w:t>Target TSR</w:t>
            </w:r>
          </w:p>
        </w:tc>
        <w:tc>
          <w:tcPr>
            <w:tcW w:w="1340" w:type="dxa"/>
            <w:vAlign w:val="bottom"/>
          </w:tcPr>
          <w:p>
            <w:pPr>
              <w:jc w:val="right"/>
              <w:ind w:right="64"/>
              <w:spacing w:after="0"/>
              <w:rPr>
                <w:sz w:val="20"/>
                <w:szCs w:val="20"/>
                <w:color w:val="auto"/>
              </w:rPr>
            </w:pPr>
            <w:r>
              <w:rPr>
                <w:rFonts w:ascii="Arial" w:cs="Arial" w:eastAsia="Arial" w:hAnsi="Arial"/>
                <w:sz w:val="15"/>
                <w:szCs w:val="15"/>
                <w:b w:val="1"/>
                <w:bCs w:val="1"/>
                <w:color w:val="00A1DF"/>
              </w:rPr>
              <w:t>Result</w:t>
            </w:r>
          </w:p>
        </w:tc>
        <w:tc>
          <w:tcPr>
            <w:tcW w:w="880" w:type="dxa"/>
            <w:vAlign w:val="bottom"/>
          </w:tcPr>
          <w:p>
            <w:pPr>
              <w:jc w:val="right"/>
              <w:ind w:right="124"/>
              <w:spacing w:after="0"/>
              <w:rPr>
                <w:sz w:val="20"/>
                <w:szCs w:val="20"/>
                <w:color w:val="auto"/>
              </w:rPr>
            </w:pPr>
            <w:r>
              <w:rPr>
                <w:rFonts w:ascii="Arial" w:cs="Arial" w:eastAsia="Arial" w:hAnsi="Arial"/>
                <w:sz w:val="15"/>
                <w:szCs w:val="15"/>
                <w:b w:val="1"/>
                <w:bCs w:val="1"/>
                <w:color w:val="00A1DF"/>
              </w:rPr>
              <w:t>Vesting</w:t>
            </w:r>
          </w:p>
        </w:tc>
      </w:tr>
      <w:tr>
        <w:trPr>
          <w:trHeight w:val="21"/>
        </w:trPr>
        <w:tc>
          <w:tcPr>
            <w:tcW w:w="1640" w:type="dxa"/>
            <w:vAlign w:val="bottom"/>
            <w:tcBorders>
              <w:bottom w:val="single" w:sz="8" w:color="00A1DF"/>
            </w:tcBorders>
          </w:tcPr>
          <w:p>
            <w:pPr>
              <w:spacing w:after="0" w:line="20" w:lineRule="exact"/>
              <w:rPr>
                <w:sz w:val="1"/>
                <w:szCs w:val="1"/>
                <w:color w:val="auto"/>
              </w:rPr>
            </w:pPr>
          </w:p>
        </w:tc>
        <w:tc>
          <w:tcPr>
            <w:tcW w:w="3160" w:type="dxa"/>
            <w:vAlign w:val="bottom"/>
            <w:tcBorders>
              <w:bottom w:val="single" w:sz="8" w:color="00A1DF"/>
            </w:tcBorders>
          </w:tcPr>
          <w:p>
            <w:pPr>
              <w:spacing w:after="0" w:line="20" w:lineRule="exact"/>
              <w:rPr>
                <w:sz w:val="1"/>
                <w:szCs w:val="1"/>
                <w:color w:val="auto"/>
              </w:rPr>
            </w:pPr>
          </w:p>
        </w:tc>
        <w:tc>
          <w:tcPr>
            <w:tcW w:w="1640" w:type="dxa"/>
            <w:vAlign w:val="bottom"/>
            <w:tcBorders>
              <w:bottom w:val="single" w:sz="8" w:color="00A1DF"/>
            </w:tcBorders>
          </w:tcPr>
          <w:p>
            <w:pPr>
              <w:spacing w:after="0" w:line="20" w:lineRule="exact"/>
              <w:rPr>
                <w:sz w:val="1"/>
                <w:szCs w:val="1"/>
                <w:color w:val="auto"/>
              </w:rPr>
            </w:pPr>
          </w:p>
        </w:tc>
        <w:tc>
          <w:tcPr>
            <w:tcW w:w="980" w:type="dxa"/>
            <w:vAlign w:val="bottom"/>
            <w:tcBorders>
              <w:bottom w:val="single" w:sz="8" w:color="00A1DF"/>
            </w:tcBorders>
          </w:tcPr>
          <w:p>
            <w:pPr>
              <w:spacing w:after="0" w:line="20" w:lineRule="exact"/>
              <w:rPr>
                <w:sz w:val="1"/>
                <w:szCs w:val="1"/>
                <w:color w:val="auto"/>
              </w:rPr>
            </w:pPr>
          </w:p>
        </w:tc>
        <w:tc>
          <w:tcPr>
            <w:tcW w:w="1360" w:type="dxa"/>
            <w:vAlign w:val="bottom"/>
            <w:tcBorders>
              <w:bottom w:val="single" w:sz="8" w:color="00A1DF"/>
            </w:tcBorders>
          </w:tcPr>
          <w:p>
            <w:pPr>
              <w:spacing w:after="0" w:line="20" w:lineRule="exact"/>
              <w:rPr>
                <w:sz w:val="1"/>
                <w:szCs w:val="1"/>
                <w:color w:val="auto"/>
              </w:rPr>
            </w:pPr>
          </w:p>
        </w:tc>
        <w:tc>
          <w:tcPr>
            <w:tcW w:w="1340" w:type="dxa"/>
            <w:vAlign w:val="bottom"/>
            <w:tcBorders>
              <w:bottom w:val="single" w:sz="8" w:color="00A1DF"/>
            </w:tcBorders>
          </w:tcPr>
          <w:p>
            <w:pPr>
              <w:spacing w:after="0" w:line="20" w:lineRule="exact"/>
              <w:rPr>
                <w:sz w:val="1"/>
                <w:szCs w:val="1"/>
                <w:color w:val="auto"/>
              </w:rPr>
            </w:pPr>
          </w:p>
        </w:tc>
        <w:tc>
          <w:tcPr>
            <w:tcW w:w="880" w:type="dxa"/>
            <w:vAlign w:val="bottom"/>
            <w:tcBorders>
              <w:bottom w:val="single" w:sz="8" w:color="00A1DF"/>
            </w:tcBorders>
          </w:tcPr>
          <w:p>
            <w:pPr>
              <w:spacing w:after="0" w:line="20" w:lineRule="exact"/>
              <w:rPr>
                <w:sz w:val="1"/>
                <w:szCs w:val="1"/>
                <w:color w:val="auto"/>
              </w:rPr>
            </w:pPr>
          </w:p>
        </w:tc>
      </w:tr>
      <w:tr>
        <w:trPr>
          <w:trHeight w:val="236"/>
        </w:trPr>
        <w:tc>
          <w:tcPr>
            <w:tcW w:w="1640" w:type="dxa"/>
            <w:vAlign w:val="bottom"/>
            <w:tcBorders>
              <w:bottom w:val="single" w:sz="8" w:color="auto"/>
            </w:tcBorders>
          </w:tcPr>
          <w:p>
            <w:pPr>
              <w:jc w:val="center"/>
              <w:ind w:right="544"/>
              <w:spacing w:after="0"/>
              <w:rPr>
                <w:sz w:val="20"/>
                <w:szCs w:val="20"/>
                <w:color w:val="auto"/>
              </w:rPr>
            </w:pPr>
            <w:r>
              <w:rPr>
                <w:rFonts w:ascii="Arial" w:cs="Arial" w:eastAsia="Arial" w:hAnsi="Arial"/>
                <w:sz w:val="15"/>
                <w:szCs w:val="15"/>
                <w:color w:val="auto"/>
              </w:rPr>
              <w:t>Relative TSR</w:t>
            </w:r>
          </w:p>
        </w:tc>
        <w:tc>
          <w:tcPr>
            <w:tcW w:w="3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July 28, 2015–December 31, 2018</w:t>
            </w:r>
          </w:p>
        </w:tc>
        <w:tc>
          <w:tcPr>
            <w:tcW w:w="16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February 15, 2019</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w:t>
            </w:r>
          </w:p>
        </w:tc>
        <w:tc>
          <w:tcPr>
            <w:tcW w:w="1360" w:type="dxa"/>
            <w:vAlign w:val="bottom"/>
            <w:tcBorders>
              <w:bottom w:val="single" w:sz="8" w:color="auto"/>
            </w:tcBorders>
          </w:tcPr>
          <w:p>
            <w:pPr>
              <w:jc w:val="right"/>
              <w:ind w:right="144"/>
              <w:spacing w:after="0" w:line="236" w:lineRule="exact"/>
              <w:rPr>
                <w:sz w:val="20"/>
                <w:szCs w:val="20"/>
                <w:color w:val="auto"/>
              </w:rPr>
            </w:pPr>
            <w:r>
              <w:rPr>
                <w:rFonts w:ascii="Arial" w:cs="Arial" w:eastAsia="Arial" w:hAnsi="Arial"/>
                <w:sz w:val="15"/>
                <w:szCs w:val="15"/>
                <w:color w:val="auto"/>
              </w:rPr>
              <w:t>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1340" w:type="dxa"/>
            <w:vAlign w:val="bottom"/>
            <w:tcBorders>
              <w:bottom w:val="single" w:sz="8" w:color="auto"/>
            </w:tcBorders>
          </w:tcPr>
          <w:p>
            <w:pPr>
              <w:jc w:val="right"/>
              <w:ind w:right="64"/>
              <w:spacing w:after="0" w:line="236" w:lineRule="exact"/>
              <w:rPr>
                <w:sz w:val="20"/>
                <w:szCs w:val="20"/>
                <w:color w:val="auto"/>
              </w:rPr>
            </w:pPr>
            <w:r>
              <w:rPr>
                <w:rFonts w:ascii="Arial" w:cs="Arial" w:eastAsia="Arial" w:hAnsi="Arial"/>
                <w:sz w:val="15"/>
                <w:szCs w:val="15"/>
                <w:color w:val="auto"/>
              </w:rPr>
              <w:t>88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r>
      <w:tr>
        <w:trPr>
          <w:trHeight w:val="236"/>
        </w:trPr>
        <w:tc>
          <w:tcPr>
            <w:tcW w:w="1640" w:type="dxa"/>
            <w:vAlign w:val="bottom"/>
            <w:tcBorders>
              <w:bottom w:val="single" w:sz="8" w:color="0033A0"/>
            </w:tcBorders>
          </w:tcPr>
          <w:p>
            <w:pPr>
              <w:jc w:val="center"/>
              <w:ind w:right="544"/>
              <w:spacing w:after="0"/>
              <w:rPr>
                <w:sz w:val="20"/>
                <w:szCs w:val="20"/>
                <w:color w:val="auto"/>
              </w:rPr>
            </w:pPr>
            <w:r>
              <w:rPr>
                <w:rFonts w:ascii="Arial" w:cs="Arial" w:eastAsia="Arial" w:hAnsi="Arial"/>
                <w:sz w:val="15"/>
                <w:szCs w:val="15"/>
                <w:color w:val="auto"/>
              </w:rPr>
              <w:t>Relative TSR</w:t>
            </w:r>
          </w:p>
        </w:tc>
        <w:tc>
          <w:tcPr>
            <w:tcW w:w="3160" w:type="dxa"/>
            <w:vAlign w:val="bottom"/>
            <w:tcBorders>
              <w:bottom w:val="single" w:sz="8" w:color="0033A0"/>
            </w:tcBorders>
          </w:tcPr>
          <w:p>
            <w:pPr>
              <w:jc w:val="right"/>
              <w:ind w:right="124"/>
              <w:spacing w:after="0"/>
              <w:rPr>
                <w:sz w:val="20"/>
                <w:szCs w:val="20"/>
                <w:color w:val="auto"/>
              </w:rPr>
            </w:pPr>
            <w:r>
              <w:rPr>
                <w:rFonts w:ascii="Arial" w:cs="Arial" w:eastAsia="Arial" w:hAnsi="Arial"/>
                <w:sz w:val="15"/>
                <w:szCs w:val="15"/>
                <w:color w:val="auto"/>
              </w:rPr>
              <w:t>July 28, 2015–December 31, 2017</w:t>
            </w:r>
          </w:p>
        </w:tc>
        <w:tc>
          <w:tcPr>
            <w:tcW w:w="1640" w:type="dxa"/>
            <w:vAlign w:val="bottom"/>
            <w:tcBorders>
              <w:bottom w:val="single" w:sz="8" w:color="0033A0"/>
            </w:tcBorders>
          </w:tcPr>
          <w:p>
            <w:pPr>
              <w:jc w:val="right"/>
              <w:ind w:right="104"/>
              <w:spacing w:after="0"/>
              <w:rPr>
                <w:sz w:val="20"/>
                <w:szCs w:val="20"/>
                <w:color w:val="auto"/>
              </w:rPr>
            </w:pPr>
            <w:r>
              <w:rPr>
                <w:rFonts w:ascii="Arial" w:cs="Arial" w:eastAsia="Arial" w:hAnsi="Arial"/>
                <w:sz w:val="15"/>
                <w:szCs w:val="15"/>
                <w:color w:val="auto"/>
              </w:rPr>
              <w:t>February 15, 2018</w:t>
            </w:r>
          </w:p>
        </w:tc>
        <w:tc>
          <w:tcPr>
            <w:tcW w:w="980" w:type="dxa"/>
            <w:vAlign w:val="bottom"/>
            <w:tcBorders>
              <w:bottom w:val="single" w:sz="8" w:color="0033A0"/>
            </w:tcBorders>
          </w:tcPr>
          <w:p>
            <w:pPr>
              <w:jc w:val="right"/>
              <w:ind w:right="84"/>
              <w:spacing w:after="0"/>
              <w:rPr>
                <w:sz w:val="20"/>
                <w:szCs w:val="20"/>
                <w:color w:val="auto"/>
              </w:rPr>
            </w:pPr>
            <w:r>
              <w:rPr>
                <w:rFonts w:ascii="Arial" w:cs="Arial" w:eastAsia="Arial" w:hAnsi="Arial"/>
                <w:sz w:val="15"/>
                <w:szCs w:val="15"/>
                <w:color w:val="auto"/>
              </w:rPr>
              <w:t>20%</w:t>
            </w:r>
          </w:p>
        </w:tc>
        <w:tc>
          <w:tcPr>
            <w:tcW w:w="1360" w:type="dxa"/>
            <w:vAlign w:val="bottom"/>
            <w:tcBorders>
              <w:bottom w:val="single" w:sz="8" w:color="0033A0"/>
            </w:tcBorders>
          </w:tcPr>
          <w:p>
            <w:pPr>
              <w:jc w:val="right"/>
              <w:ind w:right="144"/>
              <w:spacing w:after="0" w:line="236" w:lineRule="exact"/>
              <w:rPr>
                <w:sz w:val="20"/>
                <w:szCs w:val="20"/>
                <w:color w:val="auto"/>
              </w:rPr>
            </w:pPr>
            <w:r>
              <w:rPr>
                <w:rFonts w:ascii="Arial" w:cs="Arial" w:eastAsia="Arial" w:hAnsi="Arial"/>
                <w:sz w:val="15"/>
                <w:szCs w:val="15"/>
                <w:color w:val="auto"/>
              </w:rPr>
              <w:t>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1340" w:type="dxa"/>
            <w:vAlign w:val="bottom"/>
            <w:tcBorders>
              <w:bottom w:val="single" w:sz="8" w:color="0033A0"/>
            </w:tcBorders>
          </w:tcPr>
          <w:p>
            <w:pPr>
              <w:jc w:val="right"/>
              <w:ind w:right="64"/>
              <w:spacing w:after="0" w:line="236" w:lineRule="exact"/>
              <w:rPr>
                <w:sz w:val="20"/>
                <w:szCs w:val="20"/>
                <w:color w:val="auto"/>
              </w:rPr>
            </w:pPr>
            <w:r>
              <w:rPr>
                <w:rFonts w:ascii="Arial" w:cs="Arial" w:eastAsia="Arial" w:hAnsi="Arial"/>
                <w:sz w:val="15"/>
                <w:szCs w:val="15"/>
                <w:color w:val="auto"/>
              </w:rPr>
              <w:t>87</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8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100%</w:t>
            </w:r>
          </w:p>
        </w:tc>
      </w:tr>
    </w:tbl>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48 </w:t>
      </w:r>
      <w:r>
        <w:rPr>
          <w:sz w:val="1"/>
          <w:szCs w:val="1"/>
          <w:color w:val="auto"/>
        </w:rPr>
        <w:drawing>
          <wp:inline distT="0" distB="0" distL="0" distR="0">
            <wp:extent cx="6852920" cy="14541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2" w:lineRule="exact"/>
        <w:rPr>
          <w:sz w:val="20"/>
          <w:szCs w:val="20"/>
          <w:color w:val="auto"/>
        </w:rPr>
      </w:pPr>
    </w:p>
    <w:p>
      <w:pPr>
        <w:ind w:left="660" w:hanging="450"/>
        <w:spacing w:after="0"/>
        <w:tabs>
          <w:tab w:leader="none" w:pos="660" w:val="left"/>
        </w:tabs>
        <w:numPr>
          <w:ilvl w:val="0"/>
          <w:numId w:val="83"/>
        </w:numPr>
        <w:rPr>
          <w:rFonts w:ascii="Arial" w:cs="Arial" w:eastAsia="Arial" w:hAnsi="Arial"/>
          <w:sz w:val="25"/>
          <w:szCs w:val="25"/>
          <w:color w:val="0033A0"/>
        </w:rPr>
      </w:pPr>
      <w:r>
        <w:rPr>
          <w:rFonts w:ascii="Arial" w:cs="Arial" w:eastAsia="Arial" w:hAnsi="Arial"/>
          <w:sz w:val="25"/>
          <w:szCs w:val="25"/>
          <w:color w:val="auto"/>
        </w:rPr>
        <w:t>Compensation Decisions for Mary T. Barra</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0033A0"/>
        </w:rPr>
        <w:t xml:space="preserve">Mary T. Barra, </w:t>
      </w:r>
      <w:r>
        <w:rPr>
          <w:rFonts w:ascii="Arial" w:cs="Arial" w:eastAsia="Arial" w:hAnsi="Arial"/>
          <w:sz w:val="16"/>
          <w:szCs w:val="16"/>
          <w:b w:val="1"/>
          <w:bCs w:val="1"/>
          <w:color w:val="000000"/>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4539615" cy="3709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39615" cy="3709035"/>
                    </a:xfrm>
                    <a:prstGeom prst="rect">
                      <a:avLst/>
                    </a:prstGeom>
                    <a:noFill/>
                  </pic:spPr>
                </pic:pic>
              </a:graphicData>
            </a:graphic>
          </wp:anchor>
        </w:drawing>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Ms. Barra’s 2018 performance directly aligned with the Company’s strategic objectives: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Core</w:t>
      </w:r>
    </w:p>
    <w:p>
      <w:pPr>
        <w:spacing w:after="0" w:line="25" w:lineRule="exact"/>
        <w:rPr>
          <w:sz w:val="20"/>
          <w:szCs w:val="20"/>
          <w:color w:val="auto"/>
        </w:rPr>
      </w:pPr>
    </w:p>
    <w:p>
      <w:pPr>
        <w:ind w:left="380" w:right="1220"/>
        <w:spacing w:after="0" w:line="258"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Furthered progress towards creating a safety culture through various initiatives</w:t>
      </w:r>
      <w:r>
        <w:rPr>
          <w:rFonts w:ascii="Arial" w:cs="Arial" w:eastAsia="Arial" w:hAnsi="Arial"/>
          <w:sz w:val="16"/>
          <w:szCs w:val="16"/>
          <w:color w:val="00A1DF"/>
        </w:rPr>
        <w:t xml:space="preserve"> u </w:t>
      </w:r>
      <w:r>
        <w:rPr>
          <w:rFonts w:ascii="Arial" w:cs="Arial" w:eastAsia="Arial" w:hAnsi="Arial"/>
          <w:sz w:val="16"/>
          <w:szCs w:val="16"/>
          <w:color w:val="000000"/>
        </w:rPr>
        <w:t>Returned $2.3 billion to shareholders through dividends and share repurchases</w:t>
      </w:r>
    </w:p>
    <w:p>
      <w:pPr>
        <w:spacing w:after="0" w:line="1" w:lineRule="exact"/>
        <w:rPr>
          <w:sz w:val="20"/>
          <w:szCs w:val="20"/>
          <w:color w:val="auto"/>
        </w:rPr>
      </w:pPr>
    </w:p>
    <w:p>
      <w:pPr>
        <w:ind w:left="540" w:right="160" w:hanging="161"/>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Navigated significant headwinds to deliver $147.0B in Revenue, $11.8B in EBIT-adjusted, and</w:t>
      </w:r>
      <w:r>
        <w:rPr>
          <w:rFonts w:ascii="Arial" w:cs="Arial" w:eastAsia="Arial" w:hAnsi="Arial"/>
          <w:sz w:val="16"/>
          <w:szCs w:val="16"/>
          <w:color w:val="00A1DF"/>
        </w:rPr>
        <w:t xml:space="preserve"> </w:t>
      </w:r>
      <w:r>
        <w:rPr>
          <w:rFonts w:ascii="Arial" w:cs="Arial" w:eastAsia="Arial" w:hAnsi="Arial"/>
          <w:sz w:val="16"/>
          <w:szCs w:val="16"/>
          <w:color w:val="000000"/>
        </w:rPr>
        <w:t>EPS-diluted-adjusted of $6.54 while positioning GM to lead in the future</w:t>
      </w:r>
    </w:p>
    <w:p>
      <w:pPr>
        <w:ind w:left="3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Achieved record revenue for GM Financial</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Achieved ROIC-adjusted result of 24.9% for 2018</w:t>
      </w:r>
    </w:p>
    <w:p>
      <w:pPr>
        <w:spacing w:after="0" w:line="18" w:lineRule="exact"/>
        <w:rPr>
          <w:sz w:val="20"/>
          <w:szCs w:val="20"/>
          <w:color w:val="auto"/>
        </w:rPr>
      </w:pPr>
    </w:p>
    <w:p>
      <w:pPr>
        <w:ind w:left="540" w:right="160" w:hanging="161"/>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Executed restructuring of GM Korea and announced a robust business plan intended to return</w:t>
      </w:r>
      <w:r>
        <w:rPr>
          <w:rFonts w:ascii="Arial" w:cs="Arial" w:eastAsia="Arial" w:hAnsi="Arial"/>
          <w:sz w:val="16"/>
          <w:szCs w:val="16"/>
          <w:color w:val="00A1DF"/>
        </w:rPr>
        <w:t xml:space="preserve"> </w:t>
      </w:r>
      <w:r>
        <w:rPr>
          <w:rFonts w:ascii="Arial" w:cs="Arial" w:eastAsia="Arial" w:hAnsi="Arial"/>
          <w:sz w:val="16"/>
          <w:szCs w:val="16"/>
          <w:color w:val="000000"/>
        </w:rPr>
        <w:t>GM Korea to profitability</w:t>
      </w:r>
    </w:p>
    <w:p>
      <w:pPr>
        <w:ind w:left="380" w:right="1400"/>
        <w:spacing w:after="0" w:line="258"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Launched the all-new 2019 Chevrolet Silverado and 2019 GMC Sierra 1500</w:t>
      </w:r>
      <w:r>
        <w:rPr>
          <w:rFonts w:ascii="Arial" w:cs="Arial" w:eastAsia="Arial" w:hAnsi="Arial"/>
          <w:sz w:val="16"/>
          <w:szCs w:val="16"/>
          <w:color w:val="00A1DF"/>
        </w:rPr>
        <w:t xml:space="preserve"> u </w:t>
      </w:r>
      <w:r>
        <w:rPr>
          <w:rFonts w:ascii="Arial" w:cs="Arial" w:eastAsia="Arial" w:hAnsi="Arial"/>
          <w:sz w:val="16"/>
          <w:szCs w:val="16"/>
          <w:color w:val="000000"/>
        </w:rPr>
        <w:t>Led all automakers by delivering 1.3 million crossovers and SUVs in the U.S.</w:t>
      </w:r>
    </w:p>
    <w:p>
      <w:pPr>
        <w:spacing w:after="0" w:line="1" w:lineRule="exact"/>
        <w:rPr>
          <w:sz w:val="20"/>
          <w:szCs w:val="20"/>
          <w:color w:val="auto"/>
        </w:rPr>
      </w:pPr>
    </w:p>
    <w:p>
      <w:pPr>
        <w:ind w:left="540" w:right="160" w:hanging="161"/>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Introduced the Cadillac XT4 and announced plans for all-new Cadillac models every six</w:t>
      </w:r>
      <w:r>
        <w:rPr>
          <w:rFonts w:ascii="Arial" w:cs="Arial" w:eastAsia="Arial" w:hAnsi="Arial"/>
          <w:sz w:val="16"/>
          <w:szCs w:val="16"/>
          <w:color w:val="00A1DF"/>
        </w:rPr>
        <w:t xml:space="preserve"> </w:t>
      </w:r>
      <w:r>
        <w:rPr>
          <w:rFonts w:ascii="Arial" w:cs="Arial" w:eastAsia="Arial" w:hAnsi="Arial"/>
          <w:sz w:val="16"/>
          <w:szCs w:val="16"/>
          <w:color w:val="000000"/>
        </w:rPr>
        <w:t xml:space="preserve">months on average through the end of 2021, including an all-new fully electric Cadillac </w:t>
      </w:r>
      <w:r>
        <w:rPr>
          <w:sz w:val="1"/>
          <w:szCs w:val="1"/>
          <w:color w:val="auto"/>
        </w:rPr>
        <w:drawing>
          <wp:inline distT="0" distB="0" distL="0" distR="0">
            <wp:extent cx="76835" cy="7683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3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Named one of America’s Most JUST Companies according to</w:t>
      </w:r>
      <w:r>
        <w:rPr>
          <w:rFonts w:ascii="Arial" w:cs="Arial" w:eastAsia="Arial" w:hAnsi="Arial"/>
          <w:sz w:val="16"/>
          <w:szCs w:val="16"/>
          <w:color w:val="00A1DF"/>
        </w:rPr>
        <w:t xml:space="preserve"> </w:t>
      </w:r>
      <w:r>
        <w:rPr>
          <w:rFonts w:ascii="Arial" w:cs="Arial" w:eastAsia="Arial" w:hAnsi="Arial"/>
          <w:sz w:val="16"/>
          <w:szCs w:val="16"/>
          <w:i w:val="1"/>
          <w:iCs w:val="1"/>
          <w:color w:val="000000"/>
        </w:rPr>
        <w:t>Forbes</w:t>
      </w:r>
      <w:r>
        <w:rPr>
          <w:rFonts w:ascii="Arial" w:cs="Arial" w:eastAsia="Arial" w:hAnsi="Arial"/>
          <w:sz w:val="16"/>
          <w:szCs w:val="16"/>
          <w:color w:val="00A1DF"/>
        </w:rPr>
        <w:t xml:space="preserve"> </w:t>
      </w:r>
      <w:r>
        <w:rPr>
          <w:rFonts w:ascii="Arial" w:cs="Arial" w:eastAsia="Arial" w:hAnsi="Arial"/>
          <w:sz w:val="16"/>
          <w:szCs w:val="16"/>
          <w:color w:val="000000"/>
        </w:rPr>
        <w:t xml:space="preserve">and JUST Capital </w:t>
      </w:r>
      <w:r>
        <w:rPr>
          <w:sz w:val="1"/>
          <w:szCs w:val="1"/>
          <w:color w:val="auto"/>
        </w:rPr>
        <w:drawing>
          <wp:inline distT="0" distB="0" distL="0" distR="0">
            <wp:extent cx="76835" cy="7683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11" w:lineRule="exact"/>
        <w:rPr>
          <w:sz w:val="20"/>
          <w:szCs w:val="20"/>
          <w:color w:val="auto"/>
        </w:rPr>
      </w:pPr>
    </w:p>
    <w:p>
      <w:pPr>
        <w:ind w:left="540" w:right="160" w:hanging="161"/>
        <w:spacing w:after="0" w:line="287"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Earned the most Wildlife Habitat Council Conservation Certification sites at 75, leading the</w:t>
      </w:r>
      <w:r>
        <w:rPr>
          <w:rFonts w:ascii="Arial" w:cs="Arial" w:eastAsia="Arial" w:hAnsi="Arial"/>
          <w:sz w:val="16"/>
          <w:szCs w:val="16"/>
          <w:color w:val="00A1DF"/>
        </w:rPr>
        <w:t xml:space="preserve"> </w:t>
      </w:r>
      <w:r>
        <w:rPr>
          <w:rFonts w:ascii="Arial" w:cs="Arial" w:eastAsia="Arial" w:hAnsi="Arial"/>
          <w:sz w:val="16"/>
          <w:szCs w:val="16"/>
          <w:color w:val="000000"/>
        </w:rPr>
        <w:t xml:space="preserve">industry </w:t>
      </w:r>
      <w:r>
        <w:rPr>
          <w:sz w:val="1"/>
          <w:szCs w:val="1"/>
          <w:color w:val="auto"/>
        </w:rPr>
        <w:drawing>
          <wp:inline distT="0" distB="0" distL="0" distR="0">
            <wp:extent cx="76835" cy="7683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Transformation</w:t>
      </w:r>
    </w:p>
    <w:p>
      <w:pPr>
        <w:spacing w:after="0" w:line="25" w:lineRule="exact"/>
        <w:rPr>
          <w:sz w:val="20"/>
          <w:szCs w:val="20"/>
          <w:color w:val="auto"/>
        </w:rPr>
      </w:pPr>
    </w:p>
    <w:p>
      <w:pPr>
        <w:ind w:left="540" w:right="1120" w:hanging="161"/>
        <w:spacing w:after="0" w:line="255"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Reaffirmed strategy towards a world with zero crashes, zero emissions, and zero</w:t>
      </w:r>
      <w:r>
        <w:rPr>
          <w:rFonts w:ascii="Arial" w:cs="Arial" w:eastAsia="Arial" w:hAnsi="Arial"/>
          <w:sz w:val="16"/>
          <w:szCs w:val="16"/>
          <w:color w:val="00A1DF"/>
        </w:rPr>
        <w:t xml:space="preserve"> </w:t>
      </w:r>
      <w:r>
        <w:rPr>
          <w:rFonts w:ascii="Arial" w:cs="Arial" w:eastAsia="Arial" w:hAnsi="Arial"/>
          <w:sz w:val="16"/>
          <w:szCs w:val="16"/>
          <w:color w:val="000000"/>
        </w:rPr>
        <w:t xml:space="preserve">congestion </w:t>
      </w:r>
      <w:r>
        <w:rPr>
          <w:sz w:val="1"/>
          <w:szCs w:val="1"/>
          <w:color w:val="auto"/>
        </w:rPr>
        <w:drawing>
          <wp:inline distT="0" distB="0" distL="0" distR="0">
            <wp:extent cx="76835" cy="7683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3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Announced strategic investments in GM Cruise by both SoftBank and Honda</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 xml:space="preserve">Advanced our strategy to deploy self-driving vehicles in dense urban environments </w:t>
      </w:r>
      <w:r>
        <w:rPr>
          <w:sz w:val="1"/>
          <w:szCs w:val="1"/>
          <w:color w:val="auto"/>
        </w:rPr>
        <w:drawing>
          <wp:inline distT="0" distB="0" distL="0" distR="0">
            <wp:extent cx="76835" cy="7683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18" w:lineRule="exact"/>
        <w:rPr>
          <w:sz w:val="20"/>
          <w:szCs w:val="20"/>
          <w:color w:val="auto"/>
        </w:rPr>
      </w:pPr>
    </w:p>
    <w:p>
      <w:pPr>
        <w:ind w:left="380" w:right="400"/>
        <w:spacing w:after="0" w:line="26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 xml:space="preserve">Developed battery cell and module components through a joint development with Honda </w:t>
      </w:r>
      <w:r>
        <w:rPr>
          <w:sz w:val="1"/>
          <w:szCs w:val="1"/>
          <w:color w:val="auto"/>
        </w:rPr>
        <w:drawing>
          <wp:inline distT="0" distB="0" distL="0" distR="0">
            <wp:extent cx="76835" cy="7683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Arial" w:cs="Arial" w:eastAsia="Arial" w:hAnsi="Arial"/>
          <w:sz w:val="16"/>
          <w:szCs w:val="16"/>
          <w:color w:val="00A1DF"/>
        </w:rPr>
        <w:t xml:space="preserve"> u </w:t>
      </w:r>
      <w:r>
        <w:rPr>
          <w:rFonts w:ascii="Arial" w:cs="Arial" w:eastAsia="Arial" w:hAnsi="Arial"/>
          <w:sz w:val="16"/>
          <w:szCs w:val="16"/>
          <w:color w:val="000000"/>
        </w:rPr>
        <w:t xml:space="preserve">Reached 200,000 electric vehicle sales in the U.S. </w:t>
      </w:r>
      <w:r>
        <w:rPr>
          <w:sz w:val="1"/>
          <w:szCs w:val="1"/>
          <w:color w:val="auto"/>
        </w:rPr>
        <w:drawing>
          <wp:inline distT="0" distB="0" distL="0" distR="0">
            <wp:extent cx="76835" cy="7683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1" w:lineRule="exact"/>
        <w:rPr>
          <w:sz w:val="20"/>
          <w:szCs w:val="20"/>
          <w:color w:val="auto"/>
        </w:rPr>
      </w:pPr>
    </w:p>
    <w:p>
      <w:pPr>
        <w:ind w:left="540" w:right="140" w:hanging="161"/>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Aligned manufacturing capacity with market conditions by focusing on delivering vehicles</w:t>
      </w:r>
      <w:r>
        <w:rPr>
          <w:rFonts w:ascii="Arial" w:cs="Arial" w:eastAsia="Arial" w:hAnsi="Arial"/>
          <w:sz w:val="16"/>
          <w:szCs w:val="16"/>
          <w:color w:val="00A1DF"/>
        </w:rPr>
        <w:t xml:space="preserve"> </w:t>
      </w:r>
      <w:r>
        <w:rPr>
          <w:rFonts w:ascii="Arial" w:cs="Arial" w:eastAsia="Arial" w:hAnsi="Arial"/>
          <w:sz w:val="16"/>
          <w:szCs w:val="16"/>
          <w:color w:val="000000"/>
        </w:rPr>
        <w:t>based on customer demand</w:t>
      </w:r>
    </w:p>
    <w:p>
      <w:pPr>
        <w:ind w:left="540" w:right="140" w:hanging="161"/>
        <w:spacing w:after="0" w:line="277"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Transformed product development to drive world-class levels of engineering and advance</w:t>
      </w:r>
      <w:r>
        <w:rPr>
          <w:rFonts w:ascii="Arial" w:cs="Arial" w:eastAsia="Arial" w:hAnsi="Arial"/>
          <w:sz w:val="16"/>
          <w:szCs w:val="16"/>
          <w:color w:val="00A1DF"/>
        </w:rPr>
        <w:t xml:space="preserve"> </w:t>
      </w:r>
      <w:r>
        <w:rPr>
          <w:rFonts w:ascii="Arial" w:cs="Arial" w:eastAsia="Arial" w:hAnsi="Arial"/>
          <w:sz w:val="16"/>
          <w:szCs w:val="16"/>
          <w:color w:val="000000"/>
        </w:rPr>
        <w:t>technologies and focus on improving quality and speed to market</w:t>
      </w:r>
    </w:p>
    <w:p>
      <w:pPr>
        <w:spacing w:after="0" w:line="169"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Compensation Committee held Ms. Barra’s base salary at $2,100,000 based on the competitive market analysis provided by the Compensation Committee’s independent compensation consultant. In February 2018, the Compensation Committee awarded Ms. Barra an annual LTIP grant of $13.7 million, consisting of 75% PSUs and 25% Stock Options.</w:t>
      </w:r>
    </w:p>
    <w:p>
      <w:pPr>
        <w:spacing w:after="0" w:line="11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Compensation Committee awarded Ms. Barra 35 points based on her results, highlighted above, for the 2018 STIP performance year. The total compensation for Ms. Barra in 2018,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151765</wp:posOffset>
            </wp:positionV>
            <wp:extent cx="4539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39615" cy="8255"/>
                    </a:xfrm>
                    <a:prstGeom prst="rect">
                      <a:avLst/>
                    </a:prstGeom>
                    <a:noFill/>
                  </pic:spPr>
                </pic:pic>
              </a:graphicData>
            </a:graphic>
          </wp:anchor>
        </w:drawing>
      </w:r>
    </w:p>
    <w:p>
      <w:pPr>
        <w:spacing w:after="0" w:line="265"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440" w:type="dxa"/>
            <w:vAlign w:val="bottom"/>
          </w:tcPr>
          <w:p>
            <w:pPr>
              <w:spacing w:after="0"/>
              <w:rPr>
                <w:sz w:val="20"/>
                <w:szCs w:val="20"/>
                <w:color w:val="auto"/>
              </w:rPr>
            </w:pPr>
            <w:r>
              <w:rPr>
                <w:rFonts w:ascii="Arial" w:cs="Arial" w:eastAsia="Arial" w:hAnsi="Arial"/>
                <w:sz w:val="15"/>
                <w:szCs w:val="15"/>
                <w:b w:val="1"/>
                <w:bCs w:val="1"/>
                <w:color w:val="00A1DF"/>
              </w:rPr>
              <w:t>Pay Element</w:t>
            </w:r>
          </w:p>
        </w:tc>
        <w:tc>
          <w:tcPr>
            <w:tcW w:w="3760" w:type="dxa"/>
            <w:vAlign w:val="bottom"/>
          </w:tcPr>
          <w:p>
            <w:pPr>
              <w:ind w:left="260"/>
              <w:spacing w:after="0"/>
              <w:rPr>
                <w:sz w:val="20"/>
                <w:szCs w:val="20"/>
                <w:color w:val="auto"/>
              </w:rPr>
            </w:pPr>
            <w:r>
              <w:rPr>
                <w:rFonts w:ascii="Arial" w:cs="Arial" w:eastAsia="Arial" w:hAnsi="Arial"/>
                <w:sz w:val="15"/>
                <w:szCs w:val="15"/>
                <w:b w:val="1"/>
                <w:bCs w:val="1"/>
                <w:color w:val="00A1DF"/>
              </w:rPr>
              <w:t>Majority of Pay Is At-Risk</w:t>
            </w:r>
          </w:p>
        </w:tc>
        <w:tc>
          <w:tcPr>
            <w:tcW w:w="1940" w:type="dxa"/>
            <w:vAlign w:val="bottom"/>
            <w:gridSpan w:val="2"/>
          </w:tcPr>
          <w:p>
            <w:pPr>
              <w:jc w:val="right"/>
              <w:spacing w:after="0"/>
              <w:rPr>
                <w:sz w:val="20"/>
                <w:szCs w:val="20"/>
                <w:color w:val="auto"/>
              </w:rPr>
            </w:pPr>
            <w:r>
              <w:rPr>
                <w:rFonts w:ascii="Arial" w:cs="Arial" w:eastAsia="Arial" w:hAnsi="Arial"/>
                <w:sz w:val="15"/>
                <w:szCs w:val="15"/>
                <w:b w:val="1"/>
                <w:bCs w:val="1"/>
                <w:color w:val="00A1DF"/>
              </w:rPr>
              <w:t>Awarded Value</w:t>
            </w:r>
          </w:p>
        </w:tc>
      </w:tr>
      <w:tr>
        <w:trPr>
          <w:trHeight w:val="21"/>
        </w:trPr>
        <w:tc>
          <w:tcPr>
            <w:tcW w:w="1440" w:type="dxa"/>
            <w:vAlign w:val="bottom"/>
            <w:tcBorders>
              <w:bottom w:val="single" w:sz="8" w:color="00A1DF"/>
            </w:tcBorders>
          </w:tcPr>
          <w:p>
            <w:pPr>
              <w:spacing w:after="0" w:line="20" w:lineRule="exact"/>
              <w:rPr>
                <w:sz w:val="1"/>
                <w:szCs w:val="1"/>
                <w:color w:val="auto"/>
              </w:rPr>
            </w:pPr>
          </w:p>
        </w:tc>
        <w:tc>
          <w:tcPr>
            <w:tcW w:w="3760" w:type="dxa"/>
            <w:vAlign w:val="bottom"/>
            <w:tcBorders>
              <w:bottom w:val="single" w:sz="8" w:color="00A1DF"/>
            </w:tcBorders>
          </w:tcPr>
          <w:p>
            <w:pPr>
              <w:spacing w:after="0" w:line="20" w:lineRule="exact"/>
              <w:rPr>
                <w:sz w:val="1"/>
                <w:szCs w:val="1"/>
                <w:color w:val="auto"/>
              </w:rPr>
            </w:pPr>
          </w:p>
        </w:tc>
        <w:tc>
          <w:tcPr>
            <w:tcW w:w="1140" w:type="dxa"/>
            <w:vAlign w:val="bottom"/>
            <w:tcBorders>
              <w:bottom w:val="single" w:sz="8" w:color="00A1DF"/>
            </w:tcBorders>
          </w:tcPr>
          <w:p>
            <w:pPr>
              <w:spacing w:after="0" w:line="20" w:lineRule="exact"/>
              <w:rPr>
                <w:sz w:val="1"/>
                <w:szCs w:val="1"/>
                <w:color w:val="auto"/>
              </w:rPr>
            </w:pPr>
          </w:p>
        </w:tc>
        <w:tc>
          <w:tcPr>
            <w:tcW w:w="800" w:type="dxa"/>
            <w:vAlign w:val="bottom"/>
            <w:tcBorders>
              <w:bottom w:val="single" w:sz="8" w:color="00A1DF"/>
            </w:tcBorders>
          </w:tcPr>
          <w:p>
            <w:pPr>
              <w:spacing w:after="0" w:line="20" w:lineRule="exact"/>
              <w:rPr>
                <w:sz w:val="1"/>
                <w:szCs w:val="1"/>
                <w:color w:val="auto"/>
              </w:rPr>
            </w:pPr>
          </w:p>
        </w:tc>
      </w:tr>
      <w:tr>
        <w:trPr>
          <w:trHeight w:val="215"/>
        </w:trPr>
        <w:tc>
          <w:tcPr>
            <w:tcW w:w="1440" w:type="dxa"/>
            <w:vAlign w:val="bottom"/>
          </w:tcPr>
          <w:p>
            <w:pPr>
              <w:ind w:left="60"/>
              <w:spacing w:after="0"/>
              <w:rPr>
                <w:sz w:val="20"/>
                <w:szCs w:val="20"/>
                <w:color w:val="auto"/>
              </w:rPr>
            </w:pPr>
            <w:r>
              <w:rPr>
                <w:rFonts w:ascii="Arial" w:cs="Arial" w:eastAsia="Arial" w:hAnsi="Arial"/>
                <w:sz w:val="15"/>
                <w:szCs w:val="15"/>
                <w:color w:val="auto"/>
              </w:rPr>
              <w:t>Base Salary</w:t>
            </w:r>
          </w:p>
        </w:tc>
        <w:tc>
          <w:tcPr>
            <w:tcW w:w="3760" w:type="dxa"/>
            <w:vAlign w:val="bottom"/>
          </w:tcPr>
          <w:p>
            <w:pPr>
              <w:ind w:left="260"/>
              <w:spacing w:after="0"/>
              <w:rPr>
                <w:sz w:val="20"/>
                <w:szCs w:val="20"/>
                <w:color w:val="auto"/>
              </w:rPr>
            </w:pPr>
            <w:r>
              <w:rPr>
                <w:rFonts w:ascii="Arial" w:cs="Arial" w:eastAsia="Arial" w:hAnsi="Arial"/>
                <w:sz w:val="15"/>
                <w:szCs w:val="15"/>
                <w:color w:val="auto"/>
              </w:rPr>
              <w:t>Only Fixed Pay Element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2,100,000</w:t>
            </w: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5"/>
        </w:trPr>
        <w:tc>
          <w:tcPr>
            <w:tcW w:w="1440" w:type="dxa"/>
            <w:vAlign w:val="bottom"/>
          </w:tcPr>
          <w:p>
            <w:pPr>
              <w:ind w:left="60"/>
              <w:spacing w:after="0"/>
              <w:rPr>
                <w:sz w:val="20"/>
                <w:szCs w:val="20"/>
                <w:color w:val="auto"/>
              </w:rPr>
            </w:pPr>
            <w:r>
              <w:rPr>
                <w:rFonts w:ascii="Arial" w:cs="Arial" w:eastAsia="Arial" w:hAnsi="Arial"/>
                <w:sz w:val="15"/>
                <w:szCs w:val="15"/>
                <w:color w:val="auto"/>
              </w:rPr>
              <w:t>STIP</w:t>
            </w:r>
          </w:p>
        </w:tc>
        <w:tc>
          <w:tcPr>
            <w:tcW w:w="3760" w:type="dxa"/>
            <w:vAlign w:val="bottom"/>
          </w:tcPr>
          <w:p>
            <w:pPr>
              <w:ind w:left="260"/>
              <w:spacing w:after="0"/>
              <w:rPr>
                <w:sz w:val="20"/>
                <w:szCs w:val="20"/>
                <w:color w:val="auto"/>
              </w:rPr>
            </w:pPr>
            <w:r>
              <w:rPr>
                <w:rFonts w:ascii="Arial" w:cs="Arial" w:eastAsia="Arial" w:hAnsi="Arial"/>
                <w:sz w:val="15"/>
                <w:szCs w:val="15"/>
                <w:color w:val="auto"/>
              </w:rPr>
              <w:t>Performance to Metrics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4,452,000</w:t>
            </w: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6"/>
        </w:trPr>
        <w:tc>
          <w:tcPr>
            <w:tcW w:w="14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5"/>
                <w:szCs w:val="15"/>
                <w:color w:val="auto"/>
              </w:rPr>
              <w:t>PSUs</w:t>
            </w:r>
            <w:r>
              <w:rPr>
                <w:rFonts w:ascii="Arial" w:cs="Arial" w:eastAsia="Arial" w:hAnsi="Arial"/>
                <w:sz w:val="25"/>
                <w:szCs w:val="25"/>
                <w:color w:val="auto"/>
                <w:vertAlign w:val="superscript"/>
              </w:rPr>
              <w:t>(1)</w:t>
            </w:r>
          </w:p>
        </w:tc>
        <w:tc>
          <w:tcPr>
            <w:tcW w:w="37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Performance to Metrics and Stock Price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11,081,760</w:t>
            </w:r>
          </w:p>
        </w:tc>
      </w:tr>
      <w:tr>
        <w:trPr>
          <w:trHeight w:val="236"/>
        </w:trPr>
        <w:tc>
          <w:tcPr>
            <w:tcW w:w="14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5"/>
                <w:szCs w:val="15"/>
                <w:color w:val="auto"/>
              </w:rPr>
              <w:t>Stock Options</w:t>
            </w:r>
            <w:r>
              <w:rPr>
                <w:rFonts w:ascii="Arial" w:cs="Arial" w:eastAsia="Arial" w:hAnsi="Arial"/>
                <w:sz w:val="25"/>
                <w:szCs w:val="25"/>
                <w:color w:val="auto"/>
                <w:vertAlign w:val="superscript"/>
              </w:rPr>
              <w:t>(2)</w:t>
            </w:r>
          </w:p>
        </w:tc>
        <w:tc>
          <w:tcPr>
            <w:tcW w:w="37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Performance to Stock Price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3,425,006</w:t>
            </w:r>
          </w:p>
        </w:tc>
      </w:tr>
      <w:tr>
        <w:trPr>
          <w:trHeight w:val="215"/>
        </w:trPr>
        <w:tc>
          <w:tcPr>
            <w:tcW w:w="1440" w:type="dxa"/>
            <w:vAlign w:val="bottom"/>
          </w:tcPr>
          <w:p>
            <w:pPr>
              <w:ind w:left="60"/>
              <w:spacing w:after="0"/>
              <w:rPr>
                <w:sz w:val="20"/>
                <w:szCs w:val="20"/>
                <w:color w:val="auto"/>
              </w:rPr>
            </w:pPr>
            <w:r>
              <w:rPr>
                <w:rFonts w:ascii="Arial" w:cs="Arial" w:eastAsia="Arial" w:hAnsi="Arial"/>
                <w:sz w:val="15"/>
                <w:szCs w:val="15"/>
                <w:b w:val="1"/>
                <w:bCs w:val="1"/>
                <w:color w:val="0033A0"/>
              </w:rPr>
              <w:t>TOTAL</w:t>
            </w:r>
          </w:p>
        </w:tc>
        <w:tc>
          <w:tcPr>
            <w:tcW w:w="3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0033A0"/>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0033A0"/>
                <w:w w:val="98"/>
              </w:rPr>
              <w:t>21,058,766</w:t>
            </w:r>
          </w:p>
        </w:tc>
      </w:tr>
      <w:tr>
        <w:trPr>
          <w:trHeight w:val="21"/>
        </w:trPr>
        <w:tc>
          <w:tcPr>
            <w:tcW w:w="1440" w:type="dxa"/>
            <w:vAlign w:val="bottom"/>
            <w:tcBorders>
              <w:bottom w:val="single" w:sz="8" w:color="0033A0"/>
            </w:tcBorders>
          </w:tcPr>
          <w:p>
            <w:pPr>
              <w:spacing w:after="0" w:line="20" w:lineRule="exact"/>
              <w:rPr>
                <w:sz w:val="1"/>
                <w:szCs w:val="1"/>
                <w:color w:val="auto"/>
              </w:rPr>
            </w:pPr>
          </w:p>
        </w:tc>
        <w:tc>
          <w:tcPr>
            <w:tcW w:w="3760" w:type="dxa"/>
            <w:vAlign w:val="bottom"/>
            <w:tcBorders>
              <w:bottom w:val="single" w:sz="8" w:color="0033A0"/>
            </w:tcBorders>
          </w:tcPr>
          <w:p>
            <w:pPr>
              <w:spacing w:after="0" w:line="20" w:lineRule="exact"/>
              <w:rPr>
                <w:sz w:val="1"/>
                <w:szCs w:val="1"/>
                <w:color w:val="auto"/>
              </w:rPr>
            </w:pPr>
          </w:p>
        </w:tc>
        <w:tc>
          <w:tcPr>
            <w:tcW w:w="1140" w:type="dxa"/>
            <w:vAlign w:val="bottom"/>
            <w:tcBorders>
              <w:bottom w:val="single" w:sz="8" w:color="0033A0"/>
            </w:tcBorders>
          </w:tcPr>
          <w:p>
            <w:pPr>
              <w:spacing w:after="0" w:line="20" w:lineRule="exact"/>
              <w:rPr>
                <w:sz w:val="1"/>
                <w:szCs w:val="1"/>
                <w:color w:val="auto"/>
              </w:rPr>
            </w:pPr>
          </w:p>
        </w:tc>
        <w:tc>
          <w:tcPr>
            <w:tcW w:w="800" w:type="dxa"/>
            <w:vAlign w:val="bottom"/>
            <w:tcBorders>
              <w:bottom w:val="single" w:sz="8" w:color="0033A0"/>
            </w:tcBorders>
          </w:tcPr>
          <w:p>
            <w:pPr>
              <w:spacing w:after="0" w:line="20" w:lineRule="exact"/>
              <w:rPr>
                <w:sz w:val="1"/>
                <w:szCs w:val="1"/>
                <w:color w:val="auto"/>
              </w:rPr>
            </w:pPr>
          </w:p>
        </w:tc>
      </w:tr>
    </w:tbl>
    <w:p>
      <w:pPr>
        <w:spacing w:after="0" w:line="58" w:lineRule="exact"/>
        <w:rPr>
          <w:sz w:val="20"/>
          <w:szCs w:val="20"/>
          <w:color w:val="auto"/>
        </w:rPr>
      </w:pPr>
    </w:p>
    <w:p>
      <w:pPr>
        <w:jc w:val="both"/>
        <w:ind w:left="500" w:hanging="287"/>
        <w:spacing w:after="0" w:line="260" w:lineRule="auto"/>
        <w:tabs>
          <w:tab w:leader="none" w:pos="532"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29" w:lineRule="exact"/>
        <w:rPr>
          <w:rFonts w:ascii="Arial" w:cs="Arial" w:eastAsia="Arial" w:hAnsi="Arial"/>
          <w:sz w:val="14"/>
          <w:szCs w:val="14"/>
          <w:i w:val="1"/>
          <w:iCs w:val="1"/>
          <w:color w:val="auto"/>
        </w:rPr>
      </w:pPr>
    </w:p>
    <w:p>
      <w:pPr>
        <w:ind w:left="520" w:hanging="307"/>
        <w:spacing w:after="0"/>
        <w:tabs>
          <w:tab w:leader="none" w:pos="52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297815</wp:posOffset>
            </wp:positionV>
            <wp:extent cx="6758305" cy="1282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-5191125</wp:posOffset>
            </wp:positionV>
            <wp:extent cx="1661795" cy="48056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61795" cy="4805680"/>
                    </a:xfrm>
                    <a:prstGeom prst="rect">
                      <a:avLst/>
                    </a:prstGeom>
                    <a:noFill/>
                  </pic:spPr>
                </pic:pic>
              </a:graphicData>
            </a:graphic>
          </wp:anchor>
        </w:drawing>
      </w:r>
    </w:p>
    <w:p>
      <w:pPr>
        <w:spacing w:after="0" w:line="1766" w:lineRule="exact"/>
        <w:rPr>
          <w:sz w:val="20"/>
          <w:szCs w:val="20"/>
          <w:color w:val="auto"/>
        </w:rPr>
      </w:pPr>
    </w:p>
    <w:p>
      <w:pPr>
        <w:sectPr>
          <w:pgSz w:w="11900" w:h="16838" w:orient="portrait"/>
          <w:cols w:equalWidth="0" w:num="2">
            <w:col w:w="7360" w:space="340"/>
            <w:col w:w="3520"/>
          </w:cols>
          <w:pgMar w:left="240" w:top="459" w:right="439" w:bottom="1440" w:gutter="0" w:footer="0" w:header="0"/>
          <w:type w:val="continuous"/>
        </w:sectPr>
      </w:pPr>
    </w:p>
    <w:p>
      <w:pPr>
        <w:spacing w:after="0" w:line="274"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49</w:t>
      </w:r>
    </w:p>
    <w:p>
      <w:pPr>
        <w:sectPr>
          <w:pgSz w:w="11900" w:h="16838" w:orient="portrait"/>
          <w:cols w:equalWidth="0" w:num="1">
            <w:col w:w="11220"/>
          </w:cols>
          <w:pgMar w:left="24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73" w:lineRule="exact"/>
        <w:rPr>
          <w:sz w:val="20"/>
          <w:szCs w:val="20"/>
          <w:color w:val="auto"/>
        </w:rPr>
      </w:pPr>
    </w:p>
    <w:p>
      <w:pPr>
        <w:ind w:left="660" w:hanging="450"/>
        <w:spacing w:after="0"/>
        <w:tabs>
          <w:tab w:leader="none" w:pos="660" w:val="left"/>
        </w:tabs>
        <w:numPr>
          <w:ilvl w:val="0"/>
          <w:numId w:val="85"/>
        </w:numPr>
        <w:rPr>
          <w:rFonts w:ascii="Arial" w:cs="Arial" w:eastAsia="Arial" w:hAnsi="Arial"/>
          <w:sz w:val="25"/>
          <w:szCs w:val="25"/>
          <w:color w:val="0033A0"/>
        </w:rPr>
      </w:pPr>
      <w:r>
        <w:rPr>
          <w:rFonts w:ascii="Arial" w:cs="Arial" w:eastAsia="Arial" w:hAnsi="Arial"/>
          <w:sz w:val="25"/>
          <w:szCs w:val="25"/>
          <w:color w:val="auto"/>
        </w:rPr>
        <w:t>Compensation Decisions for Dhivya Suryadevara</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0033A0"/>
        </w:rPr>
        <w:t xml:space="preserve">Dhivya Suryadevara, </w:t>
      </w:r>
      <w:r>
        <w:rPr>
          <w:rFonts w:ascii="Arial" w:cs="Arial" w:eastAsia="Arial" w:hAnsi="Arial"/>
          <w:sz w:val="16"/>
          <w:szCs w:val="16"/>
          <w:b w:val="1"/>
          <w:bCs w:val="1"/>
          <w:color w:val="000000"/>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4539615" cy="14903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39615" cy="1490345"/>
                    </a:xfrm>
                    <a:prstGeom prst="rect">
                      <a:avLst/>
                    </a:prstGeom>
                    <a:noFill/>
                  </pic:spPr>
                </pic:pic>
              </a:graphicData>
            </a:graphic>
          </wp:anchor>
        </w:drawing>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2018 performance highlights for Ms. Suryadevara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5196205</wp:posOffset>
            </wp:positionH>
            <wp:positionV relativeFrom="paragraph">
              <wp:posOffset>-66040</wp:posOffset>
            </wp:positionV>
            <wp:extent cx="1619250" cy="2055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19250" cy="2055495"/>
                    </a:xfrm>
                    <a:prstGeom prst="rect">
                      <a:avLst/>
                    </a:prstGeom>
                    <a:noFill/>
                  </pic:spPr>
                </pic:pic>
              </a:graphicData>
            </a:graphic>
          </wp:anchor>
        </w:drawing>
      </w:r>
    </w:p>
    <w:p>
      <w:pPr>
        <w:spacing w:after="0" w:line="66" w:lineRule="exact"/>
        <w:rPr>
          <w:sz w:val="20"/>
          <w:szCs w:val="20"/>
          <w:color w:val="auto"/>
        </w:rPr>
      </w:pPr>
    </w:p>
    <w:p>
      <w:pPr>
        <w:ind w:left="580" w:hanging="208"/>
        <w:spacing w:after="0"/>
        <w:tabs>
          <w:tab w:leader="none" w:pos="58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Furthered progress towards creating a safety culture through various initiatives</w:t>
      </w:r>
    </w:p>
    <w:p>
      <w:pPr>
        <w:spacing w:after="0" w:line="18" w:lineRule="exact"/>
        <w:rPr>
          <w:rFonts w:ascii="Arial" w:cs="Arial" w:eastAsia="Arial" w:hAnsi="Arial"/>
          <w:sz w:val="16"/>
          <w:szCs w:val="16"/>
          <w:color w:val="00A1DF"/>
        </w:rPr>
      </w:pPr>
    </w:p>
    <w:p>
      <w:pPr>
        <w:jc w:val="both"/>
        <w:ind w:left="580" w:right="3920" w:hanging="208"/>
        <w:spacing w:after="0" w:line="246" w:lineRule="auto"/>
        <w:tabs>
          <w:tab w:leader="none" w:pos="58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Navigated significant headwinds to deliver $147.0B in Revenue, $11.8B in EBIT-adjusted, 8% EBIT-adjusted margin, 24.9% ROIC-adjusted, and EPS-diluted-adjusted of $6.54 while positioning GM to lead in the future</w:t>
      </w:r>
    </w:p>
    <w:p>
      <w:pPr>
        <w:ind w:left="580" w:hanging="208"/>
        <w:spacing w:after="0"/>
        <w:tabs>
          <w:tab w:leader="none" w:pos="58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Completed $6.5B cost savings program by 2018 per target, resulting in improved margins</w:t>
      </w:r>
    </w:p>
    <w:p>
      <w:pPr>
        <w:spacing w:after="0" w:line="18" w:lineRule="exact"/>
        <w:rPr>
          <w:rFonts w:ascii="Arial" w:cs="Arial" w:eastAsia="Arial" w:hAnsi="Arial"/>
          <w:sz w:val="16"/>
          <w:szCs w:val="16"/>
          <w:color w:val="00A1DF"/>
        </w:rPr>
      </w:pPr>
    </w:p>
    <w:p>
      <w:pPr>
        <w:ind w:left="580" w:hanging="208"/>
        <w:spacing w:after="0"/>
        <w:tabs>
          <w:tab w:leader="none" w:pos="58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Instilled an increased focus on free cash flow Company-wide</w:t>
      </w:r>
    </w:p>
    <w:p>
      <w:pPr>
        <w:spacing w:after="0" w:line="18" w:lineRule="exact"/>
        <w:rPr>
          <w:rFonts w:ascii="Arial" w:cs="Arial" w:eastAsia="Arial" w:hAnsi="Arial"/>
          <w:sz w:val="16"/>
          <w:szCs w:val="16"/>
          <w:color w:val="00A1DF"/>
        </w:rPr>
      </w:pPr>
    </w:p>
    <w:p>
      <w:pPr>
        <w:ind w:left="580" w:hanging="208"/>
        <w:spacing w:after="0"/>
        <w:tabs>
          <w:tab w:leader="none" w:pos="58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Played an integral role in the SoftBank and Honda investments in GM Cruise</w:t>
      </w:r>
    </w:p>
    <w:p>
      <w:pPr>
        <w:spacing w:after="0" w:line="18" w:lineRule="exact"/>
        <w:rPr>
          <w:rFonts w:ascii="Arial" w:cs="Arial" w:eastAsia="Arial" w:hAnsi="Arial"/>
          <w:sz w:val="16"/>
          <w:szCs w:val="16"/>
          <w:color w:val="00A1DF"/>
        </w:rPr>
      </w:pPr>
    </w:p>
    <w:p>
      <w:pPr>
        <w:ind w:left="580" w:right="3920" w:hanging="208"/>
        <w:spacing w:after="0" w:line="246" w:lineRule="auto"/>
        <w:tabs>
          <w:tab w:leader="none" w:pos="58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Accelerated GM’s transformation, expected to increase annual adjusted AFCF by $6B by year-end 2020 on a run-rate basis</w:t>
      </w:r>
    </w:p>
    <w:p>
      <w:pPr>
        <w:ind w:left="580" w:hanging="208"/>
        <w:spacing w:after="0"/>
        <w:tabs>
          <w:tab w:leader="none" w:pos="58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Improved investor relations outreach and perception</w:t>
      </w:r>
    </w:p>
    <w:p>
      <w:pPr>
        <w:spacing w:after="0" w:line="180" w:lineRule="exact"/>
        <w:rPr>
          <w:sz w:val="20"/>
          <w:szCs w:val="20"/>
          <w:color w:val="auto"/>
        </w:rPr>
      </w:pPr>
    </w:p>
    <w:p>
      <w:pPr>
        <w:jc w:val="both"/>
        <w:ind w:left="220" w:right="3860"/>
        <w:spacing w:after="0" w:line="249" w:lineRule="auto"/>
        <w:rPr>
          <w:sz w:val="20"/>
          <w:szCs w:val="20"/>
          <w:color w:val="auto"/>
        </w:rPr>
      </w:pPr>
      <w:r>
        <w:rPr>
          <w:rFonts w:ascii="Arial" w:cs="Arial" w:eastAsia="Arial" w:hAnsi="Arial"/>
          <w:sz w:val="16"/>
          <w:szCs w:val="16"/>
          <w:color w:val="auto"/>
        </w:rPr>
        <w:t>Ms. Suryadevara was promoted to Executive Vice President and Chief Financial Officer effective September 1, 2018. The Compensation Committee determined a base salary of $900,000 based on the competitive market analysis provided by the Compensation Committee’s independent compensation consultant. In February 2018, Ms. Suryadevara was awarded an annual LTIP grant of $0.74 million. In October 2018, following her promotion, the Compensation Committee awarded an additional LTIP grant of $2.45 million. Both grants consisted of 75% PSUs and 25% Stock Options.</w:t>
      </w:r>
    </w:p>
    <w:p>
      <w:pPr>
        <w:spacing w:after="0" w:line="96" w:lineRule="exact"/>
        <w:rPr>
          <w:sz w:val="20"/>
          <w:szCs w:val="20"/>
          <w:color w:val="auto"/>
        </w:rPr>
      </w:pPr>
    </w:p>
    <w:p>
      <w:pPr>
        <w:jc w:val="both"/>
        <w:ind w:left="220" w:right="3860"/>
        <w:spacing w:after="0" w:line="253" w:lineRule="auto"/>
        <w:rPr>
          <w:sz w:val="20"/>
          <w:szCs w:val="20"/>
          <w:color w:val="auto"/>
        </w:rPr>
      </w:pPr>
      <w:r>
        <w:rPr>
          <w:rFonts w:ascii="Arial" w:cs="Arial" w:eastAsia="Arial" w:hAnsi="Arial"/>
          <w:sz w:val="16"/>
          <w:szCs w:val="16"/>
          <w:color w:val="auto"/>
        </w:rPr>
        <w:t>The Compensation Committee awarded Ms. Suryadevara 35 points based on her results, highlighted above, for the 2018 STIP performance year. The total compensation for Ms. Suryadevara in 2018,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-233045</wp:posOffset>
            </wp:positionV>
            <wp:extent cx="959485" cy="23983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59485" cy="2398395"/>
                    </a:xfrm>
                    <a:prstGeom prst="rect">
                      <a:avLst/>
                    </a:prstGeom>
                    <a:noFill/>
                  </pic:spPr>
                </pic:pic>
              </a:graphicData>
            </a:graphic>
          </wp:anchor>
        </w:drawing>
      </w:r>
    </w:p>
    <w:p>
      <w:pPr>
        <w:spacing w:after="0" w:line="15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54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20" w:type="dxa"/>
            <w:vAlign w:val="bottom"/>
            <w:tcBorders>
              <w:top w:val="single" w:sz="8" w:color="00A1DF"/>
              <w:bottom w:val="single" w:sz="8" w:color="00A1DF"/>
            </w:tcBorders>
          </w:tcPr>
          <w:p>
            <w:pPr>
              <w:ind w:left="36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gridSpan w:val="2"/>
          </w:tcPr>
          <w:p>
            <w:pPr>
              <w:jc w:val="right"/>
              <w:ind w:right="4"/>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Only Fixed Pay Element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668,100</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Performance to Metrics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8"/>
              </w:rPr>
              <w:t>1,192,500</w:t>
            </w:r>
          </w:p>
        </w:tc>
        <w:tc>
          <w:tcPr>
            <w:tcW w:w="0" w:type="dxa"/>
            <w:vAlign w:val="bottom"/>
          </w:tcPr>
          <w:p>
            <w:pPr>
              <w:spacing w:after="0"/>
              <w:rPr>
                <w:sz w:val="1"/>
                <w:szCs w:val="1"/>
                <w:color w:val="auto"/>
              </w:rPr>
            </w:pPr>
          </w:p>
        </w:tc>
      </w:tr>
      <w:tr>
        <w:trPr>
          <w:trHeight w:val="169"/>
        </w:trPr>
        <w:tc>
          <w:tcPr>
            <w:tcW w:w="1540" w:type="dxa"/>
            <w:vAlign w:val="bottom"/>
          </w:tcPr>
          <w:p>
            <w:pPr>
              <w:ind w:left="460"/>
              <w:spacing w:after="0"/>
              <w:rPr>
                <w:sz w:val="20"/>
                <w:szCs w:val="20"/>
                <w:color w:val="auto"/>
              </w:rPr>
            </w:pPr>
            <w:r>
              <w:rPr>
                <w:rFonts w:ascii="Arial" w:cs="Arial" w:eastAsia="Arial" w:hAnsi="Arial"/>
                <w:sz w:val="13"/>
                <w:szCs w:val="13"/>
                <w:color w:val="auto"/>
              </w:rPr>
              <w:t>(1)</w:t>
            </w:r>
          </w:p>
        </w:tc>
        <w:tc>
          <w:tcPr>
            <w:tcW w:w="3720" w:type="dxa"/>
            <w:vAlign w:val="bottom"/>
            <w:vMerge w:val="restart"/>
          </w:tcPr>
          <w:p>
            <w:pPr>
              <w:ind w:left="360"/>
              <w:spacing w:after="0"/>
              <w:rPr>
                <w:sz w:val="20"/>
                <w:szCs w:val="20"/>
                <w:color w:val="auto"/>
              </w:rPr>
            </w:pPr>
            <w:r>
              <w:rPr>
                <w:rFonts w:ascii="Arial" w:cs="Arial" w:eastAsia="Arial" w:hAnsi="Arial"/>
                <w:sz w:val="15"/>
                <w:szCs w:val="15"/>
                <w:color w:val="auto"/>
              </w:rPr>
              <w:t>Performance to Metrics and Stock Price</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color w:val="auto"/>
                <w:w w:val="98"/>
              </w:rPr>
              <w:t>2,446,635</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ind w:left="60"/>
              <w:spacing w:after="0" w:line="54" w:lineRule="exact"/>
              <w:rPr>
                <w:sz w:val="20"/>
                <w:szCs w:val="20"/>
                <w:color w:val="auto"/>
              </w:rPr>
            </w:pPr>
            <w:r>
              <w:rPr>
                <w:rFonts w:ascii="Arial" w:cs="Arial" w:eastAsia="Arial" w:hAnsi="Arial"/>
                <w:sz w:val="5"/>
                <w:szCs w:val="5"/>
                <w:color w:val="auto"/>
              </w:rPr>
              <w:t>PSUs</w:t>
            </w:r>
          </w:p>
        </w:tc>
        <w:tc>
          <w:tcPr>
            <w:tcW w:w="372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2"/>
                <w:szCs w:val="12"/>
                <w:color w:val="auto"/>
              </w:rPr>
              <w:t>(2)</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Performance to Stock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796,263</w:t>
            </w:r>
          </w:p>
        </w:tc>
        <w:tc>
          <w:tcPr>
            <w:tcW w:w="0" w:type="dxa"/>
            <w:vAlign w:val="bottom"/>
          </w:tcPr>
          <w:p>
            <w:pPr>
              <w:spacing w:after="0"/>
              <w:rPr>
                <w:sz w:val="1"/>
                <w:szCs w:val="1"/>
                <w:color w:val="auto"/>
              </w:rPr>
            </w:pPr>
          </w:p>
        </w:tc>
      </w:tr>
      <w:tr>
        <w:trPr>
          <w:trHeight w:val="232"/>
        </w:trPr>
        <w:tc>
          <w:tcPr>
            <w:tcW w:w="154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20" w:type="dxa"/>
            <w:vAlign w:val="bottom"/>
            <w:tcBorders>
              <w:bottom w:val="single" w:sz="8" w:color="0033A0"/>
            </w:tcBorders>
          </w:tcPr>
          <w:p>
            <w:pPr>
              <w:spacing w:after="0"/>
              <w:rPr>
                <w:sz w:val="20"/>
                <w:szCs w:val="20"/>
                <w:color w:val="auto"/>
              </w:rPr>
            </w:pPr>
          </w:p>
        </w:tc>
        <w:tc>
          <w:tcPr>
            <w:tcW w:w="106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w:t>
            </w:r>
          </w:p>
        </w:tc>
        <w:tc>
          <w:tcPr>
            <w:tcW w:w="760" w:type="dxa"/>
            <w:vAlign w:val="bottom"/>
            <w:tcBorders>
              <w:bottom w:val="single" w:sz="8" w:color="0033A0"/>
            </w:tcBorders>
          </w:tcPr>
          <w:p>
            <w:pPr>
              <w:jc w:val="right"/>
              <w:ind w:right="4"/>
              <w:spacing w:after="0"/>
              <w:rPr>
                <w:sz w:val="20"/>
                <w:szCs w:val="20"/>
                <w:color w:val="auto"/>
              </w:rPr>
            </w:pPr>
            <w:r>
              <w:rPr>
                <w:rFonts w:ascii="Arial" w:cs="Arial" w:eastAsia="Arial" w:hAnsi="Arial"/>
                <w:sz w:val="15"/>
                <w:szCs w:val="15"/>
                <w:b w:val="1"/>
                <w:bCs w:val="1"/>
                <w:color w:val="0033A0"/>
                <w:w w:val="98"/>
              </w:rPr>
              <w:t>5,103,498</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00" w:right="3920" w:hanging="290"/>
        <w:spacing w:after="0" w:line="260" w:lineRule="auto"/>
        <w:tabs>
          <w:tab w:leader="none" w:pos="50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29" w:lineRule="exact"/>
        <w:rPr>
          <w:rFonts w:ascii="Arial" w:cs="Arial" w:eastAsia="Arial" w:hAnsi="Arial"/>
          <w:sz w:val="14"/>
          <w:szCs w:val="14"/>
          <w:i w:val="1"/>
          <w:iCs w:val="1"/>
          <w:color w:val="auto"/>
        </w:rPr>
      </w:pPr>
    </w:p>
    <w:p>
      <w:pPr>
        <w:ind w:left="500" w:hanging="290"/>
        <w:spacing w:after="0"/>
        <w:tabs>
          <w:tab w:leader="none" w:pos="50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177165</wp:posOffset>
            </wp:positionV>
            <wp:extent cx="685292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50</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73" w:lineRule="exact"/>
        <w:rPr>
          <w:sz w:val="20"/>
          <w:szCs w:val="20"/>
          <w:color w:val="auto"/>
        </w:rPr>
      </w:pPr>
    </w:p>
    <w:p>
      <w:pPr>
        <w:ind w:left="660" w:hanging="450"/>
        <w:spacing w:after="0"/>
        <w:tabs>
          <w:tab w:leader="none" w:pos="660" w:val="left"/>
        </w:tabs>
        <w:numPr>
          <w:ilvl w:val="0"/>
          <w:numId w:val="88"/>
        </w:numPr>
        <w:rPr>
          <w:rFonts w:ascii="Arial" w:cs="Arial" w:eastAsia="Arial" w:hAnsi="Arial"/>
          <w:sz w:val="25"/>
          <w:szCs w:val="25"/>
          <w:color w:val="0033A0"/>
        </w:rPr>
      </w:pPr>
      <w:r>
        <w:rPr>
          <w:rFonts w:ascii="Arial" w:cs="Arial" w:eastAsia="Arial" w:hAnsi="Arial"/>
          <w:sz w:val="25"/>
          <w:szCs w:val="25"/>
          <w:color w:val="auto"/>
        </w:rPr>
        <w:t>Compensation Decisions for Daniel Ammann</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0033A0"/>
        </w:rPr>
        <w:t xml:space="preserve">Daniel Ammann, </w:t>
      </w:r>
      <w:r>
        <w:rPr>
          <w:rFonts w:ascii="Arial" w:cs="Arial" w:eastAsia="Arial" w:hAnsi="Arial"/>
          <w:sz w:val="16"/>
          <w:szCs w:val="16"/>
          <w:b w:val="1"/>
          <w:bCs w:val="1"/>
          <w:color w:val="00000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4539615" cy="14992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539615" cy="1499235"/>
                    </a:xfrm>
                    <a:prstGeom prst="rect">
                      <a:avLst/>
                    </a:prstGeom>
                    <a:noFill/>
                  </pic:spPr>
                </pic:pic>
              </a:graphicData>
            </a:graphic>
          </wp:anchor>
        </w:drawing>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2018 performance highlights for Mr. Ammann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5196205</wp:posOffset>
            </wp:positionH>
            <wp:positionV relativeFrom="paragraph">
              <wp:posOffset>-66040</wp:posOffset>
            </wp:positionV>
            <wp:extent cx="1610360" cy="20300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10360" cy="2030095"/>
                    </a:xfrm>
                    <a:prstGeom prst="rect">
                      <a:avLst/>
                    </a:prstGeom>
                    <a:noFill/>
                  </pic:spPr>
                </pic:pic>
              </a:graphicData>
            </a:graphic>
          </wp:anchor>
        </w:drawing>
      </w:r>
    </w:p>
    <w:p>
      <w:pPr>
        <w:spacing w:after="0" w:line="66" w:lineRule="exact"/>
        <w:rPr>
          <w:sz w:val="20"/>
          <w:szCs w:val="20"/>
          <w:color w:val="auto"/>
        </w:rPr>
      </w:pPr>
    </w:p>
    <w:p>
      <w:pPr>
        <w:ind w:left="580" w:hanging="208"/>
        <w:spacing w:after="0"/>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Furthered progress towards creating a safety culture through various initiatives</w:t>
      </w:r>
    </w:p>
    <w:p>
      <w:pPr>
        <w:spacing w:after="0" w:line="18" w:lineRule="exact"/>
        <w:rPr>
          <w:rFonts w:ascii="Arial" w:cs="Arial" w:eastAsia="Arial" w:hAnsi="Arial"/>
          <w:sz w:val="16"/>
          <w:szCs w:val="16"/>
          <w:color w:val="00A1DF"/>
        </w:rPr>
      </w:pPr>
    </w:p>
    <w:p>
      <w:pPr>
        <w:ind w:left="580" w:right="3920" w:hanging="208"/>
        <w:spacing w:after="0" w:line="246" w:lineRule="auto"/>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Navigated significant headwinds to deliver $147.0B in Revenue, $11.8B in EBIT-adjusted, and EPS-diluted-adjusted of $6.54 while positioning GM to lead in the future</w:t>
      </w:r>
    </w:p>
    <w:p>
      <w:pPr>
        <w:ind w:left="580" w:hanging="208"/>
        <w:spacing w:after="0"/>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Achieved ROIC-adjusted result of 24.9% for 2018</w:t>
      </w:r>
    </w:p>
    <w:p>
      <w:pPr>
        <w:spacing w:after="0" w:line="18" w:lineRule="exact"/>
        <w:rPr>
          <w:rFonts w:ascii="Arial" w:cs="Arial" w:eastAsia="Arial" w:hAnsi="Arial"/>
          <w:sz w:val="16"/>
          <w:szCs w:val="16"/>
          <w:color w:val="00A1DF"/>
        </w:rPr>
      </w:pPr>
    </w:p>
    <w:p>
      <w:pPr>
        <w:ind w:left="580" w:hanging="208"/>
        <w:spacing w:after="0"/>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Continued to drive operational excellence to improve overall business performance</w:t>
      </w:r>
    </w:p>
    <w:p>
      <w:pPr>
        <w:spacing w:after="0" w:line="18" w:lineRule="exact"/>
        <w:rPr>
          <w:rFonts w:ascii="Arial" w:cs="Arial" w:eastAsia="Arial" w:hAnsi="Arial"/>
          <w:sz w:val="16"/>
          <w:szCs w:val="16"/>
          <w:color w:val="00A1DF"/>
        </w:rPr>
      </w:pPr>
    </w:p>
    <w:p>
      <w:pPr>
        <w:ind w:left="580" w:hanging="208"/>
        <w:spacing w:after="0"/>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Successfully restructured GM Korea with a plan in place toward enterprise level profitability</w:t>
      </w:r>
    </w:p>
    <w:p>
      <w:pPr>
        <w:spacing w:after="0" w:line="18" w:lineRule="exact"/>
        <w:rPr>
          <w:rFonts w:ascii="Arial" w:cs="Arial" w:eastAsia="Arial" w:hAnsi="Arial"/>
          <w:sz w:val="16"/>
          <w:szCs w:val="16"/>
          <w:color w:val="00A1DF"/>
        </w:rPr>
      </w:pPr>
    </w:p>
    <w:p>
      <w:pPr>
        <w:ind w:left="580" w:hanging="208"/>
        <w:spacing w:after="0"/>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Led the successful investments of SoftBank and Honda in GM Cruise</w:t>
      </w:r>
    </w:p>
    <w:p>
      <w:pPr>
        <w:spacing w:after="0" w:line="18" w:lineRule="exact"/>
        <w:rPr>
          <w:rFonts w:ascii="Arial" w:cs="Arial" w:eastAsia="Arial" w:hAnsi="Arial"/>
          <w:sz w:val="16"/>
          <w:szCs w:val="16"/>
          <w:color w:val="00A1DF"/>
        </w:rPr>
      </w:pPr>
    </w:p>
    <w:p>
      <w:pPr>
        <w:ind w:left="580" w:right="3920" w:hanging="208"/>
        <w:spacing w:after="0" w:line="246" w:lineRule="auto"/>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 xml:space="preserve">Continued to drive strategy and execution towards scale and deployment of autonomous vehicles </w:t>
      </w:r>
      <w:r>
        <w:rPr>
          <w:rFonts w:ascii="Arial" w:cs="Arial" w:eastAsia="Arial" w:hAnsi="Arial"/>
          <w:sz w:val="1"/>
          <w:szCs w:val="1"/>
          <w:color w:val="00A1DF"/>
        </w:rPr>
        <w:drawing>
          <wp:inline distT="0" distB="0" distL="0" distR="0">
            <wp:extent cx="76835" cy="7683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80" w:hanging="208"/>
        <w:spacing w:after="0"/>
        <w:tabs>
          <w:tab w:leader="none" w:pos="58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Implemented a strong cybersecurity team at GM Cruise</w:t>
      </w:r>
    </w:p>
    <w:p>
      <w:pPr>
        <w:spacing w:after="0" w:line="180" w:lineRule="exact"/>
        <w:rPr>
          <w:sz w:val="20"/>
          <w:szCs w:val="20"/>
          <w:color w:val="auto"/>
        </w:rPr>
      </w:pPr>
    </w:p>
    <w:p>
      <w:pPr>
        <w:jc w:val="both"/>
        <w:ind w:left="220" w:right="3860"/>
        <w:spacing w:after="0" w:line="249" w:lineRule="auto"/>
        <w:rPr>
          <w:sz w:val="20"/>
          <w:szCs w:val="20"/>
          <w:color w:val="auto"/>
        </w:rPr>
      </w:pPr>
      <w:r>
        <w:rPr>
          <w:rFonts w:ascii="Arial" w:cs="Arial" w:eastAsia="Arial" w:hAnsi="Arial"/>
          <w:sz w:val="16"/>
          <w:szCs w:val="16"/>
          <w:color w:val="auto"/>
        </w:rPr>
        <w:t>The Compensation Committee held Mr. Ammann’s base salary at $1,450,000 based on the competitive market analysis provided by the Compensation Committee’s independent compensation consultant. In February 2018, the Compensation Committee awarded Mr. Ammann an annual LTIP grant of $4.94 million, consisting of 75% PSUs and 25% Stock Options. Mr. Ammann’s 2018 compensation structure remained the same as his 2017 compensation structure.</w:t>
      </w:r>
    </w:p>
    <w:p>
      <w:pPr>
        <w:spacing w:after="0" w:line="287" w:lineRule="exact"/>
        <w:rPr>
          <w:sz w:val="20"/>
          <w:szCs w:val="20"/>
          <w:color w:val="auto"/>
        </w:rPr>
      </w:pPr>
    </w:p>
    <w:p>
      <w:pPr>
        <w:jc w:val="both"/>
        <w:ind w:left="220" w:right="3860"/>
        <w:spacing w:after="0" w:line="253" w:lineRule="auto"/>
        <w:rPr>
          <w:sz w:val="20"/>
          <w:szCs w:val="20"/>
          <w:color w:val="auto"/>
        </w:rPr>
      </w:pPr>
      <w:r>
        <w:rPr>
          <w:rFonts w:ascii="Arial" w:cs="Arial" w:eastAsia="Arial" w:hAnsi="Arial"/>
          <w:sz w:val="16"/>
          <w:szCs w:val="16"/>
          <w:color w:val="auto"/>
        </w:rPr>
        <w:t>The Compensation Committee awarded Mr. Ammann 35 points based on his results, highlighted above, for the 2018 STIP performance year. The total compensation for Mr. Ammann in 2018,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-267335</wp:posOffset>
            </wp:positionV>
            <wp:extent cx="1096645" cy="23983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96645" cy="2398395"/>
                    </a:xfrm>
                    <a:prstGeom prst="rect">
                      <a:avLst/>
                    </a:prstGeom>
                    <a:noFill/>
                  </pic:spPr>
                </pic:pic>
              </a:graphicData>
            </a:graphic>
          </wp:anchor>
        </w:drawing>
      </w:r>
    </w:p>
    <w:p>
      <w:pPr>
        <w:spacing w:after="0" w:line="186"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54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20" w:type="dxa"/>
            <w:vAlign w:val="bottom"/>
            <w:tcBorders>
              <w:top w:val="single" w:sz="8" w:color="00A1DF"/>
              <w:bottom w:val="single" w:sz="8" w:color="00A1DF"/>
            </w:tcBorders>
          </w:tcPr>
          <w:p>
            <w:pPr>
              <w:ind w:left="36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tcPr>
          <w:p>
            <w:pPr>
              <w:jc w:val="right"/>
              <w:ind w:right="4"/>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Only Fixed Pay Element</w:t>
            </w:r>
          </w:p>
        </w:tc>
        <w:tc>
          <w:tcPr>
            <w:tcW w:w="1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$1,450,000</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Performance to Metrics</w:t>
            </w:r>
          </w:p>
        </w:tc>
        <w:tc>
          <w:tcPr>
            <w:tcW w:w="1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$1,921,300</w:t>
            </w:r>
          </w:p>
        </w:tc>
        <w:tc>
          <w:tcPr>
            <w:tcW w:w="0" w:type="dxa"/>
            <w:vAlign w:val="bottom"/>
          </w:tcPr>
          <w:p>
            <w:pPr>
              <w:spacing w:after="0"/>
              <w:rPr>
                <w:sz w:val="1"/>
                <w:szCs w:val="1"/>
                <w:color w:val="auto"/>
              </w:rPr>
            </w:pPr>
          </w:p>
        </w:tc>
      </w:tr>
      <w:tr>
        <w:trPr>
          <w:trHeight w:val="169"/>
        </w:trPr>
        <w:tc>
          <w:tcPr>
            <w:tcW w:w="1540" w:type="dxa"/>
            <w:vAlign w:val="bottom"/>
          </w:tcPr>
          <w:p>
            <w:pPr>
              <w:ind w:left="460"/>
              <w:spacing w:after="0"/>
              <w:rPr>
                <w:sz w:val="20"/>
                <w:szCs w:val="20"/>
                <w:color w:val="auto"/>
              </w:rPr>
            </w:pPr>
            <w:r>
              <w:rPr>
                <w:rFonts w:ascii="Arial" w:cs="Arial" w:eastAsia="Arial" w:hAnsi="Arial"/>
                <w:sz w:val="13"/>
                <w:szCs w:val="13"/>
                <w:color w:val="auto"/>
              </w:rPr>
              <w:t>(1)</w:t>
            </w:r>
          </w:p>
        </w:tc>
        <w:tc>
          <w:tcPr>
            <w:tcW w:w="3720" w:type="dxa"/>
            <w:vAlign w:val="bottom"/>
            <w:vMerge w:val="restart"/>
          </w:tcPr>
          <w:p>
            <w:pPr>
              <w:ind w:left="360"/>
              <w:spacing w:after="0"/>
              <w:rPr>
                <w:sz w:val="20"/>
                <w:szCs w:val="20"/>
                <w:color w:val="auto"/>
              </w:rPr>
            </w:pPr>
            <w:r>
              <w:rPr>
                <w:rFonts w:ascii="Arial" w:cs="Arial" w:eastAsia="Arial" w:hAnsi="Arial"/>
                <w:sz w:val="15"/>
                <w:szCs w:val="15"/>
                <w:color w:val="auto"/>
              </w:rPr>
              <w:t>Performance to Metrics and Stock Price</w:t>
            </w:r>
          </w:p>
        </w:tc>
        <w:tc>
          <w:tcPr>
            <w:tcW w:w="1820" w:type="dxa"/>
            <w:vAlign w:val="bottom"/>
            <w:vMerge w:val="restart"/>
          </w:tcPr>
          <w:p>
            <w:pPr>
              <w:jc w:val="right"/>
              <w:ind w:right="4"/>
              <w:spacing w:after="0"/>
              <w:rPr>
                <w:sz w:val="20"/>
                <w:szCs w:val="20"/>
                <w:color w:val="auto"/>
              </w:rPr>
            </w:pPr>
            <w:r>
              <w:rPr>
                <w:rFonts w:ascii="Arial" w:cs="Arial" w:eastAsia="Arial" w:hAnsi="Arial"/>
                <w:sz w:val="15"/>
                <w:szCs w:val="15"/>
                <w:color w:val="auto"/>
              </w:rPr>
              <w:t>$3,993,891</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ind w:left="60"/>
              <w:spacing w:after="0" w:line="54" w:lineRule="exact"/>
              <w:rPr>
                <w:sz w:val="20"/>
                <w:szCs w:val="20"/>
                <w:color w:val="auto"/>
              </w:rPr>
            </w:pPr>
            <w:r>
              <w:rPr>
                <w:rFonts w:ascii="Arial" w:cs="Arial" w:eastAsia="Arial" w:hAnsi="Arial"/>
                <w:sz w:val="5"/>
                <w:szCs w:val="5"/>
                <w:color w:val="auto"/>
              </w:rPr>
              <w:t>PSUs</w:t>
            </w:r>
          </w:p>
        </w:tc>
        <w:tc>
          <w:tcPr>
            <w:tcW w:w="3720" w:type="dxa"/>
            <w:vAlign w:val="bottom"/>
            <w:tcBorders>
              <w:bottom w:val="single" w:sz="8" w:color="auto"/>
            </w:tcBorders>
            <w:vMerge w:val="continue"/>
          </w:tcPr>
          <w:p>
            <w:pPr>
              <w:spacing w:after="0"/>
              <w:rPr>
                <w:sz w:val="4"/>
                <w:szCs w:val="4"/>
                <w:color w:val="auto"/>
              </w:rPr>
            </w:pPr>
          </w:p>
        </w:tc>
        <w:tc>
          <w:tcPr>
            <w:tcW w:w="18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2"/>
                <w:szCs w:val="12"/>
                <w:color w:val="auto"/>
              </w:rPr>
              <w:t>(2)</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Performance to Stock Price</w:t>
            </w:r>
          </w:p>
        </w:tc>
        <w:tc>
          <w:tcPr>
            <w:tcW w:w="1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$1,234,383</w:t>
            </w:r>
          </w:p>
        </w:tc>
        <w:tc>
          <w:tcPr>
            <w:tcW w:w="0" w:type="dxa"/>
            <w:vAlign w:val="bottom"/>
          </w:tcPr>
          <w:p>
            <w:pPr>
              <w:spacing w:after="0"/>
              <w:rPr>
                <w:sz w:val="1"/>
                <w:szCs w:val="1"/>
                <w:color w:val="auto"/>
              </w:rPr>
            </w:pPr>
          </w:p>
        </w:tc>
      </w:tr>
      <w:tr>
        <w:trPr>
          <w:trHeight w:val="232"/>
        </w:trPr>
        <w:tc>
          <w:tcPr>
            <w:tcW w:w="154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20" w:type="dxa"/>
            <w:vAlign w:val="bottom"/>
            <w:tcBorders>
              <w:bottom w:val="single" w:sz="8" w:color="0033A0"/>
            </w:tcBorders>
          </w:tcPr>
          <w:p>
            <w:pPr>
              <w:spacing w:after="0"/>
              <w:rPr>
                <w:sz w:val="20"/>
                <w:szCs w:val="20"/>
                <w:color w:val="auto"/>
              </w:rPr>
            </w:pPr>
          </w:p>
        </w:tc>
        <w:tc>
          <w:tcPr>
            <w:tcW w:w="1820" w:type="dxa"/>
            <w:vAlign w:val="bottom"/>
            <w:tcBorders>
              <w:bottom w:val="single" w:sz="8" w:color="0033A0"/>
            </w:tcBorders>
          </w:tcPr>
          <w:p>
            <w:pPr>
              <w:jc w:val="right"/>
              <w:ind w:right="4"/>
              <w:spacing w:after="0"/>
              <w:rPr>
                <w:sz w:val="20"/>
                <w:szCs w:val="20"/>
                <w:color w:val="auto"/>
              </w:rPr>
            </w:pPr>
            <w:r>
              <w:rPr>
                <w:rFonts w:ascii="Arial" w:cs="Arial" w:eastAsia="Arial" w:hAnsi="Arial"/>
                <w:sz w:val="15"/>
                <w:szCs w:val="15"/>
                <w:b w:val="1"/>
                <w:bCs w:val="1"/>
                <w:color w:val="0033A0"/>
              </w:rPr>
              <w:t>$8,599,574</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00" w:right="3920" w:hanging="290"/>
        <w:spacing w:after="0" w:line="260" w:lineRule="auto"/>
        <w:tabs>
          <w:tab w:leader="none" w:pos="50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29" w:lineRule="exact"/>
        <w:rPr>
          <w:rFonts w:ascii="Arial" w:cs="Arial" w:eastAsia="Arial" w:hAnsi="Arial"/>
          <w:sz w:val="14"/>
          <w:szCs w:val="14"/>
          <w:i w:val="1"/>
          <w:iCs w:val="1"/>
          <w:color w:val="auto"/>
        </w:rPr>
      </w:pPr>
    </w:p>
    <w:p>
      <w:pPr>
        <w:ind w:left="500" w:hanging="290"/>
        <w:spacing w:after="0"/>
        <w:tabs>
          <w:tab w:leader="none" w:pos="50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177165</wp:posOffset>
            </wp:positionV>
            <wp:extent cx="6758305" cy="1282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64"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51</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73" w:lineRule="exact"/>
        <w:rPr>
          <w:sz w:val="20"/>
          <w:szCs w:val="20"/>
          <w:color w:val="auto"/>
        </w:rPr>
      </w:pPr>
    </w:p>
    <w:p>
      <w:pPr>
        <w:ind w:left="660" w:hanging="450"/>
        <w:spacing w:after="0"/>
        <w:tabs>
          <w:tab w:leader="none" w:pos="660" w:val="left"/>
        </w:tabs>
        <w:numPr>
          <w:ilvl w:val="0"/>
          <w:numId w:val="91"/>
        </w:numPr>
        <w:rPr>
          <w:rFonts w:ascii="Arial" w:cs="Arial" w:eastAsia="Arial" w:hAnsi="Arial"/>
          <w:sz w:val="25"/>
          <w:szCs w:val="25"/>
          <w:color w:val="0033A0"/>
        </w:rPr>
      </w:pPr>
      <w:r>
        <w:rPr>
          <w:rFonts w:ascii="Arial" w:cs="Arial" w:eastAsia="Arial" w:hAnsi="Arial"/>
          <w:sz w:val="25"/>
          <w:szCs w:val="25"/>
          <w:color w:val="auto"/>
        </w:rPr>
        <w:t>Compensation Decisions for Mark L. Reuss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0033A0"/>
        </w:rPr>
        <w:t xml:space="preserve">Mark L. Reuss, </w:t>
      </w:r>
      <w:r>
        <w:rPr>
          <w:rFonts w:ascii="Arial" w:cs="Arial" w:eastAsia="Arial" w:hAnsi="Arial"/>
          <w:sz w:val="16"/>
          <w:szCs w:val="16"/>
          <w:b w:val="1"/>
          <w:bCs w:val="1"/>
          <w:color w:val="000000"/>
        </w:rPr>
        <w:t>Executive Vice President and President, Global Product Group and</w:t>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Cadillac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wp:posOffset>
            </wp:positionV>
            <wp:extent cx="6681470" cy="259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81470" cy="2595245"/>
                    </a:xfrm>
                    <a:prstGeom prst="rect">
                      <a:avLst/>
                    </a:prstGeom>
                    <a:noFill/>
                  </pic:spPr>
                </pic:pic>
              </a:graphicData>
            </a:graphic>
          </wp:anchor>
        </w:drawing>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2018 performance highlights for Mr. Reuss include:</w:t>
      </w:r>
    </w:p>
    <w:p>
      <w:pPr>
        <w:spacing w:after="0" w:line="86" w:lineRule="exact"/>
        <w:rPr>
          <w:sz w:val="20"/>
          <w:szCs w:val="20"/>
          <w:color w:val="auto"/>
        </w:rPr>
      </w:pPr>
    </w:p>
    <w:p>
      <w:pPr>
        <w:ind w:left="580" w:hanging="208"/>
        <w:spacing w:after="0"/>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Furthered progress towards creating a safety culture through various initiatives</w:t>
      </w:r>
    </w:p>
    <w:p>
      <w:pPr>
        <w:spacing w:after="0" w:line="18" w:lineRule="exact"/>
        <w:rPr>
          <w:rFonts w:ascii="Arial" w:cs="Arial" w:eastAsia="Arial" w:hAnsi="Arial"/>
          <w:sz w:val="16"/>
          <w:szCs w:val="16"/>
          <w:color w:val="00A1DF"/>
        </w:rPr>
      </w:pPr>
    </w:p>
    <w:p>
      <w:pPr>
        <w:ind w:left="580" w:right="3920" w:hanging="208"/>
        <w:spacing w:after="0" w:line="246" w:lineRule="auto"/>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 xml:space="preserve">Positioned GM as a recognized leader in automotive cybersecurity and autonomous vehicle safety </w:t>
      </w:r>
      <w:r>
        <w:rPr>
          <w:rFonts w:ascii="Arial" w:cs="Arial" w:eastAsia="Arial" w:hAnsi="Arial"/>
          <w:sz w:val="1"/>
          <w:szCs w:val="1"/>
          <w:color w:val="00A1DF"/>
        </w:rPr>
        <w:drawing>
          <wp:inline distT="0" distB="0" distL="0" distR="0">
            <wp:extent cx="76835" cy="7683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80" w:right="3920" w:hanging="208"/>
        <w:spacing w:after="0" w:line="246" w:lineRule="auto"/>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Launched 14 vehicles globally, including the Bolt AV, the Chevrolet Silverado, and the GMC Sierra</w:t>
      </w:r>
    </w:p>
    <w:p>
      <w:pPr>
        <w:ind w:left="580" w:hanging="208"/>
        <w:spacing w:after="0"/>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Successfully completed insourcing initiatives, reducing overall costs</w:t>
      </w:r>
    </w:p>
    <w:p>
      <w:pPr>
        <w:spacing w:after="0" w:line="18" w:lineRule="exact"/>
        <w:rPr>
          <w:rFonts w:ascii="Arial" w:cs="Arial" w:eastAsia="Arial" w:hAnsi="Arial"/>
          <w:sz w:val="16"/>
          <w:szCs w:val="16"/>
          <w:color w:val="00A1DF"/>
        </w:rPr>
      </w:pPr>
    </w:p>
    <w:p>
      <w:pPr>
        <w:ind w:left="580" w:hanging="208"/>
        <w:spacing w:after="0"/>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 xml:space="preserve">Partnered with Autodesk to introduce the next generation of vehicle lightweighting </w:t>
      </w:r>
      <w:r>
        <w:rPr>
          <w:rFonts w:ascii="Arial" w:cs="Arial" w:eastAsia="Arial" w:hAnsi="Arial"/>
          <w:sz w:val="1"/>
          <w:szCs w:val="1"/>
          <w:color w:val="00A1DF"/>
        </w:rPr>
        <w:drawing>
          <wp:inline distT="0" distB="0" distL="0" distR="0">
            <wp:extent cx="76835" cy="7683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18" w:lineRule="exact"/>
        <w:rPr>
          <w:rFonts w:ascii="Arial" w:cs="Arial" w:eastAsia="Arial" w:hAnsi="Arial"/>
          <w:sz w:val="16"/>
          <w:szCs w:val="16"/>
          <w:color w:val="00A1DF"/>
        </w:rPr>
      </w:pPr>
    </w:p>
    <w:p>
      <w:pPr>
        <w:ind w:left="580" w:hanging="208"/>
        <w:spacing w:after="0"/>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Received the IHS Automotive Loyalty Award for the fourth straight year</w:t>
      </w:r>
    </w:p>
    <w:p>
      <w:pPr>
        <w:spacing w:after="0" w:line="18" w:lineRule="exact"/>
        <w:rPr>
          <w:rFonts w:ascii="Arial" w:cs="Arial" w:eastAsia="Arial" w:hAnsi="Arial"/>
          <w:sz w:val="16"/>
          <w:szCs w:val="16"/>
          <w:color w:val="00A1DF"/>
        </w:rPr>
      </w:pPr>
    </w:p>
    <w:p>
      <w:pPr>
        <w:ind w:left="580" w:right="3920" w:hanging="208"/>
        <w:spacing w:after="0" w:line="246" w:lineRule="auto"/>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Transformed product development to drive world-class levels of engineering and advance technologies while focusing on improving quality and speed to market</w:t>
      </w:r>
    </w:p>
    <w:p>
      <w:pPr>
        <w:ind w:left="580" w:hanging="208"/>
        <w:spacing w:after="0"/>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Achieved record global sales for Cadillac</w:t>
      </w:r>
    </w:p>
    <w:p>
      <w:pPr>
        <w:spacing w:after="0" w:line="18" w:lineRule="exact"/>
        <w:rPr>
          <w:rFonts w:ascii="Arial" w:cs="Arial" w:eastAsia="Arial" w:hAnsi="Arial"/>
          <w:sz w:val="16"/>
          <w:szCs w:val="16"/>
          <w:color w:val="00A1DF"/>
        </w:rPr>
      </w:pPr>
    </w:p>
    <w:p>
      <w:pPr>
        <w:ind w:left="580" w:right="3920" w:hanging="208"/>
        <w:spacing w:after="0" w:line="246" w:lineRule="auto"/>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Launched the brand-new Cadillac XT4 which became the best-selling vehicle in its segment just two months after launch</w:t>
      </w:r>
    </w:p>
    <w:p>
      <w:pPr>
        <w:ind w:left="580" w:right="3920" w:hanging="208"/>
        <w:spacing w:after="0" w:line="246" w:lineRule="auto"/>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 xml:space="preserve">Announced plans for all-new Cadillac models every six months on average through the end of 2021, including an all-new fully electric Cadillac </w:t>
      </w:r>
      <w:r>
        <w:rPr>
          <w:rFonts w:ascii="Arial" w:cs="Arial" w:eastAsia="Arial" w:hAnsi="Arial"/>
          <w:sz w:val="1"/>
          <w:szCs w:val="1"/>
          <w:color w:val="00A1DF"/>
        </w:rPr>
        <w:drawing>
          <wp:inline distT="0" distB="0" distL="0" distR="0">
            <wp:extent cx="76835" cy="7683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80" w:right="3920" w:hanging="208"/>
        <w:spacing w:after="0" w:line="246" w:lineRule="auto"/>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Positioned Cadillac racing as a leader, winning the Rolex 24 at Daytona in January 2019 for the third year in a row</w:t>
      </w:r>
    </w:p>
    <w:p>
      <w:pPr>
        <w:ind w:left="580" w:right="3920" w:hanging="208"/>
        <w:spacing w:after="0" w:line="260" w:lineRule="auto"/>
        <w:tabs>
          <w:tab w:leader="none" w:pos="580" w:val="left"/>
        </w:tabs>
        <w:numPr>
          <w:ilvl w:val="0"/>
          <w:numId w:val="92"/>
        </w:numPr>
        <w:rPr>
          <w:rFonts w:ascii="Arial" w:cs="Arial" w:eastAsia="Arial" w:hAnsi="Arial"/>
          <w:sz w:val="16"/>
          <w:szCs w:val="16"/>
          <w:color w:val="00A1DF"/>
        </w:rPr>
      </w:pPr>
      <w:r>
        <w:rPr>
          <w:rFonts w:ascii="Arial" w:cs="Arial" w:eastAsia="Arial" w:hAnsi="Arial"/>
          <w:sz w:val="16"/>
          <w:szCs w:val="16"/>
          <w:color w:val="auto"/>
        </w:rPr>
        <w:t xml:space="preserve">Continued the plans for global electrification with Cadillac as the lead brand for future electric vehicles </w:t>
      </w:r>
      <w:r>
        <w:rPr>
          <w:rFonts w:ascii="Arial" w:cs="Arial" w:eastAsia="Arial" w:hAnsi="Arial"/>
          <w:sz w:val="1"/>
          <w:szCs w:val="1"/>
          <w:color w:val="00A1DF"/>
        </w:rPr>
        <w:drawing>
          <wp:inline distT="0" distB="0" distL="0" distR="0">
            <wp:extent cx="76835" cy="7683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-185420</wp:posOffset>
            </wp:positionV>
            <wp:extent cx="1096645" cy="24072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000000"/>
                        </a:clrFrom>
                        <a:clrTo>
                          <a:srgbClr val="000000">
                            <a:alpha val="0"/>
                          </a:srgbClr>
                        </a:clrTo>
                      </a:clrChange>
                      <a:extLst>
                        <a:ext uri="{28A0092B-C50C-407E-A947-70E740481C1C}"/>
                      </a:extLst>
                    </a:blip>
                    <a:srcRect/>
                    <a:stretch>
                      <a:fillRect/>
                    </a:stretch>
                  </pic:blipFill>
                  <pic:spPr bwMode="auto">
                    <a:xfrm>
                      <a:off x="0" y="0"/>
                      <a:ext cx="1096645" cy="240728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-185420</wp:posOffset>
            </wp:positionV>
            <wp:extent cx="1096645" cy="24072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096645" cy="2407285"/>
                    </a:xfrm>
                    <a:prstGeom prst="rect">
                      <a:avLst/>
                    </a:prstGeom>
                    <a:noFill/>
                  </pic:spPr>
                </pic:pic>
              </a:graphicData>
            </a:graphic>
          </wp:anchor>
        </w:drawing>
      </w:r>
    </w:p>
    <w:p>
      <w:pPr>
        <w:spacing w:after="0" w:line="121" w:lineRule="exact"/>
        <w:rPr>
          <w:sz w:val="20"/>
          <w:szCs w:val="20"/>
          <w:color w:val="auto"/>
        </w:rPr>
      </w:pPr>
    </w:p>
    <w:p>
      <w:pPr>
        <w:jc w:val="both"/>
        <w:ind w:left="220" w:right="3860"/>
        <w:spacing w:after="0" w:line="249" w:lineRule="auto"/>
        <w:rPr>
          <w:sz w:val="20"/>
          <w:szCs w:val="20"/>
          <w:color w:val="auto"/>
        </w:rPr>
      </w:pPr>
      <w:r>
        <w:rPr>
          <w:rFonts w:ascii="Arial" w:cs="Arial" w:eastAsia="Arial" w:hAnsi="Arial"/>
          <w:sz w:val="16"/>
          <w:szCs w:val="16"/>
          <w:color w:val="auto"/>
        </w:rPr>
        <w:t>The Compensation Committee held Mr. Reuss’ base salary at $1,200,000 based on the competitive market analysis provided by the Compensation Committee’s independent compensation consultant. In February 2018, the Compensation Committee awarded Mr. Reuss an annual LTIP grant of $4.05 million, consisting of 75% PSUs and 25% Stock Options. Mr. Reuss’ 2018 compensation structure remained the same as his 2017 compensation structure.</w:t>
      </w:r>
    </w:p>
    <w:p>
      <w:pPr>
        <w:spacing w:after="0" w:line="98" w:lineRule="exact"/>
        <w:rPr>
          <w:sz w:val="20"/>
          <w:szCs w:val="20"/>
          <w:color w:val="auto"/>
        </w:rPr>
      </w:pPr>
    </w:p>
    <w:p>
      <w:pPr>
        <w:jc w:val="both"/>
        <w:ind w:left="220" w:right="3860"/>
        <w:spacing w:after="0" w:line="253" w:lineRule="auto"/>
        <w:rPr>
          <w:sz w:val="20"/>
          <w:szCs w:val="20"/>
          <w:color w:val="auto"/>
        </w:rPr>
      </w:pPr>
      <w:r>
        <w:rPr>
          <w:rFonts w:ascii="Arial" w:cs="Arial" w:eastAsia="Arial" w:hAnsi="Arial"/>
          <w:sz w:val="16"/>
          <w:szCs w:val="16"/>
          <w:color w:val="auto"/>
        </w:rPr>
        <w:t>The Compensation Committee awarded Mr. Reuss 35 points based on his results, highlighted above, for the 2018 STIP performance year. The total compensation for Mr. Reuss in 2018, including salary, STIP, and LTIP awards, is displayed below.</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54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20" w:type="dxa"/>
            <w:vAlign w:val="bottom"/>
            <w:tcBorders>
              <w:top w:val="single" w:sz="8" w:color="00A1DF"/>
              <w:bottom w:val="single" w:sz="8" w:color="00A1DF"/>
            </w:tcBorders>
          </w:tcPr>
          <w:p>
            <w:pPr>
              <w:ind w:left="36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tcPr>
          <w:p>
            <w:pPr>
              <w:jc w:val="right"/>
              <w:ind w:right="14"/>
              <w:spacing w:after="0"/>
              <w:rPr>
                <w:sz w:val="20"/>
                <w:szCs w:val="20"/>
                <w:color w:val="auto"/>
              </w:rPr>
            </w:pPr>
            <w:r>
              <w:rPr>
                <w:rFonts w:ascii="Arial" w:cs="Arial" w:eastAsia="Arial" w:hAnsi="Arial"/>
                <w:sz w:val="15"/>
                <w:szCs w:val="15"/>
                <w:b w:val="1"/>
                <w:bCs w:val="1"/>
                <w:color w:val="00A1DF"/>
              </w:rPr>
              <w:t>Awarded Value</w:t>
            </w:r>
          </w:p>
        </w:tc>
      </w:tr>
      <w:tr>
        <w:trPr>
          <w:trHeight w:val="182"/>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Only Fixed Pay Element</w:t>
            </w: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$1,200,000</w:t>
            </w:r>
          </w:p>
        </w:tc>
      </w:tr>
      <w:tr>
        <w:trPr>
          <w:trHeight w:val="182"/>
        </w:trPr>
        <w:tc>
          <w:tcPr>
            <w:tcW w:w="1540" w:type="dxa"/>
            <w:vAlign w:val="bottom"/>
          </w:tcPr>
          <w:p>
            <w:pPr>
              <w:ind w:left="60"/>
              <w:spacing w:after="0"/>
              <w:rPr>
                <w:sz w:val="20"/>
                <w:szCs w:val="20"/>
                <w:color w:val="auto"/>
              </w:rPr>
            </w:pPr>
            <w:r>
              <w:rPr>
                <w:rFonts w:ascii="Arial" w:cs="Arial" w:eastAsia="Arial" w:hAnsi="Arial"/>
                <w:sz w:val="15"/>
                <w:szCs w:val="15"/>
                <w:color w:val="auto"/>
              </w:rPr>
              <w:t>STIP</w:t>
            </w:r>
          </w:p>
        </w:tc>
        <w:tc>
          <w:tcPr>
            <w:tcW w:w="3720" w:type="dxa"/>
            <w:vAlign w:val="bottom"/>
          </w:tcPr>
          <w:p>
            <w:pPr>
              <w:ind w:left="360"/>
              <w:spacing w:after="0"/>
              <w:rPr>
                <w:sz w:val="20"/>
                <w:szCs w:val="20"/>
                <w:color w:val="auto"/>
              </w:rPr>
            </w:pPr>
            <w:r>
              <w:rPr>
                <w:rFonts w:ascii="Arial" w:cs="Arial" w:eastAsia="Arial" w:hAnsi="Arial"/>
                <w:sz w:val="15"/>
                <w:szCs w:val="15"/>
                <w:color w:val="auto"/>
              </w:rPr>
              <w:t>Performance to Metrics</w:t>
            </w:r>
          </w:p>
        </w:tc>
        <w:tc>
          <w:tcPr>
            <w:tcW w:w="1820" w:type="dxa"/>
            <w:vAlign w:val="bottom"/>
          </w:tcPr>
          <w:p>
            <w:pPr>
              <w:jc w:val="right"/>
              <w:ind w:right="14"/>
              <w:spacing w:after="0"/>
              <w:rPr>
                <w:sz w:val="20"/>
                <w:szCs w:val="20"/>
                <w:color w:val="auto"/>
              </w:rPr>
            </w:pPr>
            <w:r>
              <w:rPr>
                <w:rFonts w:ascii="Arial" w:cs="Arial" w:eastAsia="Arial" w:hAnsi="Arial"/>
                <w:sz w:val="15"/>
                <w:szCs w:val="15"/>
                <w:color w:val="auto"/>
              </w:rPr>
              <w:t>$1,590,000</w:t>
            </w:r>
          </w:p>
        </w:tc>
      </w:tr>
      <w:tr>
        <w:trPr>
          <w:trHeight w:val="31"/>
        </w:trPr>
        <w:tc>
          <w:tcPr>
            <w:tcW w:w="1540" w:type="dxa"/>
            <w:vAlign w:val="bottom"/>
            <w:shd w:val="clear" w:color="auto" w:fill="000000"/>
          </w:tcPr>
          <w:p>
            <w:pPr>
              <w:ind w:left="60"/>
              <w:spacing w:after="0" w:line="31" w:lineRule="exact"/>
              <w:rPr>
                <w:sz w:val="20"/>
                <w:szCs w:val="20"/>
                <w:color w:val="auto"/>
              </w:rPr>
            </w:pPr>
            <w:r>
              <w:rPr>
                <w:rFonts w:ascii="Arial" w:cs="Arial" w:eastAsia="Arial" w:hAnsi="Arial"/>
                <w:sz w:val="3"/>
                <w:szCs w:val="3"/>
                <w:color w:val="auto"/>
              </w:rPr>
              <w:t>PSUs</w:t>
            </w:r>
          </w:p>
        </w:tc>
        <w:tc>
          <w:tcPr>
            <w:tcW w:w="3720" w:type="dxa"/>
            <w:vAlign w:val="bottom"/>
            <w:shd w:val="clear" w:color="auto" w:fill="000000"/>
          </w:tcPr>
          <w:p>
            <w:pPr>
              <w:ind w:left="360"/>
              <w:spacing w:after="0" w:line="31" w:lineRule="exact"/>
              <w:rPr>
                <w:sz w:val="20"/>
                <w:szCs w:val="20"/>
                <w:color w:val="auto"/>
              </w:rPr>
            </w:pPr>
            <w:r>
              <w:rPr>
                <w:rFonts w:ascii="Arial" w:cs="Arial" w:eastAsia="Arial" w:hAnsi="Arial"/>
                <w:sz w:val="3"/>
                <w:szCs w:val="3"/>
                <w:color w:val="auto"/>
              </w:rPr>
              <w:t>Performance to Metrics and Stock Price</w:t>
            </w:r>
          </w:p>
        </w:tc>
        <w:tc>
          <w:tcPr>
            <w:tcW w:w="1820" w:type="dxa"/>
            <w:vAlign w:val="bottom"/>
            <w:shd w:val="clear" w:color="auto" w:fill="000000"/>
          </w:tcPr>
          <w:p>
            <w:pPr>
              <w:jc w:val="right"/>
              <w:ind w:right="14"/>
              <w:spacing w:after="0" w:line="31" w:lineRule="exact"/>
              <w:rPr>
                <w:sz w:val="20"/>
                <w:szCs w:val="20"/>
                <w:color w:val="auto"/>
              </w:rPr>
            </w:pPr>
            <w:r>
              <w:rPr>
                <w:rFonts w:ascii="Arial" w:cs="Arial" w:eastAsia="Arial" w:hAnsi="Arial"/>
                <w:sz w:val="3"/>
                <w:szCs w:val="3"/>
                <w:color w:val="auto"/>
              </w:rPr>
              <w:t>$3,276,007</w:t>
            </w:r>
          </w:p>
        </w:tc>
      </w:tr>
      <w:tr>
        <w:trPr>
          <w:trHeight w:val="165"/>
        </w:trPr>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(1)</w:t>
            </w:r>
          </w:p>
        </w:tc>
        <w:tc>
          <w:tcPr>
            <w:tcW w:w="37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189"/>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2"/>
                <w:szCs w:val="12"/>
                <w:color w:val="auto"/>
              </w:rPr>
              <w:t>(2)</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Performance to Stock Price</w:t>
            </w: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$1,012,504</w:t>
            </w:r>
          </w:p>
        </w:tc>
      </w:tr>
      <w:tr>
        <w:trPr>
          <w:trHeight w:val="196"/>
        </w:trPr>
        <w:tc>
          <w:tcPr>
            <w:tcW w:w="154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20" w:type="dxa"/>
            <w:vAlign w:val="bottom"/>
            <w:tcBorders>
              <w:bottom w:val="single" w:sz="8" w:color="0033A0"/>
            </w:tcBorders>
          </w:tcPr>
          <w:p>
            <w:pPr>
              <w:spacing w:after="0"/>
              <w:rPr>
                <w:sz w:val="17"/>
                <w:szCs w:val="17"/>
                <w:color w:val="auto"/>
              </w:rPr>
            </w:pPr>
          </w:p>
        </w:tc>
        <w:tc>
          <w:tcPr>
            <w:tcW w:w="1820" w:type="dxa"/>
            <w:vAlign w:val="bottom"/>
            <w:tcBorders>
              <w:bottom w:val="single" w:sz="8" w:color="0033A0"/>
            </w:tcBorders>
          </w:tcPr>
          <w:p>
            <w:pPr>
              <w:jc w:val="right"/>
              <w:ind w:right="14"/>
              <w:spacing w:after="0"/>
              <w:rPr>
                <w:sz w:val="20"/>
                <w:szCs w:val="20"/>
                <w:color w:val="auto"/>
              </w:rPr>
            </w:pPr>
            <w:r>
              <w:rPr>
                <w:rFonts w:ascii="Arial" w:cs="Arial" w:eastAsia="Arial" w:hAnsi="Arial"/>
                <w:sz w:val="15"/>
                <w:szCs w:val="15"/>
                <w:b w:val="1"/>
                <w:bCs w:val="1"/>
                <w:color w:val="0033A0"/>
              </w:rPr>
              <w:t>$7,078,511</w:t>
            </w:r>
          </w:p>
        </w:tc>
      </w:tr>
    </w:tbl>
    <w:p>
      <w:pPr>
        <w:spacing w:after="0" w:line="5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Arial" w:cs="Arial" w:eastAsia="Arial" w:hAnsi="Arial"/>
                <w:sz w:val="14"/>
                <w:szCs w:val="14"/>
                <w:i w:val="1"/>
                <w:iCs w:val="1"/>
                <w:color w:val="auto"/>
              </w:rPr>
              <w:t>(1)</w:t>
            </w:r>
          </w:p>
        </w:tc>
        <w:tc>
          <w:tcPr>
            <w:tcW w:w="7060" w:type="dxa"/>
            <w:vAlign w:val="bottom"/>
          </w:tcPr>
          <w:p>
            <w:pPr>
              <w:ind w:left="60"/>
              <w:spacing w:after="0"/>
              <w:rPr>
                <w:sz w:val="20"/>
                <w:szCs w:val="20"/>
                <w:color w:val="auto"/>
              </w:rPr>
            </w:pPr>
            <w:r>
              <w:rPr>
                <w:rFonts w:ascii="Arial" w:cs="Arial" w:eastAsia="Arial" w:hAnsi="Arial"/>
                <w:sz w:val="14"/>
                <w:szCs w:val="14"/>
                <w:i w:val="1"/>
                <w:iCs w:val="1"/>
                <w:color w:val="auto"/>
              </w:rPr>
              <w:t>PSUs are subject to performance vesting; value reflects grant date fair value at target performance for</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7060" w:type="dxa"/>
            <w:vAlign w:val="bottom"/>
          </w:tcPr>
          <w:p>
            <w:pPr>
              <w:ind w:left="60"/>
              <w:spacing w:after="0"/>
              <w:rPr>
                <w:sz w:val="20"/>
                <w:szCs w:val="20"/>
                <w:color w:val="auto"/>
              </w:rPr>
            </w:pPr>
            <w:r>
              <w:rPr>
                <w:rFonts w:ascii="Arial" w:cs="Arial" w:eastAsia="Arial" w:hAnsi="Arial"/>
                <w:sz w:val="14"/>
                <w:szCs w:val="14"/>
                <w:i w:val="1"/>
                <w:iCs w:val="1"/>
                <w:color w:val="auto"/>
              </w:rPr>
              <w:t>Relative ROIC-adjusted awards and probable performance results from the Monte Carlo analysis to value</w:t>
            </w:r>
          </w:p>
        </w:tc>
        <w:tc>
          <w:tcPr>
            <w:tcW w:w="3720" w:type="dxa"/>
            <w:vAlign w:val="bottom"/>
            <w:vMerge w:val="restart"/>
          </w:tcPr>
          <w:p>
            <w:pPr>
              <w:ind w:left="200"/>
              <w:spacing w:after="0"/>
              <w:rPr>
                <w:sz w:val="20"/>
                <w:szCs w:val="20"/>
                <w:color w:val="auto"/>
              </w:rPr>
            </w:pPr>
            <w:r>
              <w:rPr>
                <w:rFonts w:ascii="Arial" w:cs="Arial" w:eastAsia="Arial" w:hAnsi="Arial"/>
                <w:sz w:val="14"/>
                <w:szCs w:val="14"/>
                <w:i w:val="1"/>
                <w:iCs w:val="1"/>
                <w:color w:val="auto"/>
              </w:rPr>
              <w:t>Awarded value reflects the amount included in the</w:t>
            </w:r>
          </w:p>
        </w:tc>
        <w:tc>
          <w:tcPr>
            <w:tcW w:w="0" w:type="dxa"/>
            <w:vAlign w:val="bottom"/>
          </w:tcPr>
          <w:p>
            <w:pPr>
              <w:spacing w:after="0"/>
              <w:rPr>
                <w:sz w:val="1"/>
                <w:szCs w:val="1"/>
                <w:color w:val="auto"/>
              </w:rPr>
            </w:pPr>
          </w:p>
        </w:tc>
      </w:tr>
      <w:tr>
        <w:trPr>
          <w:trHeight w:val="94"/>
        </w:trPr>
        <w:tc>
          <w:tcPr>
            <w:tcW w:w="220" w:type="dxa"/>
            <w:vAlign w:val="bottom"/>
          </w:tcPr>
          <w:p>
            <w:pPr>
              <w:spacing w:after="0"/>
              <w:rPr>
                <w:sz w:val="8"/>
                <w:szCs w:val="8"/>
                <w:color w:val="auto"/>
              </w:rPr>
            </w:pPr>
          </w:p>
        </w:tc>
        <w:tc>
          <w:tcPr>
            <w:tcW w:w="706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Relative TSR awards.</w:t>
            </w:r>
          </w:p>
        </w:tc>
        <w:tc>
          <w:tcPr>
            <w:tcW w:w="3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20" w:type="dxa"/>
            <w:vAlign w:val="bottom"/>
          </w:tcPr>
          <w:p>
            <w:pPr>
              <w:spacing w:after="0"/>
              <w:rPr>
                <w:sz w:val="7"/>
                <w:szCs w:val="7"/>
                <w:color w:val="auto"/>
              </w:rPr>
            </w:pPr>
          </w:p>
        </w:tc>
        <w:tc>
          <w:tcPr>
            <w:tcW w:w="7060" w:type="dxa"/>
            <w:vAlign w:val="bottom"/>
            <w:vMerge w:val="continue"/>
          </w:tcPr>
          <w:p>
            <w:pPr>
              <w:spacing w:after="0"/>
              <w:rPr>
                <w:sz w:val="7"/>
                <w:szCs w:val="7"/>
                <w:color w:val="auto"/>
              </w:rPr>
            </w:pPr>
          </w:p>
        </w:tc>
        <w:tc>
          <w:tcPr>
            <w:tcW w:w="3720" w:type="dxa"/>
            <w:vAlign w:val="bottom"/>
            <w:vMerge w:val="restart"/>
          </w:tcPr>
          <w:p>
            <w:pPr>
              <w:ind w:left="200"/>
              <w:spacing w:after="0"/>
              <w:rPr>
                <w:sz w:val="20"/>
                <w:szCs w:val="20"/>
                <w:color w:val="auto"/>
              </w:rPr>
            </w:pPr>
            <w:r>
              <w:rPr>
                <w:rFonts w:ascii="Arial" w:cs="Arial" w:eastAsia="Arial" w:hAnsi="Arial"/>
                <w:sz w:val="14"/>
                <w:szCs w:val="14"/>
                <w:i w:val="1"/>
                <w:iCs w:val="1"/>
                <w:color w:val="auto"/>
              </w:rPr>
              <w:t>Summary Compensation Table, excluding change in</w:t>
            </w:r>
          </w:p>
        </w:tc>
        <w:tc>
          <w:tcPr>
            <w:tcW w:w="0" w:type="dxa"/>
            <w:vAlign w:val="bottom"/>
          </w:tcPr>
          <w:p>
            <w:pPr>
              <w:spacing w:after="0"/>
              <w:rPr>
                <w:sz w:val="1"/>
                <w:szCs w:val="1"/>
                <w:color w:val="auto"/>
              </w:rPr>
            </w:pPr>
          </w:p>
        </w:tc>
      </w:tr>
      <w:tr>
        <w:trPr>
          <w:trHeight w:val="70"/>
        </w:trPr>
        <w:tc>
          <w:tcPr>
            <w:tcW w:w="220" w:type="dxa"/>
            <w:vAlign w:val="bottom"/>
            <w:vMerge w:val="restart"/>
          </w:tcPr>
          <w:p>
            <w:pPr>
              <w:spacing w:after="0"/>
              <w:rPr>
                <w:sz w:val="20"/>
                <w:szCs w:val="20"/>
                <w:color w:val="auto"/>
              </w:rPr>
            </w:pPr>
            <w:r>
              <w:rPr>
                <w:rFonts w:ascii="Arial" w:cs="Arial" w:eastAsia="Arial" w:hAnsi="Arial"/>
                <w:sz w:val="14"/>
                <w:szCs w:val="14"/>
                <w:i w:val="1"/>
                <w:iCs w:val="1"/>
                <w:color w:val="auto"/>
              </w:rPr>
              <w:t>(2)</w:t>
            </w:r>
          </w:p>
        </w:tc>
        <w:tc>
          <w:tcPr>
            <w:tcW w:w="706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Stock Options are subject to time-based vesting.</w:t>
            </w:r>
          </w:p>
        </w:tc>
        <w:tc>
          <w:tcPr>
            <w:tcW w:w="3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20" w:type="dxa"/>
            <w:vAlign w:val="bottom"/>
            <w:vMerge w:val="continue"/>
          </w:tcPr>
          <w:p>
            <w:pPr>
              <w:spacing w:after="0"/>
              <w:rPr>
                <w:sz w:val="16"/>
                <w:szCs w:val="16"/>
                <w:color w:val="auto"/>
              </w:rPr>
            </w:pPr>
          </w:p>
        </w:tc>
        <w:tc>
          <w:tcPr>
            <w:tcW w:w="7060" w:type="dxa"/>
            <w:vAlign w:val="bottom"/>
            <w:vMerge w:val="continue"/>
          </w:tcPr>
          <w:p>
            <w:pPr>
              <w:spacing w:after="0"/>
              <w:rPr>
                <w:sz w:val="16"/>
                <w:szCs w:val="16"/>
                <w:color w:val="auto"/>
              </w:rPr>
            </w:pPr>
          </w:p>
        </w:tc>
        <w:tc>
          <w:tcPr>
            <w:tcW w:w="3720" w:type="dxa"/>
            <w:vAlign w:val="bottom"/>
          </w:tcPr>
          <w:p>
            <w:pPr>
              <w:ind w:left="200"/>
              <w:spacing w:after="0"/>
              <w:rPr>
                <w:sz w:val="20"/>
                <w:szCs w:val="20"/>
                <w:color w:val="auto"/>
              </w:rPr>
            </w:pPr>
            <w:r>
              <w:rPr>
                <w:rFonts w:ascii="Arial" w:cs="Arial" w:eastAsia="Arial" w:hAnsi="Arial"/>
                <w:sz w:val="14"/>
                <w:szCs w:val="14"/>
                <w:i w:val="1"/>
                <w:iCs w:val="1"/>
                <w:color w:val="auto"/>
              </w:rPr>
              <w:t>pension value and all other compensation.</w:t>
            </w:r>
          </w:p>
        </w:tc>
        <w:tc>
          <w:tcPr>
            <w:tcW w:w="0" w:type="dxa"/>
            <w:vAlign w:val="bottom"/>
          </w:tcPr>
          <w:p>
            <w:pPr>
              <w:spacing w:after="0"/>
              <w:rPr>
                <w:sz w:val="1"/>
                <w:szCs w:val="1"/>
                <w:color w:val="auto"/>
              </w:rPr>
            </w:pPr>
          </w:p>
        </w:tc>
      </w:tr>
      <w:tr>
        <w:trPr>
          <w:trHeight w:val="580"/>
        </w:trPr>
        <w:tc>
          <w:tcPr>
            <w:tcW w:w="220" w:type="dxa"/>
            <w:vAlign w:val="bottom"/>
          </w:tcPr>
          <w:p>
            <w:pPr>
              <w:spacing w:after="0"/>
              <w:rPr>
                <w:sz w:val="20"/>
                <w:szCs w:val="20"/>
                <w:color w:val="auto"/>
              </w:rPr>
            </w:pPr>
            <w:r>
              <w:rPr>
                <w:rFonts w:ascii="Arial" w:cs="Arial" w:eastAsia="Arial" w:hAnsi="Arial"/>
                <w:sz w:val="14"/>
                <w:szCs w:val="14"/>
                <w:color w:val="0033A0"/>
              </w:rPr>
              <w:t>52</w:t>
            </w:r>
          </w:p>
        </w:tc>
        <w:tc>
          <w:tcPr>
            <w:tcW w:w="70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-111760</wp:posOffset>
            </wp:positionV>
            <wp:extent cx="685292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73" w:lineRule="exact"/>
        <w:rPr>
          <w:sz w:val="20"/>
          <w:szCs w:val="20"/>
          <w:color w:val="auto"/>
        </w:rPr>
      </w:pPr>
    </w:p>
    <w:p>
      <w:pPr>
        <w:ind w:left="660" w:hanging="450"/>
        <w:spacing w:after="0"/>
        <w:tabs>
          <w:tab w:leader="none" w:pos="660" w:val="left"/>
        </w:tabs>
        <w:numPr>
          <w:ilvl w:val="0"/>
          <w:numId w:val="93"/>
        </w:numPr>
        <w:rPr>
          <w:rFonts w:ascii="Arial" w:cs="Arial" w:eastAsia="Arial" w:hAnsi="Arial"/>
          <w:sz w:val="25"/>
          <w:szCs w:val="25"/>
          <w:color w:val="0033A0"/>
        </w:rPr>
      </w:pPr>
      <w:r>
        <w:rPr>
          <w:rFonts w:ascii="Arial" w:cs="Arial" w:eastAsia="Arial" w:hAnsi="Arial"/>
          <w:sz w:val="25"/>
          <w:szCs w:val="25"/>
          <w:color w:val="auto"/>
        </w:rPr>
        <w:t>Compensation Decisions for Alan S. Batey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A0"/>
        </w:rPr>
        <w:t xml:space="preserve">Alan S. Batey, </w:t>
      </w:r>
      <w:r>
        <w:rPr>
          <w:rFonts w:ascii="Arial" w:cs="Arial" w:eastAsia="Arial" w:hAnsi="Arial"/>
          <w:sz w:val="16"/>
          <w:szCs w:val="16"/>
          <w:b w:val="1"/>
          <w:bCs w:val="1"/>
          <w:color w:val="000000"/>
        </w:rPr>
        <w:t>Executive Vice President and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48895</wp:posOffset>
            </wp:positionV>
            <wp:extent cx="6655435" cy="2047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655435" cy="2047240"/>
                    </a:xfrm>
                    <a:prstGeom prst="rect">
                      <a:avLst/>
                    </a:prstGeom>
                    <a:noFill/>
                  </pic:spPr>
                </pic:pic>
              </a:graphicData>
            </a:graphic>
          </wp:anchor>
        </w:drawing>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2018 performance highlights for Mr. Batey include:</w:t>
      </w:r>
    </w:p>
    <w:p>
      <w:pPr>
        <w:spacing w:after="0" w:line="86" w:lineRule="exact"/>
        <w:rPr>
          <w:sz w:val="20"/>
          <w:szCs w:val="20"/>
          <w:color w:val="auto"/>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Furthered progress towards creating a safety culture through various initiatives</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Achieved fifth consecutive year of pickup truck sales leadership in the U.S.</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Led all automakers by delivering 1.3 million crossovers and SUVs in the U.S.</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Sold more than 134,800 units of the Chevrolet Colorado in the U.S., its best year yet</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Achieved EBIT-adjusted of $10.8B and EBIT-adjusted margins of 9.5% in North America</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Delivered record Average Transaction Prices in the U.S. of nearly $36,000 for 2018</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Maintained our leadership position as the #1 OEM in Canada</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Doubled the accessories business in North America since 2013</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Continue to drive participation in GM Loyalty rewards</w:t>
      </w:r>
    </w:p>
    <w:p>
      <w:pPr>
        <w:spacing w:after="0" w:line="58" w:lineRule="exact"/>
        <w:rPr>
          <w:rFonts w:ascii="Arial" w:cs="Arial" w:eastAsia="Arial" w:hAnsi="Arial"/>
          <w:sz w:val="16"/>
          <w:szCs w:val="16"/>
          <w:color w:val="00A1DF"/>
        </w:rPr>
      </w:pPr>
    </w:p>
    <w:p>
      <w:pPr>
        <w:ind w:left="580" w:hanging="194"/>
        <w:spacing w:after="0"/>
        <w:tabs>
          <w:tab w:leader="none" w:pos="5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Received the IHS Automotive Loyalty Award for the fourth straight year</w:t>
      </w:r>
    </w:p>
    <w:p>
      <w:pPr>
        <w:spacing w:after="0" w:line="234" w:lineRule="exact"/>
        <w:rPr>
          <w:sz w:val="20"/>
          <w:szCs w:val="20"/>
          <w:color w:val="auto"/>
        </w:rPr>
      </w:pPr>
    </w:p>
    <w:p>
      <w:pPr>
        <w:jc w:val="both"/>
        <w:ind w:left="220" w:right="3860"/>
        <w:spacing w:after="0" w:line="249" w:lineRule="auto"/>
        <w:rPr>
          <w:sz w:val="20"/>
          <w:szCs w:val="20"/>
          <w:color w:val="auto"/>
        </w:rPr>
      </w:pPr>
      <w:r>
        <w:rPr>
          <w:rFonts w:ascii="Arial" w:cs="Arial" w:eastAsia="Arial" w:hAnsi="Arial"/>
          <w:sz w:val="16"/>
          <w:szCs w:val="16"/>
          <w:color w:val="auto"/>
        </w:rPr>
        <w:t>The Compensation Committee held Mr. Batey’s base salary at $1,025,000 based on the competitive market analysis provided by the Compensation Committee’s independent compensation consultant. In February 2018, the Compensation Committee awarded Mr. Batey an annual LTIP grant of $2.69 million, consisting of 75% PSUs and 25% Stock Options. Mr. Batey’s 2018 compensation structure remained the same as his 2017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-109855</wp:posOffset>
            </wp:positionV>
            <wp:extent cx="1096645" cy="23983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96645" cy="2398395"/>
                    </a:xfrm>
                    <a:prstGeom prst="rect">
                      <a:avLst/>
                    </a:prstGeom>
                    <a:noFill/>
                  </pic:spPr>
                </pic:pic>
              </a:graphicData>
            </a:graphic>
          </wp:anchor>
        </w:drawing>
      </w:r>
    </w:p>
    <w:p>
      <w:pPr>
        <w:spacing w:after="0" w:line="78" w:lineRule="exact"/>
        <w:rPr>
          <w:sz w:val="20"/>
          <w:szCs w:val="20"/>
          <w:color w:val="auto"/>
        </w:rPr>
      </w:pPr>
    </w:p>
    <w:p>
      <w:pPr>
        <w:jc w:val="both"/>
        <w:ind w:left="220" w:right="3860"/>
        <w:spacing w:after="0" w:line="253" w:lineRule="auto"/>
        <w:rPr>
          <w:sz w:val="20"/>
          <w:szCs w:val="20"/>
          <w:color w:val="auto"/>
        </w:rPr>
      </w:pPr>
      <w:r>
        <w:rPr>
          <w:rFonts w:ascii="Arial" w:cs="Arial" w:eastAsia="Arial" w:hAnsi="Arial"/>
          <w:sz w:val="16"/>
          <w:szCs w:val="16"/>
          <w:color w:val="auto"/>
        </w:rPr>
        <w:t>The Compensation Committee awarded Mr. Batey 25 points based on his results, highlighted above, for the 2018 STIP performance year. The total compensation for Mr. Batey in 2018, including salary, STIP, and LTIP awards, is displayed below.</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54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2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gridSpan w:val="2"/>
          </w:tcPr>
          <w:p>
            <w:pPr>
              <w:jc w:val="right"/>
              <w:ind w:right="4"/>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372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Only Fixed Pay Element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8"/>
              </w:rPr>
              <w:t>1,025,000</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p>
        </w:tc>
        <w:tc>
          <w:tcPr>
            <w:tcW w:w="372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Metrics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8"/>
              </w:rPr>
              <w:t>1,230,000</w:t>
            </w:r>
          </w:p>
        </w:tc>
        <w:tc>
          <w:tcPr>
            <w:tcW w:w="0" w:type="dxa"/>
            <w:vAlign w:val="bottom"/>
          </w:tcPr>
          <w:p>
            <w:pPr>
              <w:spacing w:after="0"/>
              <w:rPr>
                <w:sz w:val="1"/>
                <w:szCs w:val="1"/>
                <w:color w:val="auto"/>
              </w:rPr>
            </w:pPr>
          </w:p>
        </w:tc>
      </w:tr>
      <w:tr>
        <w:trPr>
          <w:trHeight w:val="169"/>
        </w:trPr>
        <w:tc>
          <w:tcPr>
            <w:tcW w:w="1540" w:type="dxa"/>
            <w:vAlign w:val="bottom"/>
          </w:tcPr>
          <w:p>
            <w:pPr>
              <w:ind w:left="460"/>
              <w:spacing w:after="0"/>
              <w:rPr>
                <w:sz w:val="20"/>
                <w:szCs w:val="20"/>
                <w:color w:val="auto"/>
              </w:rPr>
            </w:pPr>
            <w:r>
              <w:rPr>
                <w:rFonts w:ascii="Arial" w:cs="Arial" w:eastAsia="Arial" w:hAnsi="Arial"/>
                <w:sz w:val="13"/>
                <w:szCs w:val="13"/>
                <w:color w:val="auto"/>
              </w:rPr>
              <w:t>(1)</w:t>
            </w:r>
          </w:p>
        </w:tc>
        <w:tc>
          <w:tcPr>
            <w:tcW w:w="3720" w:type="dxa"/>
            <w:vAlign w:val="bottom"/>
            <w:vMerge w:val="restart"/>
          </w:tcPr>
          <w:p>
            <w:pPr>
              <w:ind w:left="380"/>
              <w:spacing w:after="0"/>
              <w:rPr>
                <w:sz w:val="20"/>
                <w:szCs w:val="20"/>
                <w:color w:val="auto"/>
              </w:rPr>
            </w:pPr>
            <w:r>
              <w:rPr>
                <w:rFonts w:ascii="Arial" w:cs="Arial" w:eastAsia="Arial" w:hAnsi="Arial"/>
                <w:sz w:val="15"/>
                <w:szCs w:val="15"/>
                <w:color w:val="auto"/>
              </w:rPr>
              <w:t>Performance to Metrics and Stock Price</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color w:val="auto"/>
                <w:w w:val="98"/>
              </w:rPr>
              <w:t>2,178,894</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ind w:left="60"/>
              <w:spacing w:after="0" w:line="54" w:lineRule="exact"/>
              <w:rPr>
                <w:sz w:val="20"/>
                <w:szCs w:val="20"/>
                <w:color w:val="auto"/>
              </w:rPr>
            </w:pPr>
            <w:r>
              <w:rPr>
                <w:rFonts w:ascii="Arial" w:cs="Arial" w:eastAsia="Arial" w:hAnsi="Arial"/>
                <w:sz w:val="5"/>
                <w:szCs w:val="5"/>
                <w:color w:val="auto"/>
              </w:rPr>
              <w:t>PSUs</w:t>
            </w:r>
          </w:p>
        </w:tc>
        <w:tc>
          <w:tcPr>
            <w:tcW w:w="372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2"/>
                <w:szCs w:val="12"/>
                <w:color w:val="auto"/>
              </w:rPr>
              <w:t>(2)</w:t>
            </w:r>
          </w:p>
        </w:tc>
        <w:tc>
          <w:tcPr>
            <w:tcW w:w="372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Stock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673,429</w:t>
            </w:r>
          </w:p>
        </w:tc>
        <w:tc>
          <w:tcPr>
            <w:tcW w:w="0" w:type="dxa"/>
            <w:vAlign w:val="bottom"/>
          </w:tcPr>
          <w:p>
            <w:pPr>
              <w:spacing w:after="0"/>
              <w:rPr>
                <w:sz w:val="1"/>
                <w:szCs w:val="1"/>
                <w:color w:val="auto"/>
              </w:rPr>
            </w:pPr>
          </w:p>
        </w:tc>
      </w:tr>
      <w:tr>
        <w:trPr>
          <w:trHeight w:val="232"/>
        </w:trPr>
        <w:tc>
          <w:tcPr>
            <w:tcW w:w="154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20" w:type="dxa"/>
            <w:vAlign w:val="bottom"/>
            <w:tcBorders>
              <w:bottom w:val="single" w:sz="8" w:color="0033A0"/>
            </w:tcBorders>
          </w:tcPr>
          <w:p>
            <w:pPr>
              <w:spacing w:after="0"/>
              <w:rPr>
                <w:sz w:val="20"/>
                <w:szCs w:val="20"/>
                <w:color w:val="auto"/>
              </w:rPr>
            </w:pPr>
          </w:p>
        </w:tc>
        <w:tc>
          <w:tcPr>
            <w:tcW w:w="106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w:t>
            </w:r>
          </w:p>
        </w:tc>
        <w:tc>
          <w:tcPr>
            <w:tcW w:w="760" w:type="dxa"/>
            <w:vAlign w:val="bottom"/>
            <w:tcBorders>
              <w:bottom w:val="single" w:sz="8" w:color="0033A0"/>
            </w:tcBorders>
          </w:tcPr>
          <w:p>
            <w:pPr>
              <w:jc w:val="right"/>
              <w:ind w:right="4"/>
              <w:spacing w:after="0"/>
              <w:rPr>
                <w:sz w:val="20"/>
                <w:szCs w:val="20"/>
                <w:color w:val="auto"/>
              </w:rPr>
            </w:pPr>
            <w:r>
              <w:rPr>
                <w:rFonts w:ascii="Arial" w:cs="Arial" w:eastAsia="Arial" w:hAnsi="Arial"/>
                <w:sz w:val="15"/>
                <w:szCs w:val="15"/>
                <w:b w:val="1"/>
                <w:bCs w:val="1"/>
                <w:color w:val="0033A0"/>
                <w:w w:val="98"/>
              </w:rPr>
              <w:t>5,107,323</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00" w:right="3920" w:hanging="290"/>
        <w:spacing w:after="0" w:line="260" w:lineRule="auto"/>
        <w:tabs>
          <w:tab w:leader="none" w:pos="50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29" w:lineRule="exact"/>
        <w:rPr>
          <w:rFonts w:ascii="Arial" w:cs="Arial" w:eastAsia="Arial" w:hAnsi="Arial"/>
          <w:sz w:val="14"/>
          <w:szCs w:val="14"/>
          <w:i w:val="1"/>
          <w:iCs w:val="1"/>
          <w:color w:val="auto"/>
        </w:rPr>
      </w:pPr>
    </w:p>
    <w:p>
      <w:pPr>
        <w:ind w:left="500" w:hanging="290"/>
        <w:spacing w:after="0"/>
        <w:tabs>
          <w:tab w:leader="none" w:pos="50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327"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186055</wp:posOffset>
            </wp:positionV>
            <wp:extent cx="6758305" cy="1282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78"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53</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73" w:lineRule="exact"/>
        <w:rPr>
          <w:sz w:val="20"/>
          <w:szCs w:val="20"/>
          <w:color w:val="auto"/>
        </w:rPr>
      </w:pPr>
    </w:p>
    <w:p>
      <w:pPr>
        <w:ind w:left="660" w:hanging="450"/>
        <w:spacing w:after="0"/>
        <w:tabs>
          <w:tab w:leader="none" w:pos="660" w:val="left"/>
        </w:tabs>
        <w:numPr>
          <w:ilvl w:val="0"/>
          <w:numId w:val="96"/>
        </w:numPr>
        <w:rPr>
          <w:rFonts w:ascii="Arial" w:cs="Arial" w:eastAsia="Arial" w:hAnsi="Arial"/>
          <w:sz w:val="25"/>
          <w:szCs w:val="25"/>
          <w:color w:val="0033A0"/>
        </w:rPr>
      </w:pPr>
      <w:r>
        <w:rPr>
          <w:rFonts w:ascii="Arial" w:cs="Arial" w:eastAsia="Arial" w:hAnsi="Arial"/>
          <w:sz w:val="25"/>
          <w:szCs w:val="25"/>
          <w:color w:val="auto"/>
        </w:rPr>
        <w:t>Compensation Decisions for Charles K. Stevens, III</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0033A0"/>
        </w:rPr>
        <w:t xml:space="preserve">Charles K. Stevens, III, </w:t>
      </w:r>
      <w:r>
        <w:rPr>
          <w:rFonts w:ascii="Arial" w:cs="Arial" w:eastAsia="Arial" w:hAnsi="Arial"/>
          <w:sz w:val="16"/>
          <w:szCs w:val="16"/>
          <w:b w:val="1"/>
          <w:bCs w:val="1"/>
          <w:color w:val="000000"/>
        </w:rPr>
        <w:t>Advisor and Former Executive Vice President and</w:t>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wp:posOffset>
            </wp:positionV>
            <wp:extent cx="6681470" cy="20218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681470" cy="2021840"/>
                    </a:xfrm>
                    <a:prstGeom prst="rect">
                      <a:avLst/>
                    </a:prstGeom>
                    <a:noFill/>
                  </pic:spPr>
                </pic:pic>
              </a:graphicData>
            </a:graphic>
          </wp:anchor>
        </w:drawing>
      </w:r>
    </w:p>
    <w:p>
      <w:pPr>
        <w:spacing w:after="0" w:line="133" w:lineRule="exact"/>
        <w:rPr>
          <w:sz w:val="20"/>
          <w:szCs w:val="20"/>
          <w:color w:val="auto"/>
        </w:rPr>
      </w:pPr>
    </w:p>
    <w:p>
      <w:pPr>
        <w:jc w:val="both"/>
        <w:ind w:left="300" w:right="3860"/>
        <w:spacing w:after="0" w:line="253" w:lineRule="auto"/>
        <w:rPr>
          <w:sz w:val="20"/>
          <w:szCs w:val="20"/>
          <w:color w:val="auto"/>
        </w:rPr>
      </w:pPr>
      <w:r>
        <w:rPr>
          <w:rFonts w:ascii="Arial" w:cs="Arial" w:eastAsia="Arial" w:hAnsi="Arial"/>
          <w:sz w:val="16"/>
          <w:szCs w:val="16"/>
          <w:color w:val="auto"/>
        </w:rPr>
        <w:t>Mr. Stevens retired on March 1, 2019, following more than 40 years of service with the Company. He played a key role as a trusted advisor while assisting in the transition of the responsibilities of Chief Financial Officer to Ms. Suryadevara.</w:t>
      </w:r>
    </w:p>
    <w:p>
      <w:pPr>
        <w:spacing w:after="0" w:line="160" w:lineRule="exact"/>
        <w:rPr>
          <w:sz w:val="20"/>
          <w:szCs w:val="20"/>
          <w:color w:val="auto"/>
        </w:rPr>
      </w:pPr>
    </w:p>
    <w:p>
      <w:pPr>
        <w:jc w:val="both"/>
        <w:ind w:left="220" w:right="3860"/>
        <w:spacing w:after="0" w:line="250" w:lineRule="auto"/>
        <w:rPr>
          <w:sz w:val="20"/>
          <w:szCs w:val="20"/>
          <w:color w:val="auto"/>
        </w:rPr>
      </w:pPr>
      <w:r>
        <w:rPr>
          <w:rFonts w:ascii="Arial" w:cs="Arial" w:eastAsia="Arial" w:hAnsi="Arial"/>
          <w:sz w:val="16"/>
          <w:szCs w:val="16"/>
          <w:color w:val="auto"/>
        </w:rPr>
        <w:t>The Compensation Committee held Mr. Stevens’ base salary at $1,100,000 based on the competitive market analysis provided by the Compensation Committee’s independent compensation consultant. In February 2018, the Compensation Committee awarded Mr. Stevens an annual LTIP grant of $4.02 million, consisting of 75% PSUs and 25% Stock Options.</w:t>
      </w:r>
    </w:p>
    <w:p>
      <w:pPr>
        <w:spacing w:after="0" w:line="97" w:lineRule="exact"/>
        <w:rPr>
          <w:sz w:val="20"/>
          <w:szCs w:val="20"/>
          <w:color w:val="auto"/>
        </w:rPr>
      </w:pPr>
    </w:p>
    <w:p>
      <w:pPr>
        <w:jc w:val="both"/>
        <w:ind w:left="220" w:right="3860"/>
        <w:spacing w:after="0" w:line="249" w:lineRule="auto"/>
        <w:rPr>
          <w:sz w:val="20"/>
          <w:szCs w:val="20"/>
          <w:color w:val="auto"/>
        </w:rPr>
      </w:pPr>
      <w:r>
        <w:rPr>
          <w:rFonts w:ascii="Arial" w:cs="Arial" w:eastAsia="Arial" w:hAnsi="Arial"/>
          <w:sz w:val="16"/>
          <w:szCs w:val="16"/>
          <w:color w:val="auto"/>
        </w:rPr>
        <w:t>Mr. Stevens stepped down from his position as Executive Vice President and Chief Financial Officer effective September 1, 2018, and served as an Advisor through his retirement on March 1, 2019. The Compensation Committee awarded Mr. Stevens 25 points for the 2018 STIP performance year. The total compensation for Mr. Stevens in 2018, including salary, STIP, and LTIP awards, is displayed below.</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02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480" w:type="dxa"/>
            <w:vAlign w:val="bottom"/>
            <w:tcBorders>
              <w:top w:val="single" w:sz="8" w:color="00A1DF"/>
              <w:bottom w:val="single" w:sz="8" w:color="00A1DF"/>
            </w:tcBorders>
          </w:tcPr>
          <w:p>
            <w:pPr>
              <w:spacing w:after="0"/>
              <w:rPr>
                <w:sz w:val="17"/>
                <w:szCs w:val="17"/>
                <w:color w:val="auto"/>
              </w:rPr>
            </w:pPr>
          </w:p>
        </w:tc>
        <w:tc>
          <w:tcPr>
            <w:tcW w:w="3760" w:type="dxa"/>
            <w:vAlign w:val="bottom"/>
            <w:tcBorders>
              <w:top w:val="single" w:sz="8" w:color="00A1DF"/>
              <w:bottom w:val="single" w:sz="8" w:color="00A1DF"/>
            </w:tcBorders>
          </w:tcPr>
          <w:p>
            <w:pPr>
              <w:ind w:left="340"/>
              <w:spacing w:after="0"/>
              <w:rPr>
                <w:sz w:val="20"/>
                <w:szCs w:val="20"/>
                <w:color w:val="auto"/>
              </w:rPr>
            </w:pPr>
            <w:r>
              <w:rPr>
                <w:rFonts w:ascii="Arial" w:cs="Arial" w:eastAsia="Arial" w:hAnsi="Arial"/>
                <w:sz w:val="15"/>
                <w:szCs w:val="15"/>
                <w:b w:val="1"/>
                <w:bCs w:val="1"/>
                <w:color w:val="00A1DF"/>
              </w:rPr>
              <w:t>Majority of Pay Is At-Risk</w:t>
            </w:r>
          </w:p>
        </w:tc>
        <w:tc>
          <w:tcPr>
            <w:tcW w:w="188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Only Fixed Pay Element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$1,100,000</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Performance to Metrics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$1,320,000</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PSUs</w:t>
            </w:r>
            <w:r>
              <w:rPr>
                <w:rFonts w:ascii="Arial" w:cs="Arial" w:eastAsia="Arial" w:hAnsi="Arial"/>
                <w:sz w:val="12"/>
                <w:szCs w:val="12"/>
                <w:color w:val="auto"/>
              </w:rPr>
              <w:t>(1)</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Performance to Metrics and Stock Price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$3,255,775</w:t>
            </w:r>
          </w:p>
        </w:tc>
        <w:tc>
          <w:tcPr>
            <w:tcW w:w="0" w:type="dxa"/>
            <w:vAlign w:val="bottom"/>
          </w:tcPr>
          <w:p>
            <w:pPr>
              <w:spacing w:after="0"/>
              <w:rPr>
                <w:sz w:val="1"/>
                <w:szCs w:val="1"/>
                <w:color w:val="auto"/>
              </w:rPr>
            </w:pPr>
          </w:p>
        </w:tc>
      </w:tr>
      <w:tr>
        <w:trPr>
          <w:trHeight w:val="182"/>
        </w:trPr>
        <w:tc>
          <w:tcPr>
            <w:tcW w:w="1020" w:type="dxa"/>
            <w:vAlign w:val="bottom"/>
            <w:vMerge w:val="restart"/>
          </w:tcPr>
          <w:p>
            <w:pPr>
              <w:ind w:left="60"/>
              <w:spacing w:after="0"/>
              <w:rPr>
                <w:sz w:val="20"/>
                <w:szCs w:val="20"/>
                <w:color w:val="auto"/>
              </w:rPr>
            </w:pPr>
            <w:r>
              <w:rPr>
                <w:rFonts w:ascii="Arial" w:cs="Arial" w:eastAsia="Arial" w:hAnsi="Arial"/>
                <w:sz w:val="15"/>
                <w:szCs w:val="15"/>
                <w:color w:val="auto"/>
              </w:rPr>
              <w:t>Stock Options</w:t>
            </w:r>
          </w:p>
        </w:tc>
        <w:tc>
          <w:tcPr>
            <w:tcW w:w="480" w:type="dxa"/>
            <w:vAlign w:val="bottom"/>
          </w:tcPr>
          <w:p>
            <w:pPr>
              <w:jc w:val="right"/>
              <w:ind w:right="255"/>
              <w:spacing w:after="0"/>
              <w:rPr>
                <w:sz w:val="20"/>
                <w:szCs w:val="20"/>
                <w:color w:val="auto"/>
              </w:rPr>
            </w:pPr>
            <w:r>
              <w:rPr>
                <w:rFonts w:ascii="Arial" w:cs="Arial" w:eastAsia="Arial" w:hAnsi="Arial"/>
                <w:sz w:val="13"/>
                <w:szCs w:val="13"/>
                <w:color w:val="auto"/>
                <w:w w:val="87"/>
              </w:rPr>
              <w:t>(2)</w:t>
            </w:r>
          </w:p>
        </w:tc>
        <w:tc>
          <w:tcPr>
            <w:tcW w:w="3760" w:type="dxa"/>
            <w:vAlign w:val="bottom"/>
            <w:vMerge w:val="restart"/>
          </w:tcPr>
          <w:p>
            <w:pPr>
              <w:ind w:left="340"/>
              <w:spacing w:after="0"/>
              <w:rPr>
                <w:sz w:val="20"/>
                <w:szCs w:val="20"/>
                <w:color w:val="auto"/>
              </w:rPr>
            </w:pPr>
            <w:r>
              <w:rPr>
                <w:rFonts w:ascii="Arial" w:cs="Arial" w:eastAsia="Arial" w:hAnsi="Arial"/>
                <w:sz w:val="15"/>
                <w:szCs w:val="15"/>
                <w:color w:val="auto"/>
              </w:rPr>
              <w:t>Performance to Stock Price</w:t>
            </w:r>
          </w:p>
        </w:tc>
        <w:tc>
          <w:tcPr>
            <w:tcW w:w="1880" w:type="dxa"/>
            <w:vAlign w:val="bottom"/>
            <w:vMerge w:val="restart"/>
          </w:tcPr>
          <w:p>
            <w:pPr>
              <w:jc w:val="right"/>
              <w:spacing w:after="0"/>
              <w:rPr>
                <w:sz w:val="20"/>
                <w:szCs w:val="20"/>
                <w:color w:val="auto"/>
              </w:rPr>
            </w:pPr>
            <w:r>
              <w:rPr>
                <w:rFonts w:ascii="Arial" w:cs="Arial" w:eastAsia="Arial" w:hAnsi="Arial"/>
                <w:sz w:val="15"/>
                <w:szCs w:val="15"/>
                <w:color w:val="auto"/>
              </w:rPr>
              <w:t>$1,006,252</w:t>
            </w:r>
          </w:p>
        </w:tc>
        <w:tc>
          <w:tcPr>
            <w:tcW w:w="0" w:type="dxa"/>
            <w:vAlign w:val="bottom"/>
          </w:tcPr>
          <w:p>
            <w:pPr>
              <w:spacing w:after="0"/>
              <w:rPr>
                <w:sz w:val="1"/>
                <w:szCs w:val="1"/>
                <w:color w:val="auto"/>
              </w:rPr>
            </w:pPr>
          </w:p>
        </w:tc>
      </w:tr>
      <w:tr>
        <w:trPr>
          <w:trHeight w:val="40"/>
        </w:trPr>
        <w:tc>
          <w:tcPr>
            <w:tcW w:w="1020" w:type="dxa"/>
            <w:vAlign w:val="bottom"/>
            <w:tcBorders>
              <w:bottom w:val="single" w:sz="8" w:color="auto"/>
            </w:tcBorders>
            <w:vMerge w:val="continue"/>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vMerge w:val="continue"/>
          </w:tcPr>
          <w:p>
            <w:pPr>
              <w:spacing w:after="0"/>
              <w:rPr>
                <w:sz w:val="3"/>
                <w:szCs w:val="3"/>
                <w:color w:val="auto"/>
              </w:rPr>
            </w:pPr>
          </w:p>
        </w:tc>
        <w:tc>
          <w:tcPr>
            <w:tcW w:w="1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0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480" w:type="dxa"/>
            <w:vAlign w:val="bottom"/>
            <w:tcBorders>
              <w:bottom w:val="single" w:sz="8" w:color="0033A0"/>
            </w:tcBorders>
          </w:tcPr>
          <w:p>
            <w:pPr>
              <w:spacing w:after="0"/>
              <w:rPr>
                <w:sz w:val="20"/>
                <w:szCs w:val="20"/>
                <w:color w:val="auto"/>
              </w:rPr>
            </w:pPr>
          </w:p>
        </w:tc>
        <w:tc>
          <w:tcPr>
            <w:tcW w:w="3760" w:type="dxa"/>
            <w:vAlign w:val="bottom"/>
            <w:tcBorders>
              <w:bottom w:val="single" w:sz="8" w:color="0033A0"/>
            </w:tcBorders>
          </w:tcPr>
          <w:p>
            <w:pPr>
              <w:spacing w:after="0"/>
              <w:rPr>
                <w:sz w:val="20"/>
                <w:szCs w:val="20"/>
                <w:color w:val="auto"/>
              </w:rPr>
            </w:pPr>
          </w:p>
        </w:tc>
        <w:tc>
          <w:tcPr>
            <w:tcW w:w="188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$6,682,027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-410210</wp:posOffset>
            </wp:positionV>
            <wp:extent cx="1096645" cy="23901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96645" cy="2390140"/>
                    </a:xfrm>
                    <a:prstGeom prst="rect">
                      <a:avLst/>
                    </a:prstGeom>
                    <a:noFill/>
                  </pic:spPr>
                </pic:pic>
              </a:graphicData>
            </a:graphic>
          </wp:anchor>
        </w:drawing>
      </w:r>
    </w:p>
    <w:p>
      <w:pPr>
        <w:spacing w:after="0" w:line="38" w:lineRule="exact"/>
        <w:rPr>
          <w:sz w:val="20"/>
          <w:szCs w:val="20"/>
          <w:color w:val="auto"/>
        </w:rPr>
      </w:pPr>
    </w:p>
    <w:p>
      <w:pPr>
        <w:jc w:val="both"/>
        <w:ind w:left="500" w:right="3920" w:hanging="290"/>
        <w:spacing w:after="0" w:line="260" w:lineRule="auto"/>
        <w:tabs>
          <w:tab w:leader="none" w:pos="50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29" w:lineRule="exact"/>
        <w:rPr>
          <w:rFonts w:ascii="Arial" w:cs="Arial" w:eastAsia="Arial" w:hAnsi="Arial"/>
          <w:sz w:val="14"/>
          <w:szCs w:val="14"/>
          <w:i w:val="1"/>
          <w:iCs w:val="1"/>
          <w:color w:val="auto"/>
        </w:rPr>
      </w:pPr>
    </w:p>
    <w:p>
      <w:pPr>
        <w:ind w:left="500" w:hanging="290"/>
        <w:spacing w:after="0"/>
        <w:tabs>
          <w:tab w:leader="none" w:pos="50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177165</wp:posOffset>
            </wp:positionV>
            <wp:extent cx="6852920" cy="145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54</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Compensation Policies and Governance Practices</w:t>
      </w:r>
    </w:p>
    <w:p>
      <w:pPr>
        <w:spacing w:after="0" w:line="348" w:lineRule="exact"/>
        <w:rPr>
          <w:sz w:val="20"/>
          <w:szCs w:val="20"/>
          <w:color w:val="auto"/>
        </w:rPr>
      </w:pPr>
    </w:p>
    <w:p>
      <w:pPr>
        <w:ind w:left="640" w:hanging="430"/>
        <w:spacing w:after="0"/>
        <w:tabs>
          <w:tab w:leader="none" w:pos="640" w:val="left"/>
        </w:tabs>
        <w:numPr>
          <w:ilvl w:val="0"/>
          <w:numId w:val="98"/>
        </w:numPr>
        <w:rPr>
          <w:rFonts w:ascii="Arial" w:cs="Arial" w:eastAsia="Arial" w:hAnsi="Arial"/>
          <w:sz w:val="25"/>
          <w:szCs w:val="25"/>
          <w:color w:val="0033A0"/>
        </w:rPr>
      </w:pPr>
      <w:r>
        <w:rPr>
          <w:rFonts w:ascii="Arial" w:cs="Arial" w:eastAsia="Arial" w:hAnsi="Arial"/>
          <w:sz w:val="25"/>
          <w:szCs w:val="25"/>
          <w:color w:val="auto"/>
        </w:rPr>
        <w:t>Stock Ownership Requirements</w:t>
      </w:r>
    </w:p>
    <w:p>
      <w:pPr>
        <w:spacing w:after="0" w:line="185"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Company requires our senior leaders to own GM stock to align the interests of senior leaders with those of our shareholders. The stock ownership requirements:</w:t>
      </w:r>
    </w:p>
    <w:p>
      <w:pPr>
        <w:spacing w:after="0" w:line="100" w:lineRule="exact"/>
        <w:rPr>
          <w:sz w:val="20"/>
          <w:szCs w:val="20"/>
          <w:color w:val="auto"/>
        </w:rPr>
      </w:pPr>
    </w:p>
    <w:p>
      <w:pPr>
        <w:ind w:left="420" w:hanging="210"/>
        <w:spacing w:after="0"/>
        <w:tabs>
          <w:tab w:leader="none" w:pos="420" w:val="left"/>
        </w:tabs>
        <w:numPr>
          <w:ilvl w:val="0"/>
          <w:numId w:val="99"/>
        </w:numPr>
        <w:rPr>
          <w:rFonts w:ascii="Arial" w:cs="Arial" w:eastAsia="Arial" w:hAnsi="Arial"/>
          <w:sz w:val="16"/>
          <w:szCs w:val="16"/>
          <w:color w:val="0033A0"/>
        </w:rPr>
      </w:pPr>
      <w:r>
        <w:rPr>
          <w:rFonts w:ascii="Arial" w:cs="Arial" w:eastAsia="Arial" w:hAnsi="Arial"/>
          <w:sz w:val="16"/>
          <w:szCs w:val="16"/>
          <w:color w:val="auto"/>
        </w:rPr>
        <w:t>Cover all senior leaders;</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99"/>
        </w:numPr>
        <w:rPr>
          <w:rFonts w:ascii="Arial" w:cs="Arial" w:eastAsia="Arial" w:hAnsi="Arial"/>
          <w:sz w:val="16"/>
          <w:szCs w:val="16"/>
          <w:color w:val="0033A0"/>
        </w:rPr>
      </w:pPr>
      <w:r>
        <w:rPr>
          <w:rFonts w:ascii="Arial" w:cs="Arial" w:eastAsia="Arial" w:hAnsi="Arial"/>
          <w:sz w:val="16"/>
          <w:szCs w:val="16"/>
          <w:color w:val="auto"/>
        </w:rPr>
        <w:t>Set five years as the time frame to meet ownership requirements;</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99"/>
        </w:numPr>
        <w:rPr>
          <w:rFonts w:ascii="Arial" w:cs="Arial" w:eastAsia="Arial" w:hAnsi="Arial"/>
          <w:sz w:val="16"/>
          <w:szCs w:val="16"/>
          <w:color w:val="0033A0"/>
        </w:rPr>
      </w:pPr>
      <w:r>
        <w:rPr>
          <w:rFonts w:ascii="Arial" w:cs="Arial" w:eastAsia="Arial" w:hAnsi="Arial"/>
          <w:sz w:val="16"/>
          <w:szCs w:val="16"/>
          <w:color w:val="auto"/>
        </w:rPr>
        <w:t>Require senior leaders to hold vested shares to maintain ownership requirements;</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99"/>
        </w:numPr>
        <w:rPr>
          <w:rFonts w:ascii="Arial" w:cs="Arial" w:eastAsia="Arial" w:hAnsi="Arial"/>
          <w:sz w:val="16"/>
          <w:szCs w:val="16"/>
          <w:color w:val="0033A0"/>
        </w:rPr>
      </w:pPr>
      <w:r>
        <w:rPr>
          <w:rFonts w:ascii="Arial" w:cs="Arial" w:eastAsia="Arial" w:hAnsi="Arial"/>
          <w:sz w:val="16"/>
          <w:szCs w:val="16"/>
          <w:color w:val="auto"/>
        </w:rPr>
        <w:t>Establish a multiple of each executive’s base salary on the date they are first covered;</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99"/>
        </w:numPr>
        <w:rPr>
          <w:rFonts w:ascii="Arial" w:cs="Arial" w:eastAsia="Arial" w:hAnsi="Arial"/>
          <w:sz w:val="16"/>
          <w:szCs w:val="16"/>
          <w:color w:val="0033A0"/>
        </w:rPr>
      </w:pPr>
      <w:r>
        <w:rPr>
          <w:rFonts w:ascii="Arial" w:cs="Arial" w:eastAsia="Arial" w:hAnsi="Arial"/>
          <w:sz w:val="16"/>
          <w:szCs w:val="16"/>
          <w:color w:val="auto"/>
        </w:rPr>
        <w:t>Make it possible to meet ownership requirements by owning either a multiple of base salary or a required number of shares; and</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99"/>
        </w:numPr>
        <w:rPr>
          <w:rFonts w:ascii="Arial" w:cs="Arial" w:eastAsia="Arial" w:hAnsi="Arial"/>
          <w:sz w:val="16"/>
          <w:szCs w:val="16"/>
          <w:color w:val="0033A0"/>
        </w:rPr>
      </w:pPr>
      <w:r>
        <w:rPr>
          <w:rFonts w:ascii="Arial" w:cs="Arial" w:eastAsia="Arial" w:hAnsi="Arial"/>
          <w:sz w:val="16"/>
          <w:szCs w:val="16"/>
          <w:color w:val="auto"/>
        </w:rPr>
        <w:t>Count only actual share holdings and unvested RSUs.</w:t>
      </w:r>
    </w:p>
    <w:p>
      <w:pPr>
        <w:spacing w:after="0" w:line="194"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table below shows the stock ownership requirement by level in the Company. As of December 31, 2018, all NEOs have met or are on track to meet stock ownership requirements by their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122555</wp:posOffset>
            </wp:positionV>
            <wp:extent cx="5182235" cy="9848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8223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hanging="430"/>
        <w:spacing w:after="0"/>
        <w:tabs>
          <w:tab w:leader="none" w:pos="640" w:val="left"/>
        </w:tabs>
        <w:numPr>
          <w:ilvl w:val="0"/>
          <w:numId w:val="100"/>
        </w:numPr>
        <w:rPr>
          <w:rFonts w:ascii="Arial" w:cs="Arial" w:eastAsia="Arial" w:hAnsi="Arial"/>
          <w:sz w:val="25"/>
          <w:szCs w:val="25"/>
          <w:color w:val="0033A0"/>
        </w:rPr>
      </w:pPr>
      <w:r>
        <w:rPr>
          <w:rFonts w:ascii="Arial" w:cs="Arial" w:eastAsia="Arial" w:hAnsi="Arial"/>
          <w:sz w:val="25"/>
          <w:szCs w:val="25"/>
          <w:color w:val="auto"/>
        </w:rPr>
        <w:t>Compensation Risk Assessment</w:t>
      </w:r>
    </w:p>
    <w:p>
      <w:pPr>
        <w:spacing w:after="0" w:line="185"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The Compensation Committee annually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w:t>
      </w:r>
    </w:p>
    <w:p>
      <w:pPr>
        <w:spacing w:after="0" w:line="93"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The annual risk review, completed on October 8, 2018, with assistance from our human resources, audit, legal, and strategic risk management organizations, involved analyzing our current compensation programs in relation to risk. Our analysis concluded that our compensation programs include the following risk mitigation features:</w:t>
      </w:r>
    </w:p>
    <w:p>
      <w:pPr>
        <w:spacing w:after="0" w:line="86" w:lineRule="exact"/>
        <w:rPr>
          <w:sz w:val="20"/>
          <w:szCs w:val="20"/>
          <w:color w:val="auto"/>
        </w:rPr>
      </w:pPr>
    </w:p>
    <w:p>
      <w:pPr>
        <w:ind w:left="420" w:hanging="210"/>
        <w:spacing w:after="0"/>
        <w:tabs>
          <w:tab w:leader="none" w:pos="420" w:val="left"/>
        </w:tabs>
        <w:numPr>
          <w:ilvl w:val="0"/>
          <w:numId w:val="101"/>
        </w:numPr>
        <w:rPr>
          <w:rFonts w:ascii="Arial" w:cs="Arial" w:eastAsia="Arial" w:hAnsi="Arial"/>
          <w:sz w:val="16"/>
          <w:szCs w:val="16"/>
          <w:color w:val="0033A0"/>
        </w:rPr>
      </w:pPr>
      <w:r>
        <w:rPr>
          <w:rFonts w:ascii="Arial" w:cs="Arial" w:eastAsia="Arial" w:hAnsi="Arial"/>
          <w:sz w:val="16"/>
          <w:szCs w:val="16"/>
          <w:b w:val="1"/>
          <w:bCs w:val="1"/>
          <w:color w:val="0033A0"/>
        </w:rPr>
        <w:t xml:space="preserve">Mix of Pay Elements </w:t>
      </w:r>
      <w:r>
        <w:rPr>
          <w:rFonts w:ascii="Arial" w:cs="Arial" w:eastAsia="Arial" w:hAnsi="Arial"/>
          <w:sz w:val="16"/>
          <w:szCs w:val="16"/>
          <w:color w:val="000000"/>
        </w:rPr>
        <w:t>– Base salary, STIP, PSUs, and Stock Options are included in the executive compensation program.</w:t>
      </w:r>
    </w:p>
    <w:p>
      <w:pPr>
        <w:spacing w:after="0" w:line="126" w:lineRule="exact"/>
        <w:rPr>
          <w:rFonts w:ascii="Arial" w:cs="Arial" w:eastAsia="Arial" w:hAnsi="Arial"/>
          <w:sz w:val="16"/>
          <w:szCs w:val="16"/>
          <w:color w:val="0033A0"/>
        </w:rPr>
      </w:pPr>
    </w:p>
    <w:p>
      <w:pPr>
        <w:ind w:left="420" w:right="20" w:hanging="210"/>
        <w:spacing w:after="0" w:line="286" w:lineRule="auto"/>
        <w:tabs>
          <w:tab w:leader="none" w:pos="420" w:val="left"/>
        </w:tabs>
        <w:numPr>
          <w:ilvl w:val="0"/>
          <w:numId w:val="101"/>
        </w:numPr>
        <w:rPr>
          <w:rFonts w:ascii="Arial" w:cs="Arial" w:eastAsia="Arial" w:hAnsi="Arial"/>
          <w:sz w:val="16"/>
          <w:szCs w:val="16"/>
          <w:color w:val="0033A0"/>
        </w:rPr>
      </w:pPr>
      <w:r>
        <w:rPr>
          <w:rFonts w:ascii="Arial" w:cs="Arial" w:eastAsia="Arial" w:hAnsi="Arial"/>
          <w:sz w:val="16"/>
          <w:szCs w:val="16"/>
          <w:b w:val="1"/>
          <w:bCs w:val="1"/>
          <w:color w:val="0033A0"/>
        </w:rPr>
        <w:t xml:space="preserve">Short-Term and Long-Term Programs </w:t>
      </w:r>
      <w:r>
        <w:rPr>
          <w:rFonts w:ascii="Arial" w:cs="Arial" w:eastAsia="Arial" w:hAnsi="Arial"/>
          <w:sz w:val="16"/>
          <w:szCs w:val="16"/>
          <w:color w:val="000000"/>
        </w:rPr>
        <w:t>– The mix of our short-term and long-term compensation programs appropriately reward employees while</w:t>
      </w:r>
      <w:r>
        <w:rPr>
          <w:rFonts w:ascii="Arial" w:cs="Arial" w:eastAsia="Arial" w:hAnsi="Arial"/>
          <w:sz w:val="16"/>
          <w:szCs w:val="16"/>
          <w:b w:val="1"/>
          <w:bCs w:val="1"/>
          <w:color w:val="0033A0"/>
        </w:rPr>
        <w:t xml:space="preserve"> </w:t>
      </w:r>
      <w:r>
        <w:rPr>
          <w:rFonts w:ascii="Arial" w:cs="Arial" w:eastAsia="Arial" w:hAnsi="Arial"/>
          <w:sz w:val="16"/>
          <w:szCs w:val="16"/>
          <w:color w:val="000000"/>
        </w:rPr>
        <w:t>balancing risk through the delayed payment of long-term awards.</w:t>
      </w:r>
    </w:p>
    <w:p>
      <w:pPr>
        <w:spacing w:after="0" w:line="60" w:lineRule="exact"/>
        <w:rPr>
          <w:rFonts w:ascii="Arial" w:cs="Arial" w:eastAsia="Arial" w:hAnsi="Arial"/>
          <w:sz w:val="16"/>
          <w:szCs w:val="16"/>
          <w:color w:val="0033A0"/>
        </w:rPr>
      </w:pPr>
    </w:p>
    <w:p>
      <w:pPr>
        <w:ind w:left="420" w:right="20" w:hanging="210"/>
        <w:spacing w:after="0" w:line="286" w:lineRule="auto"/>
        <w:tabs>
          <w:tab w:leader="none" w:pos="420" w:val="left"/>
        </w:tabs>
        <w:numPr>
          <w:ilvl w:val="0"/>
          <w:numId w:val="101"/>
        </w:numPr>
        <w:rPr>
          <w:rFonts w:ascii="Arial" w:cs="Arial" w:eastAsia="Arial" w:hAnsi="Arial"/>
          <w:sz w:val="16"/>
          <w:szCs w:val="16"/>
          <w:color w:val="0033A0"/>
        </w:rPr>
      </w:pPr>
      <w:r>
        <w:rPr>
          <w:rFonts w:ascii="Arial" w:cs="Arial" w:eastAsia="Arial" w:hAnsi="Arial"/>
          <w:sz w:val="16"/>
          <w:szCs w:val="16"/>
          <w:b w:val="1"/>
          <w:bCs w:val="1"/>
          <w:color w:val="0033A0"/>
        </w:rPr>
        <w:t xml:space="preserve">Adjustments to Compensation </w:t>
      </w:r>
      <w:r>
        <w:rPr>
          <w:rFonts w:ascii="Arial" w:cs="Arial" w:eastAsia="Arial" w:hAnsi="Arial"/>
          <w:sz w:val="16"/>
          <w:szCs w:val="16"/>
          <w:color w:val="000000"/>
        </w:rPr>
        <w:t>– Maximum payout caps are in place for incentive compensation and the Compensation Committee has the ability to</w:t>
      </w:r>
      <w:r>
        <w:rPr>
          <w:rFonts w:ascii="Arial" w:cs="Arial" w:eastAsia="Arial" w:hAnsi="Arial"/>
          <w:sz w:val="16"/>
          <w:szCs w:val="16"/>
          <w:b w:val="1"/>
          <w:bCs w:val="1"/>
          <w:color w:val="0033A0"/>
        </w:rPr>
        <w:t xml:space="preserve"> </w:t>
      </w:r>
      <w:r>
        <w:rPr>
          <w:rFonts w:ascii="Arial" w:cs="Arial" w:eastAsia="Arial" w:hAnsi="Arial"/>
          <w:sz w:val="16"/>
          <w:szCs w:val="16"/>
          <w:color w:val="000000"/>
        </w:rPr>
        <w:t>apply negative discretion.</w:t>
      </w:r>
    </w:p>
    <w:p>
      <w:pPr>
        <w:spacing w:after="0" w:line="60" w:lineRule="exact"/>
        <w:rPr>
          <w:rFonts w:ascii="Arial" w:cs="Arial" w:eastAsia="Arial" w:hAnsi="Arial"/>
          <w:sz w:val="16"/>
          <w:szCs w:val="16"/>
          <w:color w:val="0033A0"/>
        </w:rPr>
      </w:pPr>
    </w:p>
    <w:p>
      <w:pPr>
        <w:ind w:left="420" w:hanging="210"/>
        <w:spacing w:after="0" w:line="286" w:lineRule="auto"/>
        <w:tabs>
          <w:tab w:leader="none" w:pos="420" w:val="left"/>
        </w:tabs>
        <w:numPr>
          <w:ilvl w:val="0"/>
          <w:numId w:val="101"/>
        </w:numPr>
        <w:rPr>
          <w:rFonts w:ascii="Arial" w:cs="Arial" w:eastAsia="Arial" w:hAnsi="Arial"/>
          <w:sz w:val="16"/>
          <w:szCs w:val="16"/>
          <w:color w:val="0033A0"/>
        </w:rPr>
      </w:pPr>
      <w:r>
        <w:rPr>
          <w:rFonts w:ascii="Arial" w:cs="Arial" w:eastAsia="Arial" w:hAnsi="Arial"/>
          <w:sz w:val="16"/>
          <w:szCs w:val="16"/>
          <w:b w:val="1"/>
          <w:bCs w:val="1"/>
          <w:color w:val="0033A0"/>
        </w:rPr>
        <w:t xml:space="preserve">Compensation Committee Oversight </w:t>
      </w:r>
      <w:r>
        <w:rPr>
          <w:rFonts w:ascii="Arial" w:cs="Arial" w:eastAsia="Arial" w:hAnsi="Arial"/>
          <w:sz w:val="16"/>
          <w:szCs w:val="16"/>
          <w:color w:val="000000"/>
        </w:rPr>
        <w:t>– Our Compensation Committee reviews plan performance and approves all executive compensation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programs and payouts.</w:t>
      </w:r>
    </w:p>
    <w:p>
      <w:pPr>
        <w:spacing w:after="0" w:line="60" w:lineRule="exact"/>
        <w:rPr>
          <w:rFonts w:ascii="Arial" w:cs="Arial" w:eastAsia="Arial" w:hAnsi="Arial"/>
          <w:sz w:val="16"/>
          <w:szCs w:val="16"/>
          <w:color w:val="0033A0"/>
        </w:rPr>
      </w:pPr>
    </w:p>
    <w:p>
      <w:pPr>
        <w:ind w:left="420" w:hanging="210"/>
        <w:spacing w:after="0"/>
        <w:tabs>
          <w:tab w:leader="none" w:pos="420" w:val="left"/>
        </w:tabs>
        <w:numPr>
          <w:ilvl w:val="0"/>
          <w:numId w:val="101"/>
        </w:numPr>
        <w:rPr>
          <w:rFonts w:ascii="Arial" w:cs="Arial" w:eastAsia="Arial" w:hAnsi="Arial"/>
          <w:sz w:val="16"/>
          <w:szCs w:val="16"/>
          <w:color w:val="0033A0"/>
        </w:rPr>
      </w:pPr>
      <w:r>
        <w:rPr>
          <w:rFonts w:ascii="Arial" w:cs="Arial" w:eastAsia="Arial" w:hAnsi="Arial"/>
          <w:sz w:val="16"/>
          <w:szCs w:val="16"/>
          <w:b w:val="1"/>
          <w:bCs w:val="1"/>
          <w:color w:val="0033A0"/>
        </w:rPr>
        <w:t xml:space="preserve">Multiple Performance Metrics </w:t>
      </w:r>
      <w:r>
        <w:rPr>
          <w:rFonts w:ascii="Arial" w:cs="Arial" w:eastAsia="Arial" w:hAnsi="Arial"/>
          <w:sz w:val="16"/>
          <w:szCs w:val="16"/>
          <w:color w:val="000000"/>
        </w:rPr>
        <w:t>– Multiple performance measures work together to balance risk in our incentive compensation programs.</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101"/>
        </w:numPr>
        <w:rPr>
          <w:rFonts w:ascii="Arial" w:cs="Arial" w:eastAsia="Arial" w:hAnsi="Arial"/>
          <w:sz w:val="16"/>
          <w:szCs w:val="16"/>
          <w:color w:val="0033A0"/>
        </w:rPr>
      </w:pPr>
      <w:r>
        <w:rPr>
          <w:rFonts w:ascii="Arial" w:cs="Arial" w:eastAsia="Arial" w:hAnsi="Arial"/>
          <w:sz w:val="16"/>
          <w:szCs w:val="16"/>
          <w:b w:val="1"/>
          <w:bCs w:val="1"/>
          <w:color w:val="0033A0"/>
        </w:rPr>
        <w:t xml:space="preserve">Stock Ownership Requirements </w:t>
      </w:r>
      <w:r>
        <w:rPr>
          <w:rFonts w:ascii="Arial" w:cs="Arial" w:eastAsia="Arial" w:hAnsi="Arial"/>
          <w:sz w:val="16"/>
          <w:szCs w:val="16"/>
          <w:color w:val="000000"/>
        </w:rPr>
        <w:t>– All senior leaders are subject to stock ownership requirements of at least 1x their salary as described above.</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101"/>
        </w:numPr>
        <w:rPr>
          <w:rFonts w:ascii="Arial" w:cs="Arial" w:eastAsia="Arial" w:hAnsi="Arial"/>
          <w:sz w:val="16"/>
          <w:szCs w:val="16"/>
          <w:color w:val="0033A0"/>
        </w:rPr>
      </w:pPr>
      <w:r>
        <w:rPr>
          <w:rFonts w:ascii="Arial" w:cs="Arial" w:eastAsia="Arial" w:hAnsi="Arial"/>
          <w:sz w:val="16"/>
          <w:szCs w:val="16"/>
          <w:b w:val="1"/>
          <w:bCs w:val="1"/>
          <w:color w:val="0033A0"/>
        </w:rPr>
        <w:t xml:space="preserve">Clawback Provisions </w:t>
      </w:r>
      <w:r>
        <w:rPr>
          <w:rFonts w:ascii="Arial" w:cs="Arial" w:eastAsia="Arial" w:hAnsi="Arial"/>
          <w:sz w:val="16"/>
          <w:szCs w:val="16"/>
          <w:color w:val="000000"/>
        </w:rPr>
        <w:t>– All awards are subject to the Recoupment of Incentive Compensation policy as described below.</w:t>
      </w:r>
    </w:p>
    <w:p>
      <w:pPr>
        <w:spacing w:after="0" w:line="214"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In 2018, the Compensation Committee determined that our compensation programs have sufficient risk mitigation features and do not encourage or reward employees for engaging in excessive, imprudent, inappropriate, or unnecessary risk. Based on the Compensation Committee’s review, the Committee determined our compensation programs to be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6758305" cy="1282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16"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55</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40" w:hanging="430"/>
        <w:spacing w:after="0"/>
        <w:tabs>
          <w:tab w:leader="none" w:pos="640" w:val="left"/>
        </w:tabs>
        <w:numPr>
          <w:ilvl w:val="0"/>
          <w:numId w:val="102"/>
        </w:numPr>
        <w:rPr>
          <w:rFonts w:ascii="Arial" w:cs="Arial" w:eastAsia="Arial" w:hAnsi="Arial"/>
          <w:sz w:val="25"/>
          <w:szCs w:val="25"/>
          <w:color w:val="0033A0"/>
        </w:rPr>
      </w:pPr>
      <w:r>
        <w:rPr>
          <w:rFonts w:ascii="Arial" w:cs="Arial" w:eastAsia="Arial" w:hAnsi="Arial"/>
          <w:sz w:val="25"/>
          <w:szCs w:val="25"/>
          <w:color w:val="auto"/>
        </w:rPr>
        <w:t>Policy on Recoupment of Incentive Compensation</w:t>
      </w:r>
    </w:p>
    <w:p>
      <w:pPr>
        <w:spacing w:after="0" w:line="18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 xml:space="preserve">We have a corporate policy to recover incentive compensation paid to executive officers in cases where financial statements are restated because of employee fraud, negligence, or intentional misconduct. Under this clawback policy, posted on our website at </w:t>
      </w:r>
      <w:r>
        <w:rPr>
          <w:rFonts w:ascii="Arial" w:cs="Arial" w:eastAsia="Arial" w:hAnsi="Arial"/>
          <w:sz w:val="16"/>
          <w:szCs w:val="16"/>
          <w:i w:val="1"/>
          <w:iCs w:val="1"/>
          <w:color w:val="00A1DF"/>
        </w:rPr>
        <w:t>gm.com/investors/resources</w:t>
      </w:r>
      <w:r>
        <w:rPr>
          <w:rFonts w:ascii="Arial" w:cs="Arial" w:eastAsia="Arial" w:hAnsi="Arial"/>
          <w:sz w:val="16"/>
          <w:szCs w:val="16"/>
          <w:color w:val="auto"/>
        </w:rPr>
        <w:t>, if the Board or an appropriate Board Committee determines any bonus, retention award, or short or long-term incentive compensation has been paid to any executive officer based on materially inaccurate misstatement of earnings, revenues, gains, or other criteria, including reputational harm, the Board or Compensation Committee will take the action it deems necessary to recover the compensation paid, remedy the misconduct, and prevent its recurrence. For this purpose, a financial statement or performance metric will be treated as materially inaccurate when an employee knowingly engaged in providing inaccurate information or knowingly failed to timely correct information relating to those financial statements or performance metrics. We will continue to review our policy to ensure it is consistent with all legal requirements and in the best interests of the Company and its shareholders.</w:t>
      </w:r>
    </w:p>
    <w:p>
      <w:pPr>
        <w:spacing w:after="0" w:line="327" w:lineRule="exact"/>
        <w:rPr>
          <w:sz w:val="20"/>
          <w:szCs w:val="20"/>
          <w:color w:val="auto"/>
        </w:rPr>
      </w:pPr>
    </w:p>
    <w:p>
      <w:pPr>
        <w:ind w:left="640" w:hanging="430"/>
        <w:spacing w:after="0"/>
        <w:tabs>
          <w:tab w:leader="none" w:pos="640" w:val="left"/>
        </w:tabs>
        <w:numPr>
          <w:ilvl w:val="0"/>
          <w:numId w:val="103"/>
        </w:numPr>
        <w:rPr>
          <w:rFonts w:ascii="Arial" w:cs="Arial" w:eastAsia="Arial" w:hAnsi="Arial"/>
          <w:sz w:val="25"/>
          <w:szCs w:val="25"/>
          <w:color w:val="0033A0"/>
        </w:rPr>
      </w:pPr>
      <w:r>
        <w:rPr>
          <w:rFonts w:ascii="Arial" w:cs="Arial" w:eastAsia="Arial" w:hAnsi="Arial"/>
          <w:sz w:val="25"/>
          <w:szCs w:val="25"/>
          <w:color w:val="auto"/>
        </w:rPr>
        <w:t>Insider Trading Policy</w:t>
      </w:r>
    </w:p>
    <w:p>
      <w:pPr>
        <w:spacing w:after="0" w:line="199"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Our insider trading policy prohibits our employees from buying or selling GM securities when in possession of material nonpublic information. Any sale or purchase of common stock by directors, executive officers, and all other senior leaders must be made during pre-established periods after receiving preclearance by a member of the GM Legal Staff or according to the preapproved Rule 10b5-1 plan.</w:t>
      </w:r>
    </w:p>
    <w:p>
      <w:pPr>
        <w:spacing w:after="0" w:line="93"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 xml:space="preserve">Trading in GM derivatives (i.e., puts or calls), engaging in short sales, and pledging of GM securities is also prohibited. All GM executive officers are in compliance with the policy of not pledging any shares of common stock. This policy is posted on our website at </w:t>
      </w:r>
      <w:r>
        <w:rPr>
          <w:rFonts w:ascii="Arial" w:cs="Arial" w:eastAsia="Arial" w:hAnsi="Arial"/>
          <w:sz w:val="16"/>
          <w:szCs w:val="16"/>
          <w:i w:val="1"/>
          <w:iCs w:val="1"/>
          <w:color w:val="00A1DF"/>
        </w:rPr>
        <w:t>gm.com/investors/resources.</w:t>
      </w:r>
    </w:p>
    <w:p>
      <w:pPr>
        <w:spacing w:after="0" w:line="316" w:lineRule="exact"/>
        <w:rPr>
          <w:sz w:val="20"/>
          <w:szCs w:val="20"/>
          <w:color w:val="auto"/>
        </w:rPr>
      </w:pPr>
    </w:p>
    <w:p>
      <w:pPr>
        <w:ind w:left="640" w:hanging="430"/>
        <w:spacing w:after="0"/>
        <w:tabs>
          <w:tab w:leader="none" w:pos="640" w:val="left"/>
        </w:tabs>
        <w:numPr>
          <w:ilvl w:val="0"/>
          <w:numId w:val="104"/>
        </w:numPr>
        <w:rPr>
          <w:rFonts w:ascii="Arial" w:cs="Arial" w:eastAsia="Arial" w:hAnsi="Arial"/>
          <w:sz w:val="25"/>
          <w:szCs w:val="25"/>
          <w:color w:val="0033A0"/>
        </w:rPr>
      </w:pPr>
      <w:r>
        <w:rPr>
          <w:rFonts w:ascii="Arial" w:cs="Arial" w:eastAsia="Arial" w:hAnsi="Arial"/>
          <w:sz w:val="25"/>
          <w:szCs w:val="25"/>
          <w:color w:val="auto"/>
        </w:rPr>
        <w:t>Tax Considerations</w:t>
      </w:r>
    </w:p>
    <w:p>
      <w:pPr>
        <w:spacing w:after="0" w:line="18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In tax years commencing prior to January 1, 2018, Internal Revenue Code (“IRC”) Section 162(m) generally disallowed federal tax deductions for compensation in excess of $1 million paid to the CEO and the next three highest-paid officers (other than the CFO) (collectively the “Covered Executives”). The Tax Cuts and Jobs Act, enacted on December 22, 2017, substantially modified IRC Section 162(m) and, among other things, eliminated the performance-based compensation exception to the $1 million deduction limit effective as of January 1, 2018. As a result, beginning in 2018, compensation paid to Covered Executives in excess of $1 million will generally be nondeductible, whether or not it is performance-based. In addition, beginning in 2018, the Covered Executives include any individual who served as the CEO or CFO at any time during the taxable year and the next three highest paid officers (other than the CEO and CFO) for the taxable year, and once an individual becomes a Covered Executive for any taxable year beginning after December 31, 2016, that individual will remain a Covered Executive for all future years, including following any termination of employment.</w:t>
      </w:r>
    </w:p>
    <w:p>
      <w:pPr>
        <w:spacing w:after="0" w:line="28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Tax Cuts and Jobs Act includes a transition relief rule pursuant to which the changes to IRC Section 162(m) described above will not apply to compensation payable pursuant to a written binding contract that was in effect on November 2, 2017, and is not materially modified after that date. To the extent it is applicable to our existing arrangements, the Compensation Committee may avail itself of this transition relief rule. Moreover, to maintain flexibility in attracting and retaining talented executives, the Compensation Committee does not limit its actions with respect to executive compensation to preserve deductibility under IRC Section 162(m) if the Compensation Committee determines that doing so is in the best interests of our shareholders.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56 </w:t>
      </w:r>
      <w:r>
        <w:rPr>
          <w:sz w:val="1"/>
          <w:szCs w:val="1"/>
          <w:color w:val="auto"/>
        </w:rPr>
        <w:drawing>
          <wp:inline distT="0" distB="0" distL="0" distR="0">
            <wp:extent cx="6852920" cy="14541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40" w:hanging="430"/>
        <w:spacing w:after="0"/>
        <w:tabs>
          <w:tab w:leader="none" w:pos="640" w:val="left"/>
        </w:tabs>
        <w:numPr>
          <w:ilvl w:val="0"/>
          <w:numId w:val="105"/>
        </w:numPr>
        <w:rPr>
          <w:rFonts w:ascii="Arial" w:cs="Arial" w:eastAsia="Arial" w:hAnsi="Arial"/>
          <w:sz w:val="25"/>
          <w:szCs w:val="25"/>
          <w:color w:val="0033A0"/>
        </w:rPr>
      </w:pPr>
      <w:r>
        <w:rPr>
          <w:rFonts w:ascii="Arial" w:cs="Arial" w:eastAsia="Arial" w:hAnsi="Arial"/>
          <w:sz w:val="25"/>
          <w:szCs w:val="25"/>
          <w:color w:val="auto"/>
        </w:rPr>
        <w:t>Compensation Committee and Consultant Independence</w:t>
      </w:r>
    </w:p>
    <w:p>
      <w:pPr>
        <w:spacing w:after="0" w:line="18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Our Compensation Committee is composed entirely of independent directors as determined by the Board under NYSE standards and as defined for various regulatory purposes. Farient Advisors assisted the Compensation Committee in 2018. Farient Advisors is an independent compensation consulting firm that takes direction from and is solely responsible to the Compensation Committee. The Compensation Committee is also aided in its deliberations by in-house legal counsel.</w:t>
      </w:r>
    </w:p>
    <w:p>
      <w:pPr>
        <w:spacing w:after="0" w:line="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Under its charter, the Compensation Committee has the authority to hire outside consultants and advisors at the Company’s expense. The Compensation Committee retains the services of Farient Advisors for advice on issues related to the compensation of NEOs and other executive compensation-related matters. A representative of Farient Advisors attended all Compensation Committee meetings, either in person or via telephone, consulted with and advised the Compensation Committee members on executive compensation, including the structure and amounts of various pay elements, and developed executive benchmarking data for the Compensation Committee. Farient Advisors provided no services to the Company’s management.</w:t>
      </w:r>
    </w:p>
    <w:p>
      <w:pPr>
        <w:spacing w:after="0" w:line="98"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The Compensation Committee annually reviews the performance of the compensation consultant and considers the following factors when assessing consultant independence in accordance with NYSE standards:</w:t>
      </w:r>
    </w:p>
    <w:p>
      <w:pPr>
        <w:spacing w:after="0" w:line="100" w:lineRule="exact"/>
        <w:rPr>
          <w:sz w:val="20"/>
          <w:szCs w:val="20"/>
          <w:color w:val="auto"/>
        </w:rPr>
      </w:pPr>
    </w:p>
    <w:p>
      <w:pPr>
        <w:ind w:left="420" w:hanging="210"/>
        <w:spacing w:after="0"/>
        <w:tabs>
          <w:tab w:leader="none" w:pos="420" w:val="left"/>
        </w:tabs>
        <w:numPr>
          <w:ilvl w:val="0"/>
          <w:numId w:val="106"/>
        </w:numPr>
        <w:rPr>
          <w:rFonts w:ascii="Arial" w:cs="Arial" w:eastAsia="Arial" w:hAnsi="Arial"/>
          <w:sz w:val="16"/>
          <w:szCs w:val="16"/>
          <w:color w:val="0033A0"/>
        </w:rPr>
      </w:pPr>
      <w:r>
        <w:rPr>
          <w:rFonts w:ascii="Arial" w:cs="Arial" w:eastAsia="Arial" w:hAnsi="Arial"/>
          <w:sz w:val="16"/>
          <w:szCs w:val="16"/>
          <w:color w:val="auto"/>
        </w:rPr>
        <w:t>Services provided to GM management outside the services provided to the Compensation Committee;</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106"/>
        </w:numPr>
        <w:rPr>
          <w:rFonts w:ascii="Arial" w:cs="Arial" w:eastAsia="Arial" w:hAnsi="Arial"/>
          <w:sz w:val="16"/>
          <w:szCs w:val="16"/>
          <w:color w:val="0033A0"/>
        </w:rPr>
      </w:pPr>
      <w:r>
        <w:rPr>
          <w:rFonts w:ascii="Arial" w:cs="Arial" w:eastAsia="Arial" w:hAnsi="Arial"/>
          <w:sz w:val="16"/>
          <w:szCs w:val="16"/>
          <w:color w:val="auto"/>
        </w:rPr>
        <w:t>Fees paid as a percentage of Farient Advisors’ total revenue;</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106"/>
        </w:numPr>
        <w:rPr>
          <w:rFonts w:ascii="Arial" w:cs="Arial" w:eastAsia="Arial" w:hAnsi="Arial"/>
          <w:sz w:val="16"/>
          <w:szCs w:val="16"/>
          <w:color w:val="0033A0"/>
        </w:rPr>
      </w:pPr>
      <w:r>
        <w:rPr>
          <w:rFonts w:ascii="Arial" w:cs="Arial" w:eastAsia="Arial" w:hAnsi="Arial"/>
          <w:sz w:val="16"/>
          <w:szCs w:val="16"/>
          <w:color w:val="auto"/>
        </w:rPr>
        <w:t>Policies and procedures of Farient Advisors designed to prevent conflicts of interest;</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106"/>
        </w:numPr>
        <w:rPr>
          <w:rFonts w:ascii="Arial" w:cs="Arial" w:eastAsia="Arial" w:hAnsi="Arial"/>
          <w:sz w:val="16"/>
          <w:szCs w:val="16"/>
          <w:color w:val="0033A0"/>
        </w:rPr>
      </w:pPr>
      <w:r>
        <w:rPr>
          <w:rFonts w:ascii="Arial" w:cs="Arial" w:eastAsia="Arial" w:hAnsi="Arial"/>
          <w:sz w:val="16"/>
          <w:szCs w:val="16"/>
          <w:color w:val="auto"/>
        </w:rPr>
        <w:t>Any business or personal relationships between members of the Compensation Committee and Farient Advisors;</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106"/>
        </w:numPr>
        <w:rPr>
          <w:rFonts w:ascii="Arial" w:cs="Arial" w:eastAsia="Arial" w:hAnsi="Arial"/>
          <w:sz w:val="16"/>
          <w:szCs w:val="16"/>
          <w:color w:val="0033A0"/>
        </w:rPr>
      </w:pPr>
      <w:r>
        <w:rPr>
          <w:rFonts w:ascii="Arial" w:cs="Arial" w:eastAsia="Arial" w:hAnsi="Arial"/>
          <w:sz w:val="16"/>
          <w:szCs w:val="16"/>
          <w:color w:val="auto"/>
        </w:rPr>
        <w:t>Stock ownership by employees of Farient Advisors; and</w:t>
      </w:r>
    </w:p>
    <w:p>
      <w:pPr>
        <w:spacing w:after="0" w:line="126" w:lineRule="exact"/>
        <w:rPr>
          <w:rFonts w:ascii="Arial" w:cs="Arial" w:eastAsia="Arial" w:hAnsi="Arial"/>
          <w:sz w:val="16"/>
          <w:szCs w:val="16"/>
          <w:color w:val="0033A0"/>
        </w:rPr>
      </w:pPr>
    </w:p>
    <w:p>
      <w:pPr>
        <w:ind w:left="420" w:hanging="210"/>
        <w:spacing w:after="0"/>
        <w:tabs>
          <w:tab w:leader="none" w:pos="420" w:val="left"/>
        </w:tabs>
        <w:numPr>
          <w:ilvl w:val="0"/>
          <w:numId w:val="106"/>
        </w:numPr>
        <w:rPr>
          <w:rFonts w:ascii="Arial" w:cs="Arial" w:eastAsia="Arial" w:hAnsi="Arial"/>
          <w:sz w:val="16"/>
          <w:szCs w:val="16"/>
          <w:color w:val="0033A0"/>
        </w:rPr>
      </w:pPr>
      <w:r>
        <w:rPr>
          <w:rFonts w:ascii="Arial" w:cs="Arial" w:eastAsia="Arial" w:hAnsi="Arial"/>
          <w:sz w:val="16"/>
          <w:szCs w:val="16"/>
          <w:color w:val="auto"/>
        </w:rPr>
        <w:t>Any business or personal relationships between GM and Farient Advisors.</w:t>
      </w:r>
    </w:p>
    <w:p>
      <w:pPr>
        <w:spacing w:after="0" w:line="113"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Compensation Committee reviewed the performance and independence of Farient Advisors and determined that Farient Advisors was independent based on the standards above.</w:t>
      </w:r>
    </w:p>
    <w:p>
      <w:pPr>
        <w:spacing w:after="0" w:line="316" w:lineRule="exact"/>
        <w:rPr>
          <w:sz w:val="20"/>
          <w:szCs w:val="20"/>
          <w:color w:val="auto"/>
        </w:rPr>
      </w:pPr>
    </w:p>
    <w:p>
      <w:pPr>
        <w:ind w:left="640" w:hanging="430"/>
        <w:spacing w:after="0"/>
        <w:tabs>
          <w:tab w:leader="none" w:pos="640" w:val="left"/>
        </w:tabs>
        <w:numPr>
          <w:ilvl w:val="0"/>
          <w:numId w:val="107"/>
        </w:numPr>
        <w:rPr>
          <w:rFonts w:ascii="Arial" w:cs="Arial" w:eastAsia="Arial" w:hAnsi="Arial"/>
          <w:sz w:val="25"/>
          <w:szCs w:val="25"/>
          <w:color w:val="0033A0"/>
        </w:rPr>
      </w:pPr>
      <w:r>
        <w:rPr>
          <w:rFonts w:ascii="Arial" w:cs="Arial" w:eastAsia="Arial" w:hAnsi="Arial"/>
          <w:sz w:val="25"/>
          <w:szCs w:val="25"/>
          <w:color w:val="auto"/>
        </w:rPr>
        <w:t>Employment and Termination Agreements</w:t>
      </w:r>
    </w:p>
    <w:p>
      <w:pPr>
        <w:spacing w:after="0" w:line="199"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Company has no employment or termination agreements with any of our 2018 NEOs. All NEOs participate in the General Motors LLC U.S. Executive Severance Program filed as an exhibit to the 2018 Form 10-K.</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Compensation Committee Report</w:t>
      </w:r>
    </w:p>
    <w:p>
      <w:pPr>
        <w:spacing w:after="0" w:line="294"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Compensation Committee has reviewed and discussed with management the CD&amp;A and, based on that review and discussion, has recommended to the Board of Directors that the CD&amp;A be included in this Proxy Statement and incorporated by reference into the GM 2018 Annual Report on Form 10-K.</w:t>
      </w:r>
    </w:p>
    <w:p>
      <w:pPr>
        <w:spacing w:after="0" w:line="175"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Compensation Committee*</w:t>
      </w:r>
    </w:p>
    <w:p>
      <w:pPr>
        <w:spacing w:after="0" w:line="146"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Carol M. Stephenson (Chair)</w:t>
      </w:r>
    </w:p>
    <w:p>
      <w:pPr>
        <w:spacing w:after="0" w:line="5"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Joseph Jimenez</w:t>
      </w:r>
    </w:p>
    <w:p>
      <w:pPr>
        <w:spacing w:after="0" w:line="5"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James J. Mulva</w:t>
      </w:r>
    </w:p>
    <w:p>
      <w:pPr>
        <w:spacing w:after="0" w:line="5"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Patricia F. Russo</w:t>
      </w:r>
    </w:p>
    <w:p>
      <w:pPr>
        <w:spacing w:after="0" w:line="129" w:lineRule="exact"/>
        <w:rPr>
          <w:sz w:val="20"/>
          <w:szCs w:val="20"/>
          <w:color w:val="auto"/>
        </w:rPr>
      </w:pPr>
    </w:p>
    <w:p>
      <w:pPr>
        <w:ind w:left="540" w:hanging="330"/>
        <w:spacing w:after="0"/>
        <w:tabs>
          <w:tab w:leader="none" w:pos="54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Wesley G. Bush was not a member of the Compensation Committee at the time the Committee approved its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100330</wp:posOffset>
            </wp:positionV>
            <wp:extent cx="6758305" cy="1282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43"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57</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Executive Compensation Tables</w:t>
      </w:r>
    </w:p>
    <w:p>
      <w:pPr>
        <w:spacing w:after="0" w:line="348" w:lineRule="exact"/>
        <w:rPr>
          <w:sz w:val="20"/>
          <w:szCs w:val="20"/>
          <w:color w:val="auto"/>
        </w:rPr>
      </w:pPr>
    </w:p>
    <w:p>
      <w:pPr>
        <w:ind w:left="640" w:hanging="430"/>
        <w:spacing w:after="0"/>
        <w:tabs>
          <w:tab w:leader="none" w:pos="640" w:val="left"/>
        </w:tabs>
        <w:numPr>
          <w:ilvl w:val="0"/>
          <w:numId w:val="109"/>
        </w:numPr>
        <w:rPr>
          <w:rFonts w:ascii="Arial" w:cs="Arial" w:eastAsia="Arial" w:hAnsi="Arial"/>
          <w:sz w:val="25"/>
          <w:szCs w:val="25"/>
          <w:color w:val="0033A0"/>
        </w:rPr>
      </w:pPr>
      <w:r>
        <w:rPr>
          <w:rFonts w:ascii="Arial" w:cs="Arial" w:eastAsia="Arial" w:hAnsi="Arial"/>
          <w:sz w:val="25"/>
          <w:szCs w:val="25"/>
          <w:color w:val="auto"/>
        </w:rPr>
        <w:t>Summary Compensation Table</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2200" w:type="dxa"/>
            <w:vAlign w:val="bottom"/>
            <w:tcBorders>
              <w:top w:val="single" w:sz="8" w:color="00A1DF"/>
            </w:tcBorders>
          </w:tcPr>
          <w:p>
            <w:pPr>
              <w:spacing w:after="0"/>
              <w:rPr>
                <w:sz w:val="14"/>
                <w:szCs w:val="14"/>
                <w:color w:val="auto"/>
              </w:rPr>
            </w:pPr>
          </w:p>
        </w:tc>
        <w:tc>
          <w:tcPr>
            <w:tcW w:w="580" w:type="dxa"/>
            <w:vAlign w:val="bottom"/>
            <w:tcBorders>
              <w:top w:val="single" w:sz="8" w:color="00A1DF"/>
            </w:tcBorders>
          </w:tcPr>
          <w:p>
            <w:pPr>
              <w:spacing w:after="0"/>
              <w:rPr>
                <w:sz w:val="14"/>
                <w:szCs w:val="14"/>
                <w:color w:val="auto"/>
              </w:rPr>
            </w:pPr>
          </w:p>
        </w:tc>
        <w:tc>
          <w:tcPr>
            <w:tcW w:w="840" w:type="dxa"/>
            <w:vAlign w:val="bottom"/>
            <w:tcBorders>
              <w:top w:val="single" w:sz="8" w:color="00A1DF"/>
            </w:tcBorders>
          </w:tcPr>
          <w:p>
            <w:pPr>
              <w:spacing w:after="0"/>
              <w:rPr>
                <w:sz w:val="14"/>
                <w:szCs w:val="14"/>
                <w:color w:val="auto"/>
              </w:rPr>
            </w:pPr>
          </w:p>
        </w:tc>
        <w:tc>
          <w:tcPr>
            <w:tcW w:w="660" w:type="dxa"/>
            <w:vAlign w:val="bottom"/>
            <w:tcBorders>
              <w:top w:val="single" w:sz="8" w:color="00A1DF"/>
            </w:tcBorders>
          </w:tcPr>
          <w:p>
            <w:pPr>
              <w:spacing w:after="0"/>
              <w:rPr>
                <w:sz w:val="14"/>
                <w:szCs w:val="14"/>
                <w:color w:val="auto"/>
              </w:rPr>
            </w:pPr>
          </w:p>
        </w:tc>
        <w:tc>
          <w:tcPr>
            <w:tcW w:w="660" w:type="dxa"/>
            <w:vAlign w:val="bottom"/>
            <w:tcBorders>
              <w:top w:val="single" w:sz="8" w:color="00A1DF"/>
            </w:tcBorders>
          </w:tcPr>
          <w:p>
            <w:pPr>
              <w:spacing w:after="0"/>
              <w:rPr>
                <w:sz w:val="14"/>
                <w:szCs w:val="14"/>
                <w:color w:val="auto"/>
              </w:rPr>
            </w:pPr>
          </w:p>
        </w:tc>
        <w:tc>
          <w:tcPr>
            <w:tcW w:w="240" w:type="dxa"/>
            <w:vAlign w:val="bottom"/>
            <w:tcBorders>
              <w:top w:val="single" w:sz="8" w:color="00A1DF"/>
            </w:tcBorders>
          </w:tcPr>
          <w:p>
            <w:pPr>
              <w:spacing w:after="0"/>
              <w:rPr>
                <w:sz w:val="14"/>
                <w:szCs w:val="14"/>
                <w:color w:val="auto"/>
              </w:rPr>
            </w:pPr>
          </w:p>
        </w:tc>
        <w:tc>
          <w:tcPr>
            <w:tcW w:w="640" w:type="dxa"/>
            <w:vAlign w:val="bottom"/>
            <w:tcBorders>
              <w:top w:val="single" w:sz="8" w:color="00A1DF"/>
            </w:tcBorders>
          </w:tcPr>
          <w:p>
            <w:pPr>
              <w:spacing w:after="0"/>
              <w:rPr>
                <w:sz w:val="14"/>
                <w:szCs w:val="14"/>
                <w:color w:val="auto"/>
              </w:rPr>
            </w:pPr>
          </w:p>
        </w:tc>
        <w:tc>
          <w:tcPr>
            <w:tcW w:w="240" w:type="dxa"/>
            <w:vAlign w:val="bottom"/>
            <w:tcBorders>
              <w:top w:val="single" w:sz="8" w:color="00A1DF"/>
            </w:tcBorders>
          </w:tcPr>
          <w:p>
            <w:pPr>
              <w:spacing w:after="0"/>
              <w:rPr>
                <w:sz w:val="14"/>
                <w:szCs w:val="14"/>
                <w:color w:val="auto"/>
              </w:rPr>
            </w:pPr>
          </w:p>
        </w:tc>
        <w:tc>
          <w:tcPr>
            <w:tcW w:w="1160" w:type="dxa"/>
            <w:vAlign w:val="bottom"/>
            <w:tcBorders>
              <w:top w:val="single" w:sz="8" w:color="00A1DF"/>
            </w:tcBorders>
          </w:tcPr>
          <w:p>
            <w:pPr>
              <w:spacing w:after="0"/>
              <w:rPr>
                <w:sz w:val="14"/>
                <w:szCs w:val="14"/>
                <w:color w:val="auto"/>
              </w:rPr>
            </w:pPr>
          </w:p>
        </w:tc>
        <w:tc>
          <w:tcPr>
            <w:tcW w:w="240" w:type="dxa"/>
            <w:vAlign w:val="bottom"/>
            <w:tcBorders>
              <w:top w:val="single" w:sz="8" w:color="00A1DF"/>
            </w:tcBorders>
          </w:tcPr>
          <w:p>
            <w:pPr>
              <w:spacing w:after="0"/>
              <w:rPr>
                <w:sz w:val="14"/>
                <w:szCs w:val="14"/>
                <w:color w:val="auto"/>
              </w:rPr>
            </w:pPr>
          </w:p>
        </w:tc>
        <w:tc>
          <w:tcPr>
            <w:tcW w:w="1220" w:type="dxa"/>
            <w:vAlign w:val="bottom"/>
            <w:tcBorders>
              <w:top w:val="single" w:sz="8" w:color="00A1DF"/>
            </w:tcBorders>
          </w:tcPr>
          <w:p>
            <w:pPr>
              <w:jc w:val="right"/>
              <w:ind w:right="13"/>
              <w:spacing w:after="0" w:line="167" w:lineRule="exact"/>
              <w:rPr>
                <w:sz w:val="20"/>
                <w:szCs w:val="20"/>
                <w:color w:val="auto"/>
              </w:rPr>
            </w:pPr>
            <w:r>
              <w:rPr>
                <w:rFonts w:ascii="Arial" w:cs="Arial" w:eastAsia="Arial" w:hAnsi="Arial"/>
                <w:sz w:val="15"/>
                <w:szCs w:val="15"/>
                <w:b w:val="1"/>
                <w:bCs w:val="1"/>
                <w:color w:val="00A1DF"/>
              </w:rPr>
              <w:t>Change in</w:t>
            </w:r>
          </w:p>
        </w:tc>
        <w:tc>
          <w:tcPr>
            <w:tcW w:w="1140" w:type="dxa"/>
            <w:vAlign w:val="bottom"/>
            <w:tcBorders>
              <w:top w:val="single" w:sz="8" w:color="00A1DF"/>
            </w:tcBorders>
          </w:tcPr>
          <w:p>
            <w:pPr>
              <w:spacing w:after="0"/>
              <w:rPr>
                <w:sz w:val="14"/>
                <w:szCs w:val="14"/>
                <w:color w:val="auto"/>
              </w:rPr>
            </w:pPr>
          </w:p>
        </w:tc>
        <w:tc>
          <w:tcPr>
            <w:tcW w:w="280" w:type="dxa"/>
            <w:vAlign w:val="bottom"/>
            <w:tcBorders>
              <w:top w:val="single" w:sz="8" w:color="00A1DF"/>
            </w:tcBorders>
          </w:tcPr>
          <w:p>
            <w:pPr>
              <w:spacing w:after="0"/>
              <w:rPr>
                <w:sz w:val="14"/>
                <w:szCs w:val="14"/>
                <w:color w:val="auto"/>
              </w:rPr>
            </w:pPr>
          </w:p>
        </w:tc>
        <w:tc>
          <w:tcPr>
            <w:tcW w:w="900" w:type="dxa"/>
            <w:vAlign w:val="bottom"/>
            <w:tcBorders>
              <w:top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13"/>
              <w:spacing w:after="0" w:line="162" w:lineRule="exact"/>
              <w:rPr>
                <w:sz w:val="20"/>
                <w:szCs w:val="20"/>
                <w:color w:val="auto"/>
              </w:rPr>
            </w:pPr>
            <w:r>
              <w:rPr>
                <w:rFonts w:ascii="Arial" w:cs="Arial" w:eastAsia="Arial" w:hAnsi="Arial"/>
                <w:sz w:val="15"/>
                <w:szCs w:val="15"/>
                <w:b w:val="1"/>
                <w:bCs w:val="1"/>
                <w:color w:val="00A1DF"/>
              </w:rPr>
              <w:t>Pension</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13"/>
              <w:spacing w:after="0" w:line="162" w:lineRule="exact"/>
              <w:rPr>
                <w:sz w:val="20"/>
                <w:szCs w:val="20"/>
                <w:color w:val="auto"/>
              </w:rPr>
            </w:pPr>
            <w:r>
              <w:rPr>
                <w:rFonts w:ascii="Arial" w:cs="Arial" w:eastAsia="Arial" w:hAnsi="Arial"/>
                <w:sz w:val="15"/>
                <w:szCs w:val="15"/>
                <w:b w:val="1"/>
                <w:bCs w:val="1"/>
                <w:color w:val="00A1DF"/>
              </w:rPr>
              <w:t>Value and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35"/>
              <w:spacing w:after="0" w:line="162" w:lineRule="exact"/>
              <w:rPr>
                <w:sz w:val="20"/>
                <w:szCs w:val="20"/>
                <w:color w:val="auto"/>
              </w:rPr>
            </w:pPr>
            <w:r>
              <w:rPr>
                <w:rFonts w:ascii="Arial" w:cs="Arial" w:eastAsia="Arial" w:hAnsi="Arial"/>
                <w:sz w:val="15"/>
                <w:szCs w:val="15"/>
                <w:b w:val="1"/>
                <w:bCs w:val="1"/>
                <w:color w:val="00A1DF"/>
              </w:rPr>
              <w:t>Nonequity</w:t>
            </w:r>
          </w:p>
        </w:tc>
        <w:tc>
          <w:tcPr>
            <w:tcW w:w="1220" w:type="dxa"/>
            <w:vAlign w:val="bottom"/>
          </w:tcPr>
          <w:p>
            <w:pPr>
              <w:jc w:val="right"/>
              <w:ind w:right="13"/>
              <w:spacing w:after="0" w:line="162" w:lineRule="exact"/>
              <w:rPr>
                <w:sz w:val="20"/>
                <w:szCs w:val="20"/>
                <w:color w:val="auto"/>
              </w:rPr>
            </w:pPr>
            <w:r>
              <w:rPr>
                <w:rFonts w:ascii="Arial" w:cs="Arial" w:eastAsia="Arial" w:hAnsi="Arial"/>
                <w:sz w:val="15"/>
                <w:szCs w:val="15"/>
                <w:b w:val="1"/>
                <w:bCs w:val="1"/>
                <w:color w:val="00A1DF"/>
              </w:rPr>
              <w:t>NQ Deferred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80"/>
              <w:spacing w:after="0" w:line="162" w:lineRule="exact"/>
              <w:rPr>
                <w:sz w:val="20"/>
                <w:szCs w:val="20"/>
                <w:color w:val="auto"/>
              </w:rPr>
            </w:pPr>
            <w:r>
              <w:rPr>
                <w:rFonts w:ascii="Arial" w:cs="Arial" w:eastAsia="Arial" w:hAnsi="Arial"/>
                <w:sz w:val="15"/>
                <w:szCs w:val="15"/>
                <w:b w:val="1"/>
                <w:bCs w:val="1"/>
                <w:color w:val="00A1DF"/>
              </w:rPr>
              <w:t>Name and</w:t>
            </w:r>
          </w:p>
        </w:tc>
        <w:tc>
          <w:tcPr>
            <w:tcW w:w="5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00A1DF"/>
              </w:rPr>
              <w:t>Salary</w:t>
            </w:r>
          </w:p>
        </w:tc>
        <w:tc>
          <w:tcPr>
            <w:tcW w:w="66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00A1DF"/>
              </w:rPr>
              <w:t>Bonus</w:t>
            </w:r>
          </w:p>
        </w:tc>
        <w:tc>
          <w:tcPr>
            <w:tcW w:w="900" w:type="dxa"/>
            <w:vAlign w:val="bottom"/>
            <w:gridSpan w:val="2"/>
          </w:tcPr>
          <w:p>
            <w:pPr>
              <w:jc w:val="right"/>
              <w:ind w:right="15"/>
              <w:spacing w:after="0" w:line="162" w:lineRule="exact"/>
              <w:rPr>
                <w:sz w:val="20"/>
                <w:szCs w:val="20"/>
                <w:color w:val="auto"/>
              </w:rPr>
            </w:pPr>
            <w:r>
              <w:rPr>
                <w:rFonts w:ascii="Arial" w:cs="Arial" w:eastAsia="Arial" w:hAnsi="Arial"/>
                <w:sz w:val="15"/>
                <w:szCs w:val="15"/>
                <w:b w:val="1"/>
                <w:bCs w:val="1"/>
                <w:color w:val="00A1DF"/>
              </w:rPr>
              <w:t>Stock</w:t>
            </w:r>
          </w:p>
        </w:tc>
        <w:tc>
          <w:tcPr>
            <w:tcW w:w="880" w:type="dxa"/>
            <w:vAlign w:val="bottom"/>
            <w:gridSpan w:val="2"/>
          </w:tcPr>
          <w:p>
            <w:pPr>
              <w:jc w:val="right"/>
              <w:ind w:right="9"/>
              <w:spacing w:after="0" w:line="162" w:lineRule="exact"/>
              <w:rPr>
                <w:sz w:val="20"/>
                <w:szCs w:val="20"/>
                <w:color w:val="auto"/>
              </w:rPr>
            </w:pPr>
            <w:r>
              <w:rPr>
                <w:rFonts w:ascii="Arial" w:cs="Arial" w:eastAsia="Arial" w:hAnsi="Arial"/>
                <w:sz w:val="15"/>
                <w:szCs w:val="15"/>
                <w:b w:val="1"/>
                <w:bCs w:val="1"/>
                <w:color w:val="00A1DF"/>
              </w:rPr>
              <w:t>Option</w:t>
            </w:r>
          </w:p>
        </w:tc>
        <w:tc>
          <w:tcPr>
            <w:tcW w:w="1400" w:type="dxa"/>
            <w:vAlign w:val="bottom"/>
            <w:gridSpan w:val="2"/>
          </w:tcPr>
          <w:p>
            <w:pPr>
              <w:jc w:val="right"/>
              <w:ind w:right="35"/>
              <w:spacing w:after="0" w:line="162" w:lineRule="exact"/>
              <w:rPr>
                <w:sz w:val="20"/>
                <w:szCs w:val="20"/>
                <w:color w:val="auto"/>
              </w:rPr>
            </w:pPr>
            <w:r>
              <w:rPr>
                <w:rFonts w:ascii="Arial" w:cs="Arial" w:eastAsia="Arial" w:hAnsi="Arial"/>
                <w:sz w:val="15"/>
                <w:szCs w:val="15"/>
                <w:b w:val="1"/>
                <w:bCs w:val="1"/>
                <w:color w:val="00A1DF"/>
              </w:rPr>
              <w:t>Incentive Plan</w:t>
            </w:r>
          </w:p>
        </w:tc>
        <w:tc>
          <w:tcPr>
            <w:tcW w:w="1220" w:type="dxa"/>
            <w:vAlign w:val="bottom"/>
          </w:tcPr>
          <w:p>
            <w:pPr>
              <w:jc w:val="right"/>
              <w:ind w:right="13"/>
              <w:spacing w:after="0" w:line="162" w:lineRule="exact"/>
              <w:rPr>
                <w:sz w:val="20"/>
                <w:szCs w:val="20"/>
                <w:color w:val="auto"/>
              </w:rPr>
            </w:pPr>
            <w:r>
              <w:rPr>
                <w:rFonts w:ascii="Arial" w:cs="Arial" w:eastAsia="Arial" w:hAnsi="Arial"/>
                <w:sz w:val="15"/>
                <w:szCs w:val="15"/>
                <w:b w:val="1"/>
                <w:bCs w:val="1"/>
                <w:color w:val="00A1DF"/>
              </w:rPr>
              <w:t>Compensation</w:t>
            </w:r>
          </w:p>
        </w:tc>
        <w:tc>
          <w:tcPr>
            <w:tcW w:w="1420" w:type="dxa"/>
            <w:vAlign w:val="bottom"/>
            <w:gridSpan w:val="2"/>
          </w:tcPr>
          <w:p>
            <w:pPr>
              <w:jc w:val="right"/>
              <w:ind w:right="55"/>
              <w:spacing w:after="0" w:line="162" w:lineRule="exact"/>
              <w:rPr>
                <w:sz w:val="20"/>
                <w:szCs w:val="20"/>
                <w:color w:val="auto"/>
              </w:rPr>
            </w:pPr>
            <w:r>
              <w:rPr>
                <w:rFonts w:ascii="Arial" w:cs="Arial" w:eastAsia="Arial" w:hAnsi="Arial"/>
                <w:sz w:val="15"/>
                <w:szCs w:val="15"/>
                <w:b w:val="1"/>
                <w:bCs w:val="1"/>
                <w:color w:val="00A1DF"/>
              </w:rPr>
              <w:t>All Other</w:t>
            </w: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00A1DF"/>
              </w:rPr>
              <w:t>Total</w:t>
            </w:r>
          </w:p>
        </w:tc>
        <w:tc>
          <w:tcPr>
            <w:tcW w:w="0" w:type="dxa"/>
            <w:vAlign w:val="bottom"/>
          </w:tcPr>
          <w:p>
            <w:pPr>
              <w:spacing w:after="0"/>
              <w:rPr>
                <w:sz w:val="1"/>
                <w:szCs w:val="1"/>
                <w:color w:val="auto"/>
              </w:rPr>
            </w:pPr>
          </w:p>
        </w:tc>
      </w:tr>
      <w:tr>
        <w:trPr>
          <w:trHeight w:val="25"/>
        </w:trPr>
        <w:tc>
          <w:tcPr>
            <w:tcW w:w="2200" w:type="dxa"/>
            <w:vAlign w:val="bottom"/>
          </w:tcPr>
          <w:p>
            <w:pPr>
              <w:ind w:left="80"/>
              <w:spacing w:after="0"/>
              <w:rPr>
                <w:sz w:val="20"/>
                <w:szCs w:val="20"/>
                <w:color w:val="auto"/>
              </w:rPr>
            </w:pPr>
            <w:r>
              <w:rPr>
                <w:rFonts w:ascii="Arial" w:cs="Arial" w:eastAsia="Arial" w:hAnsi="Arial"/>
                <w:sz w:val="2"/>
                <w:szCs w:val="2"/>
                <w:b w:val="1"/>
                <w:bCs w:val="1"/>
                <w:color w:val="00A1DF"/>
              </w:rPr>
              <w:t>Principal</w:t>
            </w:r>
          </w:p>
        </w:tc>
        <w:tc>
          <w:tcPr>
            <w:tcW w:w="5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60" w:type="dxa"/>
            <w:vAlign w:val="bottom"/>
          </w:tcPr>
          <w:p>
            <w:pPr>
              <w:ind w:left="120"/>
              <w:spacing w:after="0"/>
              <w:rPr>
                <w:sz w:val="20"/>
                <w:szCs w:val="20"/>
                <w:color w:val="auto"/>
              </w:rPr>
            </w:pPr>
            <w:r>
              <w:rPr>
                <w:rFonts w:ascii="Arial" w:cs="Arial" w:eastAsia="Arial" w:hAnsi="Arial"/>
                <w:sz w:val="2"/>
                <w:szCs w:val="2"/>
                <w:b w:val="1"/>
                <w:bCs w:val="1"/>
                <w:color w:val="00A1DF"/>
              </w:rPr>
              <w:t>Awards</w:t>
            </w:r>
          </w:p>
        </w:tc>
        <w:tc>
          <w:tcPr>
            <w:tcW w:w="24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00A1DF"/>
                <w:w w:val="87"/>
              </w:rPr>
              <w:t>(2)</w:t>
            </w:r>
          </w:p>
        </w:tc>
        <w:tc>
          <w:tcPr>
            <w:tcW w:w="640" w:type="dxa"/>
            <w:vAlign w:val="bottom"/>
          </w:tcPr>
          <w:p>
            <w:pPr>
              <w:ind w:left="100"/>
              <w:spacing w:after="0"/>
              <w:rPr>
                <w:sz w:val="20"/>
                <w:szCs w:val="20"/>
                <w:color w:val="auto"/>
              </w:rPr>
            </w:pPr>
            <w:r>
              <w:rPr>
                <w:rFonts w:ascii="Arial" w:cs="Arial" w:eastAsia="Arial" w:hAnsi="Arial"/>
                <w:sz w:val="2"/>
                <w:szCs w:val="2"/>
                <w:b w:val="1"/>
                <w:bCs w:val="1"/>
                <w:color w:val="00A1DF"/>
              </w:rPr>
              <w:t>Awards</w:t>
            </w:r>
          </w:p>
        </w:tc>
        <w:tc>
          <w:tcPr>
            <w:tcW w:w="24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00A1DF"/>
                <w:w w:val="87"/>
              </w:rPr>
              <w:t>(3)</w:t>
            </w:r>
          </w:p>
        </w:tc>
        <w:tc>
          <w:tcPr>
            <w:tcW w:w="1160" w:type="dxa"/>
            <w:vAlign w:val="bottom"/>
          </w:tcPr>
          <w:p>
            <w:pPr>
              <w:ind w:left="80"/>
              <w:spacing w:after="0"/>
              <w:rPr>
                <w:sz w:val="20"/>
                <w:szCs w:val="20"/>
                <w:color w:val="auto"/>
              </w:rPr>
            </w:pPr>
            <w:r>
              <w:rPr>
                <w:rFonts w:ascii="Arial" w:cs="Arial" w:eastAsia="Arial" w:hAnsi="Arial"/>
                <w:sz w:val="2"/>
                <w:szCs w:val="2"/>
                <w:b w:val="1"/>
                <w:bCs w:val="1"/>
                <w:color w:val="00A1DF"/>
              </w:rPr>
              <w:t>Compensation</w:t>
            </w:r>
          </w:p>
        </w:tc>
        <w:tc>
          <w:tcPr>
            <w:tcW w:w="24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00A1DF"/>
                <w:w w:val="75"/>
              </w:rPr>
              <w:t>(4)</w:t>
            </w:r>
          </w:p>
        </w:tc>
        <w:tc>
          <w:tcPr>
            <w:tcW w:w="1220" w:type="dxa"/>
            <w:vAlign w:val="bottom"/>
          </w:tcPr>
          <w:p>
            <w:pPr>
              <w:jc w:val="right"/>
              <w:ind w:right="173"/>
              <w:spacing w:after="0"/>
              <w:rPr>
                <w:sz w:val="20"/>
                <w:szCs w:val="20"/>
                <w:color w:val="auto"/>
              </w:rPr>
            </w:pPr>
            <w:r>
              <w:rPr>
                <w:rFonts w:ascii="Arial" w:cs="Arial" w:eastAsia="Arial" w:hAnsi="Arial"/>
                <w:sz w:val="2"/>
                <w:szCs w:val="2"/>
                <w:b w:val="1"/>
                <w:bCs w:val="1"/>
                <w:color w:val="00A1DF"/>
              </w:rPr>
              <w:t>Earnings</w:t>
            </w:r>
          </w:p>
        </w:tc>
        <w:tc>
          <w:tcPr>
            <w:tcW w:w="1140" w:type="dxa"/>
            <w:vAlign w:val="bottom"/>
          </w:tcPr>
          <w:p>
            <w:pPr>
              <w:ind w:left="80"/>
              <w:spacing w:after="0"/>
              <w:rPr>
                <w:sz w:val="20"/>
                <w:szCs w:val="20"/>
                <w:color w:val="auto"/>
              </w:rPr>
            </w:pPr>
            <w:r>
              <w:rPr>
                <w:rFonts w:ascii="Arial" w:cs="Arial" w:eastAsia="Arial" w:hAnsi="Arial"/>
                <w:sz w:val="2"/>
                <w:szCs w:val="2"/>
                <w:b w:val="1"/>
                <w:bCs w:val="1"/>
                <w:color w:val="00A1DF"/>
              </w:rPr>
              <w:t>Compensation</w:t>
            </w:r>
          </w:p>
        </w:tc>
        <w:tc>
          <w:tcPr>
            <w:tcW w:w="28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00A1DF"/>
                <w:w w:val="87"/>
              </w:rPr>
              <w:t>(6)</w:t>
            </w: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200" w:type="dxa"/>
            <w:vAlign w:val="bottom"/>
            <w:vMerge w:val="restart"/>
          </w:tcPr>
          <w:p>
            <w:pPr>
              <w:ind w:left="80"/>
              <w:spacing w:after="0" w:line="162" w:lineRule="exact"/>
              <w:rPr>
                <w:sz w:val="20"/>
                <w:szCs w:val="20"/>
                <w:color w:val="auto"/>
              </w:rPr>
            </w:pPr>
            <w:r>
              <w:rPr>
                <w:rFonts w:ascii="Arial" w:cs="Arial" w:eastAsia="Arial" w:hAnsi="Arial"/>
                <w:sz w:val="15"/>
                <w:szCs w:val="15"/>
                <w:b w:val="1"/>
                <w:bCs w:val="1"/>
                <w:color w:val="00A1DF"/>
              </w:rPr>
              <w:t>Position</w:t>
            </w:r>
          </w:p>
        </w:tc>
        <w:tc>
          <w:tcPr>
            <w:tcW w:w="580" w:type="dxa"/>
            <w:vAlign w:val="bottom"/>
            <w:vMerge w:val="restart"/>
          </w:tcPr>
          <w:p>
            <w:pPr>
              <w:ind w:left="160"/>
              <w:spacing w:after="0" w:line="162" w:lineRule="exact"/>
              <w:rPr>
                <w:sz w:val="20"/>
                <w:szCs w:val="20"/>
                <w:color w:val="auto"/>
              </w:rPr>
            </w:pPr>
            <w:r>
              <w:rPr>
                <w:rFonts w:ascii="Arial" w:cs="Arial" w:eastAsia="Arial" w:hAnsi="Arial"/>
                <w:sz w:val="15"/>
                <w:szCs w:val="15"/>
                <w:b w:val="1"/>
                <w:bCs w:val="1"/>
                <w:color w:val="00A1DF"/>
              </w:rPr>
              <w:t>Year</w:t>
            </w:r>
          </w:p>
        </w:tc>
        <w:tc>
          <w:tcPr>
            <w:tcW w:w="840" w:type="dxa"/>
            <w:vAlign w:val="bottom"/>
            <w:vMerge w:val="restart"/>
          </w:tcPr>
          <w:p>
            <w:pPr>
              <w:jc w:val="right"/>
              <w:ind w:right="28"/>
              <w:spacing w:after="0" w:line="162" w:lineRule="exact"/>
              <w:rPr>
                <w:sz w:val="20"/>
                <w:szCs w:val="20"/>
                <w:color w:val="auto"/>
              </w:rPr>
            </w:pPr>
            <w:r>
              <w:rPr>
                <w:rFonts w:ascii="Arial" w:cs="Arial" w:eastAsia="Arial" w:hAnsi="Arial"/>
                <w:sz w:val="15"/>
                <w:szCs w:val="15"/>
                <w:b w:val="1"/>
                <w:bCs w:val="1"/>
                <w:color w:val="00A1DF"/>
              </w:rPr>
              <w:t>($)</w:t>
            </w:r>
          </w:p>
        </w:tc>
        <w:tc>
          <w:tcPr>
            <w:tcW w:w="660" w:type="dxa"/>
            <w:vAlign w:val="bottom"/>
            <w:vMerge w:val="restart"/>
          </w:tcPr>
          <w:p>
            <w:pPr>
              <w:jc w:val="right"/>
              <w:ind w:right="28"/>
              <w:spacing w:after="0" w:line="162" w:lineRule="exact"/>
              <w:rPr>
                <w:sz w:val="20"/>
                <w:szCs w:val="20"/>
                <w:color w:val="auto"/>
              </w:rPr>
            </w:pPr>
            <w:r>
              <w:rPr>
                <w:rFonts w:ascii="Arial" w:cs="Arial" w:eastAsia="Arial" w:hAnsi="Arial"/>
                <w:sz w:val="15"/>
                <w:szCs w:val="15"/>
                <w:b w:val="1"/>
                <w:bCs w:val="1"/>
                <w:color w:val="00A1DF"/>
              </w:rPr>
              <w:t>($)</w:t>
            </w:r>
          </w:p>
        </w:tc>
        <w:tc>
          <w:tcPr>
            <w:tcW w:w="6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220" w:type="dxa"/>
            <w:vAlign w:val="bottom"/>
          </w:tcPr>
          <w:p>
            <w:pPr>
              <w:jc w:val="right"/>
              <w:ind w:right="13"/>
              <w:spacing w:after="0" w:line="137" w:lineRule="exact"/>
              <w:rPr>
                <w:sz w:val="20"/>
                <w:szCs w:val="20"/>
                <w:color w:val="auto"/>
              </w:rPr>
            </w:pPr>
            <w:r>
              <w:rPr>
                <w:rFonts w:ascii="Arial" w:cs="Arial" w:eastAsia="Arial" w:hAnsi="Arial"/>
                <w:sz w:val="13"/>
                <w:szCs w:val="13"/>
                <w:b w:val="1"/>
                <w:bCs w:val="1"/>
                <w:color w:val="00A1DF"/>
              </w:rPr>
              <w:t>(5)</w:t>
            </w:r>
          </w:p>
        </w:tc>
        <w:tc>
          <w:tcPr>
            <w:tcW w:w="11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900" w:type="dxa"/>
            <w:vAlign w:val="bottom"/>
            <w:vMerge w:val="restart"/>
          </w:tcPr>
          <w:p>
            <w:pPr>
              <w:jc w:val="right"/>
              <w:ind w:right="8"/>
              <w:spacing w:after="0" w:line="162" w:lineRule="exact"/>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25"/>
        </w:trPr>
        <w:tc>
          <w:tcPr>
            <w:tcW w:w="220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gridSpan w:val="2"/>
          </w:tcPr>
          <w:p>
            <w:pPr>
              <w:jc w:val="right"/>
              <w:ind w:right="15"/>
              <w:spacing w:after="0"/>
              <w:rPr>
                <w:sz w:val="20"/>
                <w:szCs w:val="20"/>
                <w:color w:val="auto"/>
              </w:rPr>
            </w:pPr>
            <w:r>
              <w:rPr>
                <w:rFonts w:ascii="Arial" w:cs="Arial" w:eastAsia="Arial" w:hAnsi="Arial"/>
                <w:sz w:val="2"/>
                <w:szCs w:val="2"/>
                <w:b w:val="1"/>
                <w:bCs w:val="1"/>
                <w:color w:val="00A1DF"/>
              </w:rPr>
              <w:t>($)</w:t>
            </w:r>
          </w:p>
        </w:tc>
        <w:tc>
          <w:tcPr>
            <w:tcW w:w="880" w:type="dxa"/>
            <w:vAlign w:val="bottom"/>
            <w:gridSpan w:val="2"/>
          </w:tcPr>
          <w:p>
            <w:pPr>
              <w:jc w:val="right"/>
              <w:ind w:right="9"/>
              <w:spacing w:after="0"/>
              <w:rPr>
                <w:sz w:val="20"/>
                <w:szCs w:val="20"/>
                <w:color w:val="auto"/>
              </w:rPr>
            </w:pPr>
            <w:r>
              <w:rPr>
                <w:rFonts w:ascii="Arial" w:cs="Arial" w:eastAsia="Arial" w:hAnsi="Arial"/>
                <w:sz w:val="2"/>
                <w:szCs w:val="2"/>
                <w:b w:val="1"/>
                <w:bCs w:val="1"/>
                <w:color w:val="00A1DF"/>
              </w:rPr>
              <w:t>($)</w:t>
            </w:r>
          </w:p>
        </w:tc>
        <w:tc>
          <w:tcPr>
            <w:tcW w:w="1400" w:type="dxa"/>
            <w:vAlign w:val="bottom"/>
            <w:gridSpan w:val="2"/>
          </w:tcPr>
          <w:p>
            <w:pPr>
              <w:jc w:val="right"/>
              <w:ind w:right="35"/>
              <w:spacing w:after="0"/>
              <w:rPr>
                <w:sz w:val="20"/>
                <w:szCs w:val="20"/>
                <w:color w:val="auto"/>
              </w:rPr>
            </w:pPr>
            <w:r>
              <w:rPr>
                <w:rFonts w:ascii="Arial" w:cs="Arial" w:eastAsia="Arial" w:hAnsi="Arial"/>
                <w:sz w:val="2"/>
                <w:szCs w:val="2"/>
                <w:b w:val="1"/>
                <w:bCs w:val="1"/>
                <w:color w:val="00A1DF"/>
              </w:rPr>
              <w:t>($)</w:t>
            </w:r>
          </w:p>
        </w:tc>
        <w:tc>
          <w:tcPr>
            <w:tcW w:w="1220" w:type="dxa"/>
            <w:vAlign w:val="bottom"/>
          </w:tcPr>
          <w:p>
            <w:pPr>
              <w:jc w:val="right"/>
              <w:ind w:right="13"/>
              <w:spacing w:after="0"/>
              <w:rPr>
                <w:sz w:val="20"/>
                <w:szCs w:val="20"/>
                <w:color w:val="auto"/>
              </w:rPr>
            </w:pPr>
            <w:r>
              <w:rPr>
                <w:rFonts w:ascii="Arial" w:cs="Arial" w:eastAsia="Arial" w:hAnsi="Arial"/>
                <w:sz w:val="2"/>
                <w:szCs w:val="2"/>
                <w:b w:val="1"/>
                <w:bCs w:val="1"/>
                <w:color w:val="00A1DF"/>
              </w:rPr>
              <w:t>($)</w:t>
            </w:r>
          </w:p>
        </w:tc>
        <w:tc>
          <w:tcPr>
            <w:tcW w:w="1420" w:type="dxa"/>
            <w:vAlign w:val="bottom"/>
            <w:gridSpan w:val="2"/>
          </w:tcPr>
          <w:p>
            <w:pPr>
              <w:jc w:val="right"/>
              <w:ind w:right="55"/>
              <w:spacing w:after="0"/>
              <w:rPr>
                <w:sz w:val="20"/>
                <w:szCs w:val="20"/>
                <w:color w:val="auto"/>
              </w:rPr>
            </w:pPr>
            <w:r>
              <w:rPr>
                <w:rFonts w:ascii="Arial" w:cs="Arial" w:eastAsia="Arial" w:hAnsi="Arial"/>
                <w:sz w:val="2"/>
                <w:szCs w:val="2"/>
                <w:b w:val="1"/>
                <w:bCs w:val="1"/>
                <w:color w:val="00A1DF"/>
              </w:rPr>
              <w:t>($)</w:t>
            </w: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200" w:type="dxa"/>
            <w:vAlign w:val="bottom"/>
            <w:tcBorders>
              <w:bottom w:val="single" w:sz="8" w:color="00A1DF"/>
            </w:tcBorders>
          </w:tcPr>
          <w:p>
            <w:pPr>
              <w:ind w:left="680"/>
              <w:spacing w:after="0"/>
              <w:rPr>
                <w:sz w:val="20"/>
                <w:szCs w:val="20"/>
                <w:color w:val="auto"/>
              </w:rPr>
            </w:pPr>
            <w:r>
              <w:rPr>
                <w:rFonts w:ascii="Arial" w:cs="Arial" w:eastAsia="Arial" w:hAnsi="Arial"/>
                <w:sz w:val="13"/>
                <w:szCs w:val="13"/>
                <w:b w:val="1"/>
                <w:bCs w:val="1"/>
                <w:color w:val="00A1DF"/>
              </w:rPr>
              <w:t>(1)</w:t>
            </w:r>
          </w:p>
        </w:tc>
        <w:tc>
          <w:tcPr>
            <w:tcW w:w="580" w:type="dxa"/>
            <w:vAlign w:val="bottom"/>
            <w:tcBorders>
              <w:bottom w:val="single" w:sz="8" w:color="00A1DF"/>
            </w:tcBorders>
          </w:tcPr>
          <w:p>
            <w:pPr>
              <w:spacing w:after="0"/>
              <w:rPr>
                <w:sz w:val="15"/>
                <w:szCs w:val="15"/>
                <w:color w:val="auto"/>
              </w:rPr>
            </w:pPr>
          </w:p>
        </w:tc>
        <w:tc>
          <w:tcPr>
            <w:tcW w:w="840" w:type="dxa"/>
            <w:vAlign w:val="bottom"/>
            <w:tcBorders>
              <w:bottom w:val="single" w:sz="8" w:color="00A1DF"/>
            </w:tcBorders>
          </w:tcPr>
          <w:p>
            <w:pPr>
              <w:spacing w:after="0"/>
              <w:rPr>
                <w:sz w:val="15"/>
                <w:szCs w:val="15"/>
                <w:color w:val="auto"/>
              </w:rPr>
            </w:pPr>
          </w:p>
        </w:tc>
        <w:tc>
          <w:tcPr>
            <w:tcW w:w="660" w:type="dxa"/>
            <w:vAlign w:val="bottom"/>
            <w:tcBorders>
              <w:bottom w:val="single" w:sz="8" w:color="00A1DF"/>
            </w:tcBorders>
          </w:tcPr>
          <w:p>
            <w:pPr>
              <w:spacing w:after="0"/>
              <w:rPr>
                <w:sz w:val="15"/>
                <w:szCs w:val="15"/>
                <w:color w:val="auto"/>
              </w:rPr>
            </w:pPr>
          </w:p>
        </w:tc>
        <w:tc>
          <w:tcPr>
            <w:tcW w:w="660" w:type="dxa"/>
            <w:vAlign w:val="bottom"/>
            <w:tcBorders>
              <w:bottom w:val="single" w:sz="8" w:color="00A1DF"/>
            </w:tcBorders>
          </w:tcPr>
          <w:p>
            <w:pPr>
              <w:spacing w:after="0"/>
              <w:rPr>
                <w:sz w:val="15"/>
                <w:szCs w:val="15"/>
                <w:color w:val="auto"/>
              </w:rPr>
            </w:pPr>
          </w:p>
        </w:tc>
        <w:tc>
          <w:tcPr>
            <w:tcW w:w="240" w:type="dxa"/>
            <w:vAlign w:val="bottom"/>
            <w:tcBorders>
              <w:bottom w:val="single" w:sz="8" w:color="00A1DF"/>
            </w:tcBorders>
          </w:tcPr>
          <w:p>
            <w:pPr>
              <w:spacing w:after="0"/>
              <w:rPr>
                <w:sz w:val="15"/>
                <w:szCs w:val="15"/>
                <w:color w:val="auto"/>
              </w:rPr>
            </w:pPr>
          </w:p>
        </w:tc>
        <w:tc>
          <w:tcPr>
            <w:tcW w:w="640" w:type="dxa"/>
            <w:vAlign w:val="bottom"/>
            <w:tcBorders>
              <w:bottom w:val="single" w:sz="8" w:color="00A1DF"/>
            </w:tcBorders>
          </w:tcPr>
          <w:p>
            <w:pPr>
              <w:spacing w:after="0"/>
              <w:rPr>
                <w:sz w:val="15"/>
                <w:szCs w:val="15"/>
                <w:color w:val="auto"/>
              </w:rPr>
            </w:pPr>
          </w:p>
        </w:tc>
        <w:tc>
          <w:tcPr>
            <w:tcW w:w="240" w:type="dxa"/>
            <w:vAlign w:val="bottom"/>
            <w:tcBorders>
              <w:bottom w:val="single" w:sz="8" w:color="00A1DF"/>
            </w:tcBorders>
          </w:tcPr>
          <w:p>
            <w:pPr>
              <w:spacing w:after="0"/>
              <w:rPr>
                <w:sz w:val="15"/>
                <w:szCs w:val="15"/>
                <w:color w:val="auto"/>
              </w:rPr>
            </w:pPr>
          </w:p>
        </w:tc>
        <w:tc>
          <w:tcPr>
            <w:tcW w:w="1160" w:type="dxa"/>
            <w:vAlign w:val="bottom"/>
            <w:tcBorders>
              <w:bottom w:val="single" w:sz="8" w:color="00A1DF"/>
            </w:tcBorders>
          </w:tcPr>
          <w:p>
            <w:pPr>
              <w:spacing w:after="0"/>
              <w:rPr>
                <w:sz w:val="15"/>
                <w:szCs w:val="15"/>
                <w:color w:val="auto"/>
              </w:rPr>
            </w:pPr>
          </w:p>
        </w:tc>
        <w:tc>
          <w:tcPr>
            <w:tcW w:w="240" w:type="dxa"/>
            <w:vAlign w:val="bottom"/>
            <w:tcBorders>
              <w:bottom w:val="single" w:sz="8" w:color="00A1DF"/>
            </w:tcBorders>
          </w:tcPr>
          <w:p>
            <w:pPr>
              <w:spacing w:after="0"/>
              <w:rPr>
                <w:sz w:val="15"/>
                <w:szCs w:val="15"/>
                <w:color w:val="auto"/>
              </w:rPr>
            </w:pPr>
          </w:p>
        </w:tc>
        <w:tc>
          <w:tcPr>
            <w:tcW w:w="1220" w:type="dxa"/>
            <w:vAlign w:val="bottom"/>
            <w:tcBorders>
              <w:bottom w:val="single" w:sz="8" w:color="00A1DF"/>
            </w:tcBorders>
          </w:tcPr>
          <w:p>
            <w:pPr>
              <w:spacing w:after="0"/>
              <w:rPr>
                <w:sz w:val="15"/>
                <w:szCs w:val="15"/>
                <w:color w:val="auto"/>
              </w:rPr>
            </w:pPr>
          </w:p>
        </w:tc>
        <w:tc>
          <w:tcPr>
            <w:tcW w:w="1140" w:type="dxa"/>
            <w:vAlign w:val="bottom"/>
            <w:tcBorders>
              <w:bottom w:val="single" w:sz="8" w:color="00A1DF"/>
            </w:tcBorders>
          </w:tcPr>
          <w:p>
            <w:pPr>
              <w:spacing w:after="0"/>
              <w:rPr>
                <w:sz w:val="15"/>
                <w:szCs w:val="15"/>
                <w:color w:val="auto"/>
              </w:rPr>
            </w:pPr>
          </w:p>
        </w:tc>
        <w:tc>
          <w:tcPr>
            <w:tcW w:w="280" w:type="dxa"/>
            <w:vAlign w:val="bottom"/>
            <w:tcBorders>
              <w:bottom w:val="single" w:sz="8" w:color="00A1DF"/>
            </w:tcBorders>
          </w:tcPr>
          <w:p>
            <w:pPr>
              <w:spacing w:after="0"/>
              <w:rPr>
                <w:sz w:val="15"/>
                <w:szCs w:val="15"/>
                <w:color w:val="auto"/>
              </w:rPr>
            </w:pPr>
          </w:p>
        </w:tc>
        <w:tc>
          <w:tcPr>
            <w:tcW w:w="900" w:type="dxa"/>
            <w:vAlign w:val="bottom"/>
            <w:tcBorders>
              <w:bottom w:val="single" w:sz="8" w:color="00A1D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Mary T. Barra</w:t>
            </w: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2,100,000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11,081,760</w:t>
            </w:r>
          </w:p>
        </w:tc>
        <w:tc>
          <w:tcPr>
            <w:tcW w:w="8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3,425,006</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4,452,000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811,684</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21,870,450</w:t>
            </w:r>
          </w:p>
        </w:tc>
        <w:tc>
          <w:tcPr>
            <w:tcW w:w="0" w:type="dxa"/>
            <w:vAlign w:val="bottom"/>
          </w:tcPr>
          <w:p>
            <w:pPr>
              <w:spacing w:after="0"/>
              <w:rPr>
                <w:sz w:val="1"/>
                <w:szCs w:val="1"/>
                <w:color w:val="auto"/>
              </w:rPr>
            </w:pPr>
          </w:p>
        </w:tc>
      </w:tr>
      <w:tr>
        <w:trPr>
          <w:trHeight w:val="89"/>
        </w:trPr>
        <w:tc>
          <w:tcPr>
            <w:tcW w:w="2200" w:type="dxa"/>
            <w:vAlign w:val="bottom"/>
            <w:vMerge w:val="restart"/>
          </w:tcPr>
          <w:p>
            <w:pPr>
              <w:ind w:left="60"/>
              <w:spacing w:after="0"/>
              <w:rPr>
                <w:sz w:val="20"/>
                <w:szCs w:val="20"/>
                <w:color w:val="auto"/>
              </w:rPr>
            </w:pPr>
            <w:r>
              <w:rPr>
                <w:rFonts w:ascii="Arial" w:cs="Arial" w:eastAsia="Arial" w:hAnsi="Arial"/>
                <w:sz w:val="14"/>
                <w:szCs w:val="14"/>
                <w:color w:val="auto"/>
              </w:rPr>
              <w:t>Chairman and Chief</w:t>
            </w:r>
          </w:p>
        </w:tc>
        <w:tc>
          <w:tcPr>
            <w:tcW w:w="58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1400" w:type="dxa"/>
            <w:vAlign w:val="bottom"/>
            <w:tcBorders>
              <w:bottom w:val="single" w:sz="8" w:color="auto"/>
            </w:tcBorders>
            <w:gridSpan w:val="2"/>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200" w:type="dxa"/>
            <w:vAlign w:val="bottom"/>
          </w:tcPr>
          <w:p>
            <w:pPr>
              <w:ind w:left="60"/>
              <w:spacing w:after="0"/>
              <w:rPr>
                <w:sz w:val="20"/>
                <w:szCs w:val="20"/>
                <w:color w:val="auto"/>
              </w:rPr>
            </w:pPr>
            <w:r>
              <w:rPr>
                <w:rFonts w:ascii="Arial" w:cs="Arial" w:eastAsia="Arial" w:hAnsi="Arial"/>
                <w:sz w:val="14"/>
                <w:szCs w:val="14"/>
                <w:color w:val="auto"/>
              </w:rPr>
              <w:t>Executive Officer</w:t>
            </w: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2,100,000</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rPr>
              <w:t>10,737,570</w:t>
            </w:r>
          </w:p>
        </w:tc>
        <w:tc>
          <w:tcPr>
            <w:tcW w:w="8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3,250,003</w:t>
            </w:r>
          </w:p>
        </w:tc>
        <w:tc>
          <w:tcPr>
            <w:tcW w:w="14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4,956,000</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52,792</w:t>
            </w:r>
          </w:p>
        </w:tc>
        <w:tc>
          <w:tcPr>
            <w:tcW w:w="14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861,683</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21,958,048</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2,000,000</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rPr>
              <w:t>13,000,036</w:t>
            </w: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6,760,000</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181,777</w:t>
            </w:r>
          </w:p>
        </w:tc>
        <w:tc>
          <w:tcPr>
            <w:tcW w:w="14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640,246</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22,582,059</w:t>
            </w:r>
          </w:p>
        </w:tc>
        <w:tc>
          <w:tcPr>
            <w:tcW w:w="0" w:type="dxa"/>
            <w:vAlign w:val="bottom"/>
          </w:tcPr>
          <w:p>
            <w:pPr>
              <w:spacing w:after="0"/>
              <w:rPr>
                <w:sz w:val="1"/>
                <w:szCs w:val="1"/>
                <w:color w:val="auto"/>
              </w:rPr>
            </w:pPr>
          </w:p>
        </w:tc>
      </w:tr>
      <w:tr>
        <w:trPr>
          <w:trHeight w:val="166"/>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Dhivya Suryadevara</w:t>
            </w:r>
          </w:p>
        </w:tc>
        <w:tc>
          <w:tcPr>
            <w:tcW w:w="580" w:type="dxa"/>
            <w:vAlign w:val="bottom"/>
          </w:tcPr>
          <w:p>
            <w:pPr>
              <w:ind w:left="160"/>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668,100</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5"/>
              <w:spacing w:after="0"/>
              <w:rPr>
                <w:sz w:val="20"/>
                <w:szCs w:val="20"/>
                <w:color w:val="auto"/>
              </w:rPr>
            </w:pPr>
            <w:r>
              <w:rPr>
                <w:rFonts w:ascii="Arial" w:cs="Arial" w:eastAsia="Arial" w:hAnsi="Arial"/>
                <w:sz w:val="14"/>
                <w:szCs w:val="14"/>
                <w:color w:val="auto"/>
              </w:rPr>
              <w:t>2,446,635</w:t>
            </w: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796,263</w:t>
            </w:r>
          </w:p>
        </w:tc>
        <w:tc>
          <w:tcPr>
            <w:tcW w:w="1400" w:type="dxa"/>
            <w:vAlign w:val="bottom"/>
            <w:gridSpan w:val="2"/>
          </w:tcPr>
          <w:p>
            <w:pPr>
              <w:jc w:val="right"/>
              <w:ind w:right="35"/>
              <w:spacing w:after="0"/>
              <w:rPr>
                <w:sz w:val="20"/>
                <w:szCs w:val="20"/>
                <w:color w:val="auto"/>
              </w:rPr>
            </w:pPr>
            <w:r>
              <w:rPr>
                <w:rFonts w:ascii="Arial" w:cs="Arial" w:eastAsia="Arial" w:hAnsi="Arial"/>
                <w:sz w:val="14"/>
                <w:szCs w:val="14"/>
                <w:color w:val="auto"/>
              </w:rPr>
              <w:t>1,192,500</w:t>
            </w:r>
          </w:p>
        </w:tc>
        <w:tc>
          <w:tcPr>
            <w:tcW w:w="12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55"/>
              <w:spacing w:after="0"/>
              <w:rPr>
                <w:sz w:val="20"/>
                <w:szCs w:val="20"/>
                <w:color w:val="auto"/>
              </w:rPr>
            </w:pPr>
            <w:r>
              <w:rPr>
                <w:rFonts w:ascii="Arial" w:cs="Arial" w:eastAsia="Arial" w:hAnsi="Arial"/>
                <w:sz w:val="14"/>
                <w:szCs w:val="14"/>
                <w:color w:val="auto"/>
              </w:rPr>
              <w:t>402,592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5,506,090</w:t>
            </w:r>
          </w:p>
        </w:tc>
        <w:tc>
          <w:tcPr>
            <w:tcW w:w="0" w:type="dxa"/>
            <w:vAlign w:val="bottom"/>
          </w:tcPr>
          <w:p>
            <w:pPr>
              <w:spacing w:after="0"/>
              <w:rPr>
                <w:sz w:val="1"/>
                <w:szCs w:val="1"/>
                <w:color w:val="auto"/>
              </w:rPr>
            </w:pPr>
          </w:p>
        </w:tc>
      </w:tr>
      <w:tr>
        <w:trPr>
          <w:trHeight w:val="162"/>
        </w:trPr>
        <w:tc>
          <w:tcPr>
            <w:tcW w:w="2200" w:type="dxa"/>
            <w:vAlign w:val="bottom"/>
          </w:tcPr>
          <w:p>
            <w:pPr>
              <w:ind w:left="60"/>
              <w:spacing w:after="0"/>
              <w:rPr>
                <w:sz w:val="20"/>
                <w:szCs w:val="20"/>
                <w:color w:val="auto"/>
              </w:rPr>
            </w:pPr>
            <w:r>
              <w:rPr>
                <w:rFonts w:ascii="Arial" w:cs="Arial" w:eastAsia="Arial" w:hAnsi="Arial"/>
                <w:sz w:val="14"/>
                <w:szCs w:val="14"/>
                <w:color w:val="auto"/>
              </w:rPr>
              <w:t>Executive Vice President and</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Chief Financial Officer</w:t>
            </w: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Daniel Ammann</w:t>
            </w: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1,450,000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3,993,891</w:t>
            </w:r>
          </w:p>
        </w:tc>
        <w:tc>
          <w:tcPr>
            <w:tcW w:w="8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1,234,383</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1,921,300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372,307</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8,971,881</w:t>
            </w:r>
          </w:p>
        </w:tc>
        <w:tc>
          <w:tcPr>
            <w:tcW w:w="0" w:type="dxa"/>
            <w:vAlign w:val="bottom"/>
          </w:tcPr>
          <w:p>
            <w:pPr>
              <w:spacing w:after="0"/>
              <w:rPr>
                <w:sz w:val="1"/>
                <w:szCs w:val="1"/>
                <w:color w:val="auto"/>
              </w:rPr>
            </w:pPr>
          </w:p>
        </w:tc>
      </w:tr>
      <w:tr>
        <w:trPr>
          <w:trHeight w:val="89"/>
        </w:trPr>
        <w:tc>
          <w:tcPr>
            <w:tcW w:w="2200" w:type="dxa"/>
            <w:vAlign w:val="bottom"/>
            <w:vMerge w:val="restart"/>
          </w:tcPr>
          <w:p>
            <w:pPr>
              <w:ind w:left="60"/>
              <w:spacing w:after="0"/>
              <w:rPr>
                <w:sz w:val="20"/>
                <w:szCs w:val="20"/>
                <w:color w:val="auto"/>
              </w:rPr>
            </w:pPr>
            <w:r>
              <w:rPr>
                <w:rFonts w:ascii="Arial" w:cs="Arial" w:eastAsia="Arial" w:hAnsi="Arial"/>
                <w:sz w:val="14"/>
                <w:szCs w:val="14"/>
                <w:color w:val="auto"/>
              </w:rPr>
              <w:t>President</w:t>
            </w:r>
          </w:p>
        </w:tc>
        <w:tc>
          <w:tcPr>
            <w:tcW w:w="58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1400" w:type="dxa"/>
            <w:vAlign w:val="bottom"/>
            <w:tcBorders>
              <w:bottom w:val="single" w:sz="8" w:color="auto"/>
            </w:tcBorders>
            <w:gridSpan w:val="2"/>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00" w:type="dxa"/>
            <w:vAlign w:val="bottom"/>
            <w:vMerge w:val="continue"/>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1,450,000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4,078,222</w:t>
            </w:r>
          </w:p>
        </w:tc>
        <w:tc>
          <w:tcPr>
            <w:tcW w:w="8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1,234,378</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2,138,800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356,918</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9,258,318</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1,450,000</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rPr>
              <w:t>4,700,032</w:t>
            </w: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3,513,100</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560,852</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10,223,984</w:t>
            </w:r>
          </w:p>
        </w:tc>
        <w:tc>
          <w:tcPr>
            <w:tcW w:w="0" w:type="dxa"/>
            <w:vAlign w:val="bottom"/>
          </w:tcPr>
          <w:p>
            <w:pPr>
              <w:spacing w:after="0"/>
              <w:rPr>
                <w:sz w:val="1"/>
                <w:szCs w:val="1"/>
                <w:color w:val="auto"/>
              </w:rPr>
            </w:pPr>
          </w:p>
        </w:tc>
      </w:tr>
      <w:tr>
        <w:trPr>
          <w:trHeight w:val="166"/>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Mark L. Reuss</w:t>
            </w: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1,200,000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3,276,007</w:t>
            </w:r>
          </w:p>
        </w:tc>
        <w:tc>
          <w:tcPr>
            <w:tcW w:w="8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1,012,504</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1,590,000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277,579</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7,356,090</w:t>
            </w:r>
          </w:p>
        </w:tc>
        <w:tc>
          <w:tcPr>
            <w:tcW w:w="0" w:type="dxa"/>
            <w:vAlign w:val="bottom"/>
          </w:tcPr>
          <w:p>
            <w:pPr>
              <w:spacing w:after="0"/>
              <w:rPr>
                <w:sz w:val="1"/>
                <w:szCs w:val="1"/>
                <w:color w:val="auto"/>
              </w:rPr>
            </w:pPr>
          </w:p>
        </w:tc>
      </w:tr>
      <w:tr>
        <w:trPr>
          <w:trHeight w:val="89"/>
        </w:trPr>
        <w:tc>
          <w:tcPr>
            <w:tcW w:w="220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w:t>
            </w:r>
          </w:p>
        </w:tc>
        <w:tc>
          <w:tcPr>
            <w:tcW w:w="58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1400" w:type="dxa"/>
            <w:vAlign w:val="bottom"/>
            <w:tcBorders>
              <w:bottom w:val="single" w:sz="8" w:color="auto"/>
            </w:tcBorders>
            <w:gridSpan w:val="2"/>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60"/>
              <w:spacing w:after="0"/>
              <w:rPr>
                <w:sz w:val="20"/>
                <w:szCs w:val="20"/>
                <w:color w:val="auto"/>
              </w:rPr>
            </w:pPr>
            <w:r>
              <w:rPr>
                <w:rFonts w:ascii="Arial" w:cs="Arial" w:eastAsia="Arial" w:hAnsi="Arial"/>
                <w:sz w:val="14"/>
                <w:szCs w:val="14"/>
                <w:color w:val="auto"/>
              </w:rPr>
              <w:t>and President, Global</w:t>
            </w: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1,200,000</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5"/>
              <w:spacing w:after="0"/>
              <w:rPr>
                <w:sz w:val="20"/>
                <w:szCs w:val="20"/>
                <w:color w:val="auto"/>
              </w:rPr>
            </w:pPr>
            <w:r>
              <w:rPr>
                <w:rFonts w:ascii="Arial" w:cs="Arial" w:eastAsia="Arial" w:hAnsi="Arial"/>
                <w:sz w:val="14"/>
                <w:szCs w:val="14"/>
                <w:color w:val="auto"/>
              </w:rPr>
              <w:t>3,345,168</w:t>
            </w: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1,012,504</w:t>
            </w:r>
          </w:p>
        </w:tc>
        <w:tc>
          <w:tcPr>
            <w:tcW w:w="1400" w:type="dxa"/>
            <w:vAlign w:val="bottom"/>
            <w:gridSpan w:val="2"/>
          </w:tcPr>
          <w:p>
            <w:pPr>
              <w:jc w:val="right"/>
              <w:ind w:right="35"/>
              <w:spacing w:after="0"/>
              <w:rPr>
                <w:sz w:val="20"/>
                <w:szCs w:val="20"/>
                <w:color w:val="auto"/>
              </w:rPr>
            </w:pPr>
            <w:r>
              <w:rPr>
                <w:rFonts w:ascii="Arial" w:cs="Arial" w:eastAsia="Arial" w:hAnsi="Arial"/>
                <w:sz w:val="14"/>
                <w:szCs w:val="14"/>
                <w:color w:val="auto"/>
              </w:rPr>
              <w:t>1,770,000</w:t>
            </w:r>
          </w:p>
        </w:tc>
        <w:tc>
          <w:tcPr>
            <w:tcW w:w="1220" w:type="dxa"/>
            <w:vAlign w:val="bottom"/>
          </w:tcPr>
          <w:p>
            <w:pPr>
              <w:jc w:val="right"/>
              <w:ind w:right="13"/>
              <w:spacing w:after="0"/>
              <w:rPr>
                <w:sz w:val="20"/>
                <w:szCs w:val="20"/>
                <w:color w:val="auto"/>
              </w:rPr>
            </w:pPr>
            <w:r>
              <w:rPr>
                <w:rFonts w:ascii="Arial" w:cs="Arial" w:eastAsia="Arial" w:hAnsi="Arial"/>
                <w:sz w:val="14"/>
                <w:szCs w:val="14"/>
                <w:color w:val="auto"/>
              </w:rPr>
              <w:t>54,390</w:t>
            </w:r>
          </w:p>
        </w:tc>
        <w:tc>
          <w:tcPr>
            <w:tcW w:w="1420" w:type="dxa"/>
            <w:vAlign w:val="bottom"/>
            <w:gridSpan w:val="2"/>
          </w:tcPr>
          <w:p>
            <w:pPr>
              <w:jc w:val="right"/>
              <w:ind w:right="55"/>
              <w:spacing w:after="0"/>
              <w:rPr>
                <w:sz w:val="20"/>
                <w:szCs w:val="20"/>
                <w:color w:val="auto"/>
              </w:rPr>
            </w:pPr>
            <w:r>
              <w:rPr>
                <w:rFonts w:ascii="Arial" w:cs="Arial" w:eastAsia="Arial" w:hAnsi="Arial"/>
                <w:sz w:val="14"/>
                <w:szCs w:val="14"/>
                <w:color w:val="auto"/>
              </w:rPr>
              <w:t>344,446</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7,726,508</w:t>
            </w:r>
          </w:p>
        </w:tc>
        <w:tc>
          <w:tcPr>
            <w:tcW w:w="0" w:type="dxa"/>
            <w:vAlign w:val="bottom"/>
          </w:tcPr>
          <w:p>
            <w:pPr>
              <w:spacing w:after="0"/>
              <w:rPr>
                <w:sz w:val="1"/>
                <w:szCs w:val="1"/>
                <w:color w:val="auto"/>
              </w:rPr>
            </w:pPr>
          </w:p>
        </w:tc>
      </w:tr>
      <w:tr>
        <w:trPr>
          <w:trHeight w:val="36"/>
        </w:trPr>
        <w:tc>
          <w:tcPr>
            <w:tcW w:w="2200" w:type="dxa"/>
            <w:vAlign w:val="bottom"/>
            <w:vMerge w:val="restart"/>
          </w:tcPr>
          <w:p>
            <w:pPr>
              <w:ind w:left="60"/>
              <w:spacing w:after="0"/>
              <w:rPr>
                <w:sz w:val="20"/>
                <w:szCs w:val="20"/>
                <w:color w:val="auto"/>
              </w:rPr>
            </w:pPr>
            <w:r>
              <w:rPr>
                <w:rFonts w:ascii="Arial" w:cs="Arial" w:eastAsia="Arial" w:hAnsi="Arial"/>
                <w:sz w:val="14"/>
                <w:szCs w:val="14"/>
                <w:color w:val="auto"/>
              </w:rPr>
              <w:t>Product Group and Cadillac</w:t>
            </w: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20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2016</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1,200,000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3,900,018</w:t>
            </w:r>
          </w:p>
        </w:tc>
        <w:tc>
          <w:tcPr>
            <w:tcW w:w="640" w:type="dxa"/>
            <w:vAlign w:val="bottom"/>
          </w:tcPr>
          <w:p>
            <w:pPr>
              <w:spacing w:after="0"/>
              <w:rPr>
                <w:sz w:val="10"/>
                <w:szCs w:val="10"/>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w w:val="99"/>
              </w:rPr>
              <w:t>—</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2,905,000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134,777</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272,866</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8,412,661</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Alan S. Batey</w:t>
            </w: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1,025,000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2,178,894</w:t>
            </w:r>
          </w:p>
        </w:tc>
        <w:tc>
          <w:tcPr>
            <w:tcW w:w="8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673,429</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1,230,000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233,197</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5,340,520</w:t>
            </w:r>
          </w:p>
        </w:tc>
        <w:tc>
          <w:tcPr>
            <w:tcW w:w="0" w:type="dxa"/>
            <w:vAlign w:val="bottom"/>
          </w:tcPr>
          <w:p>
            <w:pPr>
              <w:spacing w:after="0"/>
              <w:rPr>
                <w:sz w:val="1"/>
                <w:szCs w:val="1"/>
                <w:color w:val="auto"/>
              </w:rPr>
            </w:pPr>
          </w:p>
        </w:tc>
      </w:tr>
      <w:tr>
        <w:trPr>
          <w:trHeight w:val="89"/>
        </w:trPr>
        <w:tc>
          <w:tcPr>
            <w:tcW w:w="220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w:t>
            </w:r>
          </w:p>
        </w:tc>
        <w:tc>
          <w:tcPr>
            <w:tcW w:w="58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1400" w:type="dxa"/>
            <w:vAlign w:val="bottom"/>
            <w:tcBorders>
              <w:bottom w:val="single" w:sz="8" w:color="auto"/>
            </w:tcBorders>
            <w:gridSpan w:val="2"/>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200" w:type="dxa"/>
            <w:vAlign w:val="bottom"/>
          </w:tcPr>
          <w:p>
            <w:pPr>
              <w:ind w:left="60"/>
              <w:spacing w:after="0"/>
              <w:rPr>
                <w:sz w:val="20"/>
                <w:szCs w:val="20"/>
                <w:color w:val="auto"/>
              </w:rPr>
            </w:pPr>
            <w:r>
              <w:rPr>
                <w:rFonts w:ascii="Arial" w:cs="Arial" w:eastAsia="Arial" w:hAnsi="Arial"/>
                <w:sz w:val="14"/>
                <w:szCs w:val="14"/>
                <w:color w:val="auto"/>
              </w:rPr>
              <w:t>and President, North America</w:t>
            </w: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1,025,000</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rPr>
              <w:t>2,224,928</w:t>
            </w:r>
          </w:p>
        </w:tc>
        <w:tc>
          <w:tcPr>
            <w:tcW w:w="8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673,426</w:t>
            </w:r>
          </w:p>
        </w:tc>
        <w:tc>
          <w:tcPr>
            <w:tcW w:w="14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1,447,800</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316,601</w:t>
            </w:r>
          </w:p>
        </w:tc>
        <w:tc>
          <w:tcPr>
            <w:tcW w:w="14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287,373</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5,975,128</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950,000</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rPr>
              <w:t>2,700,035</w:t>
            </w: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2,406,900</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133,151</w:t>
            </w:r>
          </w:p>
        </w:tc>
        <w:tc>
          <w:tcPr>
            <w:tcW w:w="14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225,078</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6,415,164</w:t>
            </w:r>
          </w:p>
        </w:tc>
        <w:tc>
          <w:tcPr>
            <w:tcW w:w="0" w:type="dxa"/>
            <w:vAlign w:val="bottom"/>
          </w:tcPr>
          <w:p>
            <w:pPr>
              <w:spacing w:after="0"/>
              <w:rPr>
                <w:sz w:val="1"/>
                <w:szCs w:val="1"/>
                <w:color w:val="auto"/>
              </w:rPr>
            </w:pPr>
          </w:p>
        </w:tc>
      </w:tr>
      <w:tr>
        <w:trPr>
          <w:trHeight w:val="166"/>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Charles K. Stevens, III</w:t>
            </w: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1,100,000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3,255,775</w:t>
            </w:r>
          </w:p>
        </w:tc>
        <w:tc>
          <w:tcPr>
            <w:tcW w:w="8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1,006,252</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1,320,000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257,153</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6,939,180</w:t>
            </w:r>
          </w:p>
        </w:tc>
        <w:tc>
          <w:tcPr>
            <w:tcW w:w="0" w:type="dxa"/>
            <w:vAlign w:val="bottom"/>
          </w:tcPr>
          <w:p>
            <w:pPr>
              <w:spacing w:after="0"/>
              <w:rPr>
                <w:sz w:val="1"/>
                <w:szCs w:val="1"/>
                <w:color w:val="auto"/>
              </w:rPr>
            </w:pPr>
          </w:p>
        </w:tc>
      </w:tr>
      <w:tr>
        <w:trPr>
          <w:trHeight w:val="89"/>
        </w:trPr>
        <w:tc>
          <w:tcPr>
            <w:tcW w:w="2200" w:type="dxa"/>
            <w:vAlign w:val="bottom"/>
            <w:vMerge w:val="restart"/>
          </w:tcPr>
          <w:p>
            <w:pPr>
              <w:ind w:left="60"/>
              <w:spacing w:after="0"/>
              <w:rPr>
                <w:sz w:val="20"/>
                <w:szCs w:val="20"/>
                <w:color w:val="auto"/>
              </w:rPr>
            </w:pPr>
            <w:r>
              <w:rPr>
                <w:rFonts w:ascii="Arial" w:cs="Arial" w:eastAsia="Arial" w:hAnsi="Arial"/>
                <w:sz w:val="14"/>
                <w:szCs w:val="14"/>
                <w:color w:val="auto"/>
              </w:rPr>
              <w:t>Advisor and Former</w:t>
            </w:r>
          </w:p>
        </w:tc>
        <w:tc>
          <w:tcPr>
            <w:tcW w:w="58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1400" w:type="dxa"/>
            <w:vAlign w:val="bottom"/>
            <w:tcBorders>
              <w:bottom w:val="single" w:sz="8" w:color="auto"/>
            </w:tcBorders>
            <w:gridSpan w:val="2"/>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60"/>
              <w:spacing w:after="0"/>
              <w:rPr>
                <w:sz w:val="20"/>
                <w:szCs w:val="20"/>
                <w:color w:val="auto"/>
              </w:rPr>
            </w:pPr>
            <w:r>
              <w:rPr>
                <w:rFonts w:ascii="Arial" w:cs="Arial" w:eastAsia="Arial" w:hAnsi="Arial"/>
                <w:sz w:val="14"/>
                <w:szCs w:val="14"/>
                <w:color w:val="auto"/>
              </w:rPr>
              <w:t>Executive Vice President and</w:t>
            </w: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1,100,000</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5"/>
              <w:spacing w:after="0"/>
              <w:rPr>
                <w:sz w:val="20"/>
                <w:szCs w:val="20"/>
                <w:color w:val="auto"/>
              </w:rPr>
            </w:pPr>
            <w:r>
              <w:rPr>
                <w:rFonts w:ascii="Arial" w:cs="Arial" w:eastAsia="Arial" w:hAnsi="Arial"/>
                <w:sz w:val="14"/>
                <w:szCs w:val="14"/>
                <w:color w:val="auto"/>
              </w:rPr>
              <w:t>3,076,744</w:t>
            </w: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931,251</w:t>
            </w:r>
          </w:p>
        </w:tc>
        <w:tc>
          <w:tcPr>
            <w:tcW w:w="1400" w:type="dxa"/>
            <w:vAlign w:val="bottom"/>
            <w:gridSpan w:val="2"/>
          </w:tcPr>
          <w:p>
            <w:pPr>
              <w:jc w:val="right"/>
              <w:ind w:right="35"/>
              <w:spacing w:after="0"/>
              <w:rPr>
                <w:sz w:val="20"/>
                <w:szCs w:val="20"/>
                <w:color w:val="auto"/>
              </w:rPr>
            </w:pPr>
            <w:r>
              <w:rPr>
                <w:rFonts w:ascii="Arial" w:cs="Arial" w:eastAsia="Arial" w:hAnsi="Arial"/>
                <w:sz w:val="14"/>
                <w:szCs w:val="14"/>
                <w:color w:val="auto"/>
              </w:rPr>
              <w:t>1,622,500</w:t>
            </w:r>
          </w:p>
        </w:tc>
        <w:tc>
          <w:tcPr>
            <w:tcW w:w="1220" w:type="dxa"/>
            <w:vAlign w:val="bottom"/>
          </w:tcPr>
          <w:p>
            <w:pPr>
              <w:jc w:val="right"/>
              <w:ind w:right="13"/>
              <w:spacing w:after="0"/>
              <w:rPr>
                <w:sz w:val="20"/>
                <w:szCs w:val="20"/>
                <w:color w:val="auto"/>
              </w:rPr>
            </w:pPr>
            <w:r>
              <w:rPr>
                <w:rFonts w:ascii="Arial" w:cs="Arial" w:eastAsia="Arial" w:hAnsi="Arial"/>
                <w:sz w:val="14"/>
                <w:szCs w:val="14"/>
                <w:color w:val="auto"/>
              </w:rPr>
              <w:t>54,114</w:t>
            </w:r>
          </w:p>
        </w:tc>
        <w:tc>
          <w:tcPr>
            <w:tcW w:w="1420" w:type="dxa"/>
            <w:vAlign w:val="bottom"/>
            <w:gridSpan w:val="2"/>
          </w:tcPr>
          <w:p>
            <w:pPr>
              <w:jc w:val="right"/>
              <w:ind w:right="55"/>
              <w:spacing w:after="0"/>
              <w:rPr>
                <w:sz w:val="20"/>
                <w:szCs w:val="20"/>
                <w:color w:val="auto"/>
              </w:rPr>
            </w:pPr>
            <w:r>
              <w:rPr>
                <w:rFonts w:ascii="Arial" w:cs="Arial" w:eastAsia="Arial" w:hAnsi="Arial"/>
                <w:sz w:val="14"/>
                <w:szCs w:val="14"/>
                <w:color w:val="auto"/>
              </w:rPr>
              <w:t>316,430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7,101,039</w:t>
            </w:r>
          </w:p>
        </w:tc>
        <w:tc>
          <w:tcPr>
            <w:tcW w:w="0" w:type="dxa"/>
            <w:vAlign w:val="bottom"/>
          </w:tcPr>
          <w:p>
            <w:pPr>
              <w:spacing w:after="0"/>
              <w:rPr>
                <w:sz w:val="1"/>
                <w:szCs w:val="1"/>
                <w:color w:val="auto"/>
              </w:rPr>
            </w:pPr>
          </w:p>
        </w:tc>
      </w:tr>
      <w:tr>
        <w:trPr>
          <w:trHeight w:val="36"/>
        </w:trPr>
        <w:tc>
          <w:tcPr>
            <w:tcW w:w="2200" w:type="dxa"/>
            <w:vAlign w:val="bottom"/>
            <w:vMerge w:val="restart"/>
          </w:tcPr>
          <w:p>
            <w:pPr>
              <w:ind w:left="60"/>
              <w:spacing w:after="0"/>
              <w:rPr>
                <w:sz w:val="20"/>
                <w:szCs w:val="20"/>
                <w:color w:val="auto"/>
              </w:rPr>
            </w:pPr>
            <w:r>
              <w:rPr>
                <w:rFonts w:ascii="Arial" w:cs="Arial" w:eastAsia="Arial" w:hAnsi="Arial"/>
                <w:sz w:val="14"/>
                <w:szCs w:val="14"/>
                <w:color w:val="auto"/>
              </w:rPr>
              <w:t>Chief Financial Officer</w:t>
            </w: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20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2016</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1,100,000</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4"/>
                <w:szCs w:val="14"/>
                <w:color w:val="auto"/>
              </w:rPr>
              <w:t>3,450,007</w:t>
            </w:r>
          </w:p>
        </w:tc>
        <w:tc>
          <w:tcPr>
            <w:tcW w:w="640" w:type="dxa"/>
            <w:vAlign w:val="bottom"/>
          </w:tcPr>
          <w:p>
            <w:pPr>
              <w:spacing w:after="0"/>
              <w:rPr>
                <w:sz w:val="10"/>
                <w:szCs w:val="10"/>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w w:val="99"/>
              </w:rPr>
              <w:t>—</w:t>
            </w: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2,673,800</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color w:val="auto"/>
              </w:rPr>
              <w:t>135,146</w:t>
            </w:r>
          </w:p>
        </w:tc>
        <w:tc>
          <w:tcPr>
            <w:tcW w:w="142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244,132</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7,603,085</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50165</wp:posOffset>
            </wp:positionV>
            <wp:extent cx="69894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1" w:lineRule="exact"/>
        <w:rPr>
          <w:sz w:val="20"/>
          <w:szCs w:val="20"/>
          <w:color w:val="auto"/>
        </w:rPr>
      </w:pPr>
    </w:p>
    <w:p>
      <w:pPr>
        <w:ind w:left="540" w:hanging="330"/>
        <w:spacing w:after="0" w:line="278" w:lineRule="auto"/>
        <w:tabs>
          <w:tab w:leader="none" w:pos="54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Titles reflect the NEO’s position as of December 31, 2018. Ms. Suryadevara first became a NEO in 2018. Mr. Stevens became an Advisor on September 1, 2018, and retired on March 1, 2019.</w:t>
      </w:r>
    </w:p>
    <w:p>
      <w:pPr>
        <w:spacing w:after="0" w:line="18" w:lineRule="exact"/>
        <w:rPr>
          <w:rFonts w:ascii="Arial" w:cs="Arial" w:eastAsia="Arial" w:hAnsi="Arial"/>
          <w:sz w:val="14"/>
          <w:szCs w:val="14"/>
          <w:i w:val="1"/>
          <w:iCs w:val="1"/>
          <w:color w:val="auto"/>
        </w:rPr>
      </w:pPr>
    </w:p>
    <w:p>
      <w:pPr>
        <w:jc w:val="both"/>
        <w:ind w:left="540" w:hanging="330"/>
        <w:spacing w:after="0" w:line="255" w:lineRule="auto"/>
        <w:tabs>
          <w:tab w:leader="none" w:pos="54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Stock Awards displays the grant date fair value of PSUs issued under the LTIP, computed in accordance with Financial Accounting Standards Board (“FASB”) Accounting Standards Codification (“ASC”) Topic 718. PSUs will vest based on GM’s performance against Relative ROIC-adjusted and Relative TSR. The maximum award for PSUs for the 2018–2020 performance period is 200% of PSUs granted. The assumptions used for the Monte Carlo analysis of the PSUs are summarized below:</w:t>
      </w:r>
    </w:p>
    <w:p>
      <w:pPr>
        <w:spacing w:after="0" w:line="362"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1740" w:type="dxa"/>
            <w:vAlign w:val="bottom"/>
            <w:tcBorders>
              <w:right w:val="single" w:sz="8" w:color="00A1DF"/>
            </w:tcBorders>
          </w:tcPr>
          <w:p>
            <w:pPr>
              <w:spacing w:after="0"/>
              <w:rPr>
                <w:sz w:val="15"/>
                <w:szCs w:val="15"/>
                <w:color w:val="auto"/>
              </w:rPr>
            </w:pPr>
          </w:p>
        </w:tc>
        <w:tc>
          <w:tcPr>
            <w:tcW w:w="1820" w:type="dxa"/>
            <w:vAlign w:val="bottom"/>
            <w:tcBorders>
              <w:right w:val="single" w:sz="8" w:color="00A1DF"/>
            </w:tcBorders>
          </w:tcPr>
          <w:p>
            <w:pPr>
              <w:spacing w:after="0"/>
              <w:rPr>
                <w:sz w:val="15"/>
                <w:szCs w:val="15"/>
                <w:color w:val="auto"/>
              </w:rPr>
            </w:pPr>
          </w:p>
        </w:tc>
        <w:tc>
          <w:tcPr>
            <w:tcW w:w="1820" w:type="dxa"/>
            <w:vAlign w:val="bottom"/>
            <w:tcBorders>
              <w:right w:val="single" w:sz="8" w:color="00A1DF"/>
            </w:tcBorders>
          </w:tcPr>
          <w:p>
            <w:pPr>
              <w:spacing w:after="0"/>
              <w:rPr>
                <w:sz w:val="15"/>
                <w:szCs w:val="15"/>
                <w:color w:val="auto"/>
              </w:rPr>
            </w:pP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Risk-Free Interest</w:t>
            </w:r>
          </w:p>
        </w:tc>
        <w:tc>
          <w:tcPr>
            <w:tcW w:w="1820" w:type="dxa"/>
            <w:vAlign w:val="bottom"/>
            <w:tcBorders>
              <w:right w:val="single" w:sz="8" w:color="00A1DF"/>
            </w:tcBorders>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i w:val="1"/>
                <w:iCs w:val="1"/>
                <w:color w:val="00A1DF"/>
              </w:rPr>
              <w:t>Valuation Price as a</w:t>
            </w:r>
          </w:p>
        </w:tc>
      </w:tr>
      <w:tr>
        <w:trPr>
          <w:trHeight w:val="189"/>
        </w:trPr>
        <w:tc>
          <w:tcPr>
            <w:tcW w:w="1740" w:type="dxa"/>
            <w:vAlign w:val="bottom"/>
            <w:tcBorders>
              <w:bottom w:val="single" w:sz="8" w:color="00A1DF"/>
              <w:right w:val="single" w:sz="8" w:color="00A1DF"/>
            </w:tcBorders>
          </w:tcPr>
          <w:p>
            <w:pPr>
              <w:jc w:val="right"/>
              <w:ind w:right="364"/>
              <w:spacing w:after="0"/>
              <w:rPr>
                <w:sz w:val="20"/>
                <w:szCs w:val="20"/>
                <w:color w:val="auto"/>
              </w:rPr>
            </w:pPr>
            <w:r>
              <w:rPr>
                <w:rFonts w:ascii="Arial" w:cs="Arial" w:eastAsia="Arial" w:hAnsi="Arial"/>
                <w:sz w:val="15"/>
                <w:szCs w:val="15"/>
                <w:i w:val="1"/>
                <w:iCs w:val="1"/>
                <w:color w:val="00A1DF"/>
              </w:rPr>
              <w:t>Grant Date</w:t>
            </w:r>
          </w:p>
        </w:tc>
        <w:tc>
          <w:tcPr>
            <w:tcW w:w="1820" w:type="dxa"/>
            <w:vAlign w:val="bottom"/>
            <w:tcBorders>
              <w:bottom w:val="single" w:sz="8" w:color="00A1DF"/>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Stock Price</w:t>
            </w:r>
          </w:p>
        </w:tc>
        <w:tc>
          <w:tcPr>
            <w:tcW w:w="1820" w:type="dxa"/>
            <w:vAlign w:val="bottom"/>
            <w:tcBorders>
              <w:bottom w:val="single" w:sz="8" w:color="00A1DF"/>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Implied Volatility</w:t>
            </w:r>
          </w:p>
        </w:tc>
        <w:tc>
          <w:tcPr>
            <w:tcW w:w="1820" w:type="dxa"/>
            <w:vAlign w:val="bottom"/>
            <w:tcBorders>
              <w:bottom w:val="single" w:sz="8" w:color="00A1DF"/>
              <w:right w:val="single" w:sz="8" w:color="00A1DF"/>
            </w:tcBorders>
          </w:tcPr>
          <w:p>
            <w:pPr>
              <w:jc w:val="center"/>
              <w:spacing w:after="0"/>
              <w:rPr>
                <w:sz w:val="20"/>
                <w:szCs w:val="20"/>
                <w:color w:val="auto"/>
              </w:rPr>
            </w:pPr>
            <w:r>
              <w:rPr>
                <w:rFonts w:ascii="Arial" w:cs="Arial" w:eastAsia="Arial" w:hAnsi="Arial"/>
                <w:sz w:val="15"/>
                <w:szCs w:val="15"/>
                <w:i w:val="1"/>
                <w:iCs w:val="1"/>
                <w:color w:val="00A1DF"/>
              </w:rPr>
              <w:t>Rate</w:t>
            </w:r>
          </w:p>
        </w:tc>
        <w:tc>
          <w:tcPr>
            <w:tcW w:w="1820" w:type="dxa"/>
            <w:vAlign w:val="bottom"/>
            <w:tcBorders>
              <w:bottom w:val="single" w:sz="8" w:color="00A1DF"/>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Valuation Price</w:t>
            </w:r>
          </w:p>
        </w:tc>
        <w:tc>
          <w:tcPr>
            <w:tcW w:w="1660" w:type="dxa"/>
            <w:vAlign w:val="bottom"/>
            <w:tcBorders>
              <w:bottom w:val="single" w:sz="8" w:color="00A1DF"/>
            </w:tcBorders>
          </w:tcPr>
          <w:p>
            <w:pPr>
              <w:jc w:val="center"/>
              <w:spacing w:after="0"/>
              <w:rPr>
                <w:sz w:val="20"/>
                <w:szCs w:val="20"/>
                <w:color w:val="auto"/>
              </w:rPr>
            </w:pPr>
            <w:r>
              <w:rPr>
                <w:rFonts w:ascii="Arial" w:cs="Arial" w:eastAsia="Arial" w:hAnsi="Arial"/>
                <w:sz w:val="15"/>
                <w:szCs w:val="15"/>
                <w:i w:val="1"/>
                <w:iCs w:val="1"/>
                <w:color w:val="00A1DF"/>
              </w:rPr>
              <w:t>Percent of Target</w:t>
            </w:r>
          </w:p>
        </w:tc>
      </w:tr>
      <w:tr>
        <w:trPr>
          <w:trHeight w:val="190"/>
        </w:trPr>
        <w:tc>
          <w:tcPr>
            <w:tcW w:w="1740" w:type="dxa"/>
            <w:vAlign w:val="bottom"/>
            <w:tcBorders>
              <w:right w:val="single" w:sz="8" w:color="00A1DF"/>
            </w:tcBorders>
          </w:tcPr>
          <w:p>
            <w:pPr>
              <w:jc w:val="right"/>
              <w:ind w:right="344"/>
              <w:spacing w:after="0"/>
              <w:rPr>
                <w:sz w:val="20"/>
                <w:szCs w:val="20"/>
                <w:color w:val="auto"/>
              </w:rPr>
            </w:pPr>
            <w:r>
              <w:rPr>
                <w:rFonts w:ascii="Arial" w:cs="Arial" w:eastAsia="Arial" w:hAnsi="Arial"/>
                <w:sz w:val="15"/>
                <w:szCs w:val="15"/>
                <w:i w:val="1"/>
                <w:iCs w:val="1"/>
                <w:color w:val="auto"/>
              </w:rPr>
              <w:t>2/13/2018</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rPr>
              <w:t>$41.40</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9"/>
              </w:rPr>
              <w:t>28%</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8"/>
              </w:rPr>
              <w:t>2.30%</w:t>
            </w:r>
          </w:p>
        </w:tc>
        <w:tc>
          <w:tcPr>
            <w:tcW w:w="1820" w:type="dxa"/>
            <w:vAlign w:val="bottom"/>
            <w:tcBorders>
              <w:right w:val="single" w:sz="8" w:color="00A1DF"/>
            </w:tcBorders>
          </w:tcPr>
          <w:p>
            <w:pPr>
              <w:jc w:val="center"/>
              <w:spacing w:after="0"/>
              <w:rPr>
                <w:sz w:val="20"/>
                <w:szCs w:val="20"/>
                <w:color w:val="auto"/>
              </w:rPr>
            </w:pPr>
            <w:r>
              <w:rPr>
                <w:rFonts w:ascii="Arial" w:cs="Arial" w:eastAsia="Arial" w:hAnsi="Arial"/>
                <w:sz w:val="15"/>
                <w:szCs w:val="15"/>
                <w:i w:val="1"/>
                <w:iCs w:val="1"/>
                <w:color w:val="auto"/>
              </w:rPr>
              <w:t>$51.25</w:t>
            </w:r>
          </w:p>
        </w:tc>
        <w:tc>
          <w:tcPr>
            <w:tcW w:w="1660" w:type="dxa"/>
            <w:vAlign w:val="bottom"/>
          </w:tcPr>
          <w:p>
            <w:pPr>
              <w:jc w:val="center"/>
              <w:spacing w:after="0"/>
              <w:rPr>
                <w:sz w:val="20"/>
                <w:szCs w:val="20"/>
                <w:color w:val="auto"/>
              </w:rPr>
            </w:pPr>
            <w:r>
              <w:rPr>
                <w:rFonts w:ascii="Arial" w:cs="Arial" w:eastAsia="Arial" w:hAnsi="Arial"/>
                <w:sz w:val="15"/>
                <w:szCs w:val="15"/>
                <w:i w:val="1"/>
                <w:iCs w:val="1"/>
                <w:color w:val="auto"/>
              </w:rPr>
              <w:t>123.8%</w:t>
            </w:r>
          </w:p>
        </w:tc>
      </w:tr>
      <w:tr>
        <w:trPr>
          <w:trHeight w:val="208"/>
        </w:trPr>
        <w:tc>
          <w:tcPr>
            <w:tcW w:w="1740" w:type="dxa"/>
            <w:vAlign w:val="bottom"/>
            <w:tcBorders>
              <w:right w:val="single" w:sz="8" w:color="00A1DF"/>
            </w:tcBorders>
          </w:tcPr>
          <w:p>
            <w:pPr>
              <w:jc w:val="right"/>
              <w:ind w:right="344"/>
              <w:spacing w:after="0"/>
              <w:rPr>
                <w:sz w:val="20"/>
                <w:szCs w:val="20"/>
                <w:color w:val="auto"/>
              </w:rPr>
            </w:pPr>
            <w:r>
              <w:rPr>
                <w:rFonts w:ascii="Arial" w:cs="Arial" w:eastAsia="Arial" w:hAnsi="Arial"/>
                <w:sz w:val="15"/>
                <w:szCs w:val="15"/>
                <w:i w:val="1"/>
                <w:iCs w:val="1"/>
                <w:color w:val="auto"/>
              </w:rPr>
              <w:t>10/1/2018</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rPr>
              <w:t>$34.20</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9"/>
              </w:rPr>
              <w:t>28%</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8"/>
              </w:rPr>
              <w:t>2.88%</w:t>
            </w:r>
          </w:p>
        </w:tc>
        <w:tc>
          <w:tcPr>
            <w:tcW w:w="1820" w:type="dxa"/>
            <w:vAlign w:val="bottom"/>
            <w:tcBorders>
              <w:right w:val="single" w:sz="8" w:color="00A1DF"/>
            </w:tcBorders>
          </w:tcPr>
          <w:p>
            <w:pPr>
              <w:jc w:val="center"/>
              <w:spacing w:after="0"/>
              <w:rPr>
                <w:sz w:val="20"/>
                <w:szCs w:val="20"/>
                <w:color w:val="auto"/>
              </w:rPr>
            </w:pPr>
            <w:r>
              <w:rPr>
                <w:rFonts w:ascii="Arial" w:cs="Arial" w:eastAsia="Arial" w:hAnsi="Arial"/>
                <w:sz w:val="15"/>
                <w:szCs w:val="15"/>
                <w:i w:val="1"/>
                <w:iCs w:val="1"/>
                <w:color w:val="auto"/>
              </w:rPr>
              <w:t>$35.02</w:t>
            </w:r>
          </w:p>
        </w:tc>
        <w:tc>
          <w:tcPr>
            <w:tcW w:w="1660" w:type="dxa"/>
            <w:vAlign w:val="bottom"/>
          </w:tcPr>
          <w:p>
            <w:pPr>
              <w:jc w:val="center"/>
              <w:spacing w:after="0"/>
              <w:rPr>
                <w:sz w:val="20"/>
                <w:szCs w:val="20"/>
                <w:color w:val="auto"/>
              </w:rPr>
            </w:pPr>
            <w:r>
              <w:rPr>
                <w:rFonts w:ascii="Arial" w:cs="Arial" w:eastAsia="Arial" w:hAnsi="Arial"/>
                <w:sz w:val="15"/>
                <w:szCs w:val="15"/>
                <w:i w:val="1"/>
                <w:iCs w:val="1"/>
                <w:color w:val="auto"/>
              </w:rPr>
              <w:t>102.4%</w:t>
            </w:r>
          </w:p>
        </w:tc>
      </w:tr>
    </w:tbl>
    <w:p>
      <w:pPr>
        <w:spacing w:after="0" w:line="99" w:lineRule="exact"/>
        <w:rPr>
          <w:sz w:val="20"/>
          <w:szCs w:val="20"/>
          <w:color w:val="auto"/>
        </w:rPr>
      </w:pPr>
    </w:p>
    <w:p>
      <w:pPr>
        <w:jc w:val="both"/>
        <w:ind w:left="540"/>
        <w:spacing w:after="0" w:line="278" w:lineRule="auto"/>
        <w:rPr>
          <w:sz w:val="20"/>
          <w:szCs w:val="20"/>
          <w:color w:val="auto"/>
        </w:rPr>
      </w:pPr>
      <w:r>
        <w:rPr>
          <w:rFonts w:ascii="Arial" w:cs="Arial" w:eastAsia="Arial" w:hAnsi="Arial"/>
          <w:sz w:val="14"/>
          <w:szCs w:val="14"/>
          <w:i w:val="1"/>
          <w:iCs w:val="1"/>
          <w:color w:val="auto"/>
        </w:rPr>
        <w:t>There is no dividend yield as dividends are assumed to be reinvested for the TSR calculation. The table below shows the PSUs valued based on the closing stock price on the date of grant and the maximum grant value based on maximum performance.</w:t>
      </w:r>
    </w:p>
    <w:p>
      <w:pPr>
        <w:spacing w:after="0" w:line="15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400" w:type="dxa"/>
            <w:vAlign w:val="bottom"/>
            <w:tcBorders>
              <w:top w:val="single" w:sz="8" w:color="00A1DF"/>
            </w:tcBorders>
          </w:tcPr>
          <w:p>
            <w:pPr>
              <w:spacing w:after="0"/>
              <w:rPr>
                <w:sz w:val="18"/>
                <w:szCs w:val="18"/>
                <w:color w:val="auto"/>
              </w:rPr>
            </w:pPr>
          </w:p>
        </w:tc>
        <w:tc>
          <w:tcPr>
            <w:tcW w:w="6820" w:type="dxa"/>
            <w:vAlign w:val="bottom"/>
            <w:tcBorders>
              <w:top w:val="single" w:sz="8" w:color="00A1DF"/>
            </w:tcBorders>
          </w:tcPr>
          <w:p>
            <w:pPr>
              <w:jc w:val="right"/>
              <w:ind w:right="1704"/>
              <w:spacing w:after="0"/>
              <w:rPr>
                <w:sz w:val="20"/>
                <w:szCs w:val="20"/>
                <w:color w:val="auto"/>
              </w:rPr>
            </w:pPr>
            <w:r>
              <w:rPr>
                <w:rFonts w:ascii="Arial" w:cs="Arial" w:eastAsia="Arial" w:hAnsi="Arial"/>
                <w:sz w:val="15"/>
                <w:szCs w:val="15"/>
                <w:b w:val="1"/>
                <w:bCs w:val="1"/>
                <w:color w:val="00A1DF"/>
              </w:rPr>
              <w:t>Value of PSU Awards at Target and Maximum Performance</w:t>
            </w:r>
          </w:p>
        </w:tc>
        <w:tc>
          <w:tcPr>
            <w:tcW w:w="1460" w:type="dxa"/>
            <w:vAlign w:val="bottom"/>
            <w:tcBorders>
              <w:top w:val="single" w:sz="8" w:color="00A1DF"/>
            </w:tcBorders>
          </w:tcPr>
          <w:p>
            <w:pPr>
              <w:spacing w:after="0"/>
              <w:rPr>
                <w:sz w:val="18"/>
                <w:szCs w:val="18"/>
                <w:color w:val="auto"/>
              </w:rPr>
            </w:pPr>
          </w:p>
        </w:tc>
      </w:tr>
      <w:tr>
        <w:trPr>
          <w:trHeight w:val="194"/>
        </w:trPr>
        <w:tc>
          <w:tcPr>
            <w:tcW w:w="2400" w:type="dxa"/>
            <w:vAlign w:val="bottom"/>
          </w:tcPr>
          <w:p>
            <w:pPr>
              <w:spacing w:after="0"/>
              <w:rPr>
                <w:sz w:val="16"/>
                <w:szCs w:val="16"/>
                <w:color w:val="auto"/>
              </w:rPr>
            </w:pPr>
          </w:p>
        </w:tc>
        <w:tc>
          <w:tcPr>
            <w:tcW w:w="6820" w:type="dxa"/>
            <w:vAlign w:val="bottom"/>
          </w:tcPr>
          <w:p>
            <w:pPr>
              <w:jc w:val="right"/>
              <w:ind w:right="144"/>
              <w:spacing w:after="0"/>
              <w:rPr>
                <w:sz w:val="20"/>
                <w:szCs w:val="20"/>
                <w:color w:val="auto"/>
              </w:rPr>
            </w:pPr>
            <w:r>
              <w:rPr>
                <w:rFonts w:ascii="Arial" w:cs="Arial" w:eastAsia="Arial" w:hAnsi="Arial"/>
                <w:sz w:val="15"/>
                <w:szCs w:val="15"/>
                <w:b w:val="1"/>
                <w:bCs w:val="1"/>
                <w:color w:val="00A1DF"/>
              </w:rPr>
              <w:t>2018 Target</w:t>
            </w:r>
          </w:p>
        </w:tc>
        <w:tc>
          <w:tcPr>
            <w:tcW w:w="1460" w:type="dxa"/>
            <w:vAlign w:val="bottom"/>
          </w:tcPr>
          <w:p>
            <w:pPr>
              <w:jc w:val="right"/>
              <w:ind w:right="64"/>
              <w:spacing w:after="0"/>
              <w:rPr>
                <w:sz w:val="20"/>
                <w:szCs w:val="20"/>
                <w:color w:val="auto"/>
              </w:rPr>
            </w:pPr>
            <w:r>
              <w:rPr>
                <w:rFonts w:ascii="Arial" w:cs="Arial" w:eastAsia="Arial" w:hAnsi="Arial"/>
                <w:sz w:val="15"/>
                <w:szCs w:val="15"/>
                <w:b w:val="1"/>
                <w:bCs w:val="1"/>
                <w:color w:val="00A1DF"/>
              </w:rPr>
              <w:t>2018 Maximum</w:t>
            </w:r>
          </w:p>
        </w:tc>
      </w:tr>
      <w:tr>
        <w:trPr>
          <w:trHeight w:val="183"/>
        </w:trPr>
        <w:tc>
          <w:tcPr>
            <w:tcW w:w="2400" w:type="dxa"/>
            <w:vAlign w:val="bottom"/>
            <w:tcBorders>
              <w:bottom w:val="single" w:sz="8" w:color="00A1DF"/>
            </w:tcBorders>
          </w:tcPr>
          <w:p>
            <w:pPr>
              <w:spacing w:after="0"/>
              <w:rPr>
                <w:sz w:val="15"/>
                <w:szCs w:val="15"/>
                <w:color w:val="auto"/>
              </w:rPr>
            </w:pPr>
          </w:p>
        </w:tc>
        <w:tc>
          <w:tcPr>
            <w:tcW w:w="6820" w:type="dxa"/>
            <w:vAlign w:val="bottom"/>
            <w:tcBorders>
              <w:bottom w:val="single" w:sz="8" w:color="00A1DF"/>
            </w:tcBorders>
          </w:tcPr>
          <w:p>
            <w:pPr>
              <w:jc w:val="right"/>
              <w:ind w:right="144"/>
              <w:spacing w:after="0"/>
              <w:rPr>
                <w:sz w:val="20"/>
                <w:szCs w:val="20"/>
                <w:color w:val="auto"/>
              </w:rPr>
            </w:pPr>
            <w:r>
              <w:rPr>
                <w:rFonts w:ascii="Arial" w:cs="Arial" w:eastAsia="Arial" w:hAnsi="Arial"/>
                <w:sz w:val="15"/>
                <w:szCs w:val="15"/>
                <w:b w:val="1"/>
                <w:bCs w:val="1"/>
                <w:color w:val="00A1DF"/>
              </w:rPr>
              <w:t>($)</w:t>
            </w:r>
          </w:p>
        </w:tc>
        <w:tc>
          <w:tcPr>
            <w:tcW w:w="1460" w:type="dxa"/>
            <w:vAlign w:val="bottom"/>
            <w:tcBorders>
              <w:bottom w:val="single" w:sz="8" w:color="00A1DF"/>
            </w:tcBorders>
          </w:tcPr>
          <w:p>
            <w:pPr>
              <w:jc w:val="right"/>
              <w:ind w:right="64"/>
              <w:spacing w:after="0"/>
              <w:rPr>
                <w:sz w:val="20"/>
                <w:szCs w:val="20"/>
                <w:color w:val="auto"/>
              </w:rPr>
            </w:pPr>
            <w:r>
              <w:rPr>
                <w:rFonts w:ascii="Arial" w:cs="Arial" w:eastAsia="Arial" w:hAnsi="Arial"/>
                <w:sz w:val="15"/>
                <w:szCs w:val="15"/>
                <w:b w:val="1"/>
                <w:bCs w:val="1"/>
                <w:color w:val="00A1DF"/>
              </w:rPr>
              <w:t>($)</w:t>
            </w:r>
          </w:p>
        </w:tc>
      </w:tr>
      <w:tr>
        <w:trPr>
          <w:trHeight w:val="180"/>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Mary T. Barra</w:t>
            </w:r>
          </w:p>
        </w:tc>
        <w:tc>
          <w:tcPr>
            <w:tcW w:w="6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10,275,025</w:t>
            </w: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20,550,050</w:t>
            </w:r>
          </w:p>
        </w:tc>
      </w:tr>
      <w:tr>
        <w:trPr>
          <w:trHeight w:val="182"/>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Dhivya Suryadevara</w:t>
            </w:r>
          </w:p>
        </w:tc>
        <w:tc>
          <w:tcPr>
            <w:tcW w:w="6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2,388,814</w:t>
            </w: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4,777,628</w:t>
            </w:r>
          </w:p>
        </w:tc>
      </w:tr>
      <w:tr>
        <w:trPr>
          <w:trHeight w:val="182"/>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Daniel Ammann</w:t>
            </w:r>
          </w:p>
        </w:tc>
        <w:tc>
          <w:tcPr>
            <w:tcW w:w="6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3,703,147</w:t>
            </w: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7,406,294</w:t>
            </w:r>
          </w:p>
        </w:tc>
      </w:tr>
      <w:tr>
        <w:trPr>
          <w:trHeight w:val="182"/>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Mark L. Reuss</w:t>
            </w:r>
          </w:p>
        </w:tc>
        <w:tc>
          <w:tcPr>
            <w:tcW w:w="6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3,037,518</w:t>
            </w: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6,075,036</w:t>
            </w:r>
          </w:p>
        </w:tc>
      </w:tr>
      <w:tr>
        <w:trPr>
          <w:trHeight w:val="182"/>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Alan S. Batey</w:t>
            </w:r>
          </w:p>
        </w:tc>
        <w:tc>
          <w:tcPr>
            <w:tcW w:w="6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2,020,279</w:t>
            </w: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4,040,558</w:t>
            </w:r>
          </w:p>
        </w:tc>
      </w:tr>
      <w:tr>
        <w:trPr>
          <w:trHeight w:val="182"/>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Charles K. Stevens, III</w:t>
            </w:r>
          </w:p>
        </w:tc>
        <w:tc>
          <w:tcPr>
            <w:tcW w:w="6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3,018,764</w:t>
            </w: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6,037,528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93980</wp:posOffset>
            </wp:positionV>
            <wp:extent cx="6852920"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58</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5" w:lineRule="exact"/>
        <w:rPr>
          <w:sz w:val="20"/>
          <w:szCs w:val="20"/>
          <w:color w:val="auto"/>
        </w:rPr>
      </w:pPr>
    </w:p>
    <w:p>
      <w:pPr>
        <w:ind w:left="540" w:hanging="330"/>
        <w:spacing w:after="0" w:line="278" w:lineRule="auto"/>
        <w:tabs>
          <w:tab w:leader="none" w:pos="540" w:val="left"/>
        </w:tabs>
        <w:numPr>
          <w:ilvl w:val="0"/>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displays the grant date fair value of Stock Options issued under the LTIP, computed in accordance with FASB ASC Topic 718 using a Black-Scholes valuation. The assumptions used for the Black-Scholes valuation of the Stock Options are summarized below:</w:t>
      </w:r>
    </w:p>
    <w:p>
      <w:pPr>
        <w:spacing w:after="0" w:line="156"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1740" w:type="dxa"/>
            <w:vAlign w:val="bottom"/>
            <w:tcBorders>
              <w:bottom w:val="single" w:sz="8" w:color="00A1DF"/>
              <w:right w:val="single" w:sz="8" w:color="00A1DF"/>
            </w:tcBorders>
          </w:tcPr>
          <w:p>
            <w:pPr>
              <w:jc w:val="right"/>
              <w:ind w:right="364"/>
              <w:spacing w:after="0"/>
              <w:rPr>
                <w:sz w:val="20"/>
                <w:szCs w:val="20"/>
                <w:color w:val="auto"/>
              </w:rPr>
            </w:pPr>
            <w:r>
              <w:rPr>
                <w:rFonts w:ascii="Arial" w:cs="Arial" w:eastAsia="Arial" w:hAnsi="Arial"/>
                <w:sz w:val="15"/>
                <w:szCs w:val="15"/>
                <w:i w:val="1"/>
                <w:iCs w:val="1"/>
                <w:color w:val="00A1DF"/>
              </w:rPr>
              <w:t>Grant Date</w:t>
            </w:r>
          </w:p>
        </w:tc>
        <w:tc>
          <w:tcPr>
            <w:tcW w:w="1820" w:type="dxa"/>
            <w:vAlign w:val="bottom"/>
            <w:tcBorders>
              <w:bottom w:val="single" w:sz="8" w:color="00A1DF"/>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Dividend Yield</w:t>
            </w:r>
          </w:p>
        </w:tc>
        <w:tc>
          <w:tcPr>
            <w:tcW w:w="1820" w:type="dxa"/>
            <w:vAlign w:val="bottom"/>
            <w:tcBorders>
              <w:bottom w:val="single" w:sz="8" w:color="00A1DF"/>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Implied Volatility</w:t>
            </w:r>
          </w:p>
        </w:tc>
        <w:tc>
          <w:tcPr>
            <w:tcW w:w="1820" w:type="dxa"/>
            <w:vAlign w:val="bottom"/>
            <w:tcBorders>
              <w:bottom w:val="single" w:sz="8" w:color="00A1DF"/>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Risk-Free Interest Rate</w:t>
            </w:r>
          </w:p>
        </w:tc>
        <w:tc>
          <w:tcPr>
            <w:tcW w:w="1820" w:type="dxa"/>
            <w:vAlign w:val="bottom"/>
            <w:tcBorders>
              <w:bottom w:val="single" w:sz="8" w:color="00A1DF"/>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00A1DF"/>
              </w:rPr>
              <w:t>Expected Option Life</w:t>
            </w:r>
          </w:p>
        </w:tc>
        <w:tc>
          <w:tcPr>
            <w:tcW w:w="1660" w:type="dxa"/>
            <w:vAlign w:val="bottom"/>
            <w:tcBorders>
              <w:bottom w:val="single" w:sz="8" w:color="00A1DF"/>
            </w:tcBorders>
          </w:tcPr>
          <w:p>
            <w:pPr>
              <w:jc w:val="center"/>
              <w:spacing w:after="0"/>
              <w:rPr>
                <w:sz w:val="20"/>
                <w:szCs w:val="20"/>
                <w:color w:val="auto"/>
              </w:rPr>
            </w:pPr>
            <w:r>
              <w:rPr>
                <w:rFonts w:ascii="Arial" w:cs="Arial" w:eastAsia="Arial" w:hAnsi="Arial"/>
                <w:sz w:val="15"/>
                <w:szCs w:val="15"/>
                <w:i w:val="1"/>
                <w:iCs w:val="1"/>
                <w:color w:val="00A1DF"/>
              </w:rPr>
              <w:t>Grant Date Fair Value</w:t>
            </w:r>
          </w:p>
        </w:tc>
      </w:tr>
      <w:tr>
        <w:trPr>
          <w:trHeight w:val="190"/>
        </w:trPr>
        <w:tc>
          <w:tcPr>
            <w:tcW w:w="1740" w:type="dxa"/>
            <w:vAlign w:val="bottom"/>
            <w:tcBorders>
              <w:right w:val="single" w:sz="8" w:color="00A1DF"/>
            </w:tcBorders>
          </w:tcPr>
          <w:p>
            <w:pPr>
              <w:jc w:val="right"/>
              <w:ind w:right="344"/>
              <w:spacing w:after="0"/>
              <w:rPr>
                <w:sz w:val="20"/>
                <w:szCs w:val="20"/>
                <w:color w:val="auto"/>
              </w:rPr>
            </w:pPr>
            <w:r>
              <w:rPr>
                <w:rFonts w:ascii="Arial" w:cs="Arial" w:eastAsia="Arial" w:hAnsi="Arial"/>
                <w:sz w:val="15"/>
                <w:szCs w:val="15"/>
                <w:i w:val="1"/>
                <w:iCs w:val="1"/>
                <w:color w:val="auto"/>
              </w:rPr>
              <w:t>2/13/2018</w:t>
            </w:r>
          </w:p>
        </w:tc>
        <w:tc>
          <w:tcPr>
            <w:tcW w:w="1820" w:type="dxa"/>
            <w:vAlign w:val="bottom"/>
            <w:tcBorders>
              <w:right w:val="single" w:sz="8" w:color="00A1DF"/>
            </w:tcBorders>
          </w:tcPr>
          <w:p>
            <w:pPr>
              <w:jc w:val="center"/>
              <w:spacing w:after="0"/>
              <w:rPr>
                <w:sz w:val="20"/>
                <w:szCs w:val="20"/>
                <w:color w:val="auto"/>
              </w:rPr>
            </w:pPr>
            <w:r>
              <w:rPr>
                <w:rFonts w:ascii="Arial" w:cs="Arial" w:eastAsia="Arial" w:hAnsi="Arial"/>
                <w:sz w:val="15"/>
                <w:szCs w:val="15"/>
                <w:i w:val="1"/>
                <w:iCs w:val="1"/>
                <w:color w:val="auto"/>
              </w:rPr>
              <w:t>3.67%</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9"/>
              </w:rPr>
              <w:t>28%</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8"/>
              </w:rPr>
              <w:t>2.72%</w:t>
            </w:r>
          </w:p>
        </w:tc>
        <w:tc>
          <w:tcPr>
            <w:tcW w:w="1820" w:type="dxa"/>
            <w:vAlign w:val="bottom"/>
            <w:tcBorders>
              <w:right w:val="single" w:sz="8" w:color="00A1DF"/>
            </w:tcBorders>
          </w:tcPr>
          <w:p>
            <w:pPr>
              <w:jc w:val="center"/>
              <w:spacing w:after="0"/>
              <w:rPr>
                <w:sz w:val="20"/>
                <w:szCs w:val="20"/>
                <w:color w:val="auto"/>
              </w:rPr>
            </w:pPr>
            <w:r>
              <w:rPr>
                <w:rFonts w:ascii="Arial" w:cs="Arial" w:eastAsia="Arial" w:hAnsi="Arial"/>
                <w:sz w:val="15"/>
                <w:szCs w:val="15"/>
                <w:i w:val="1"/>
                <w:iCs w:val="1"/>
                <w:color w:val="auto"/>
              </w:rPr>
              <w:t>6.00 years</w:t>
            </w:r>
          </w:p>
        </w:tc>
        <w:tc>
          <w:tcPr>
            <w:tcW w:w="1660" w:type="dxa"/>
            <w:vAlign w:val="bottom"/>
          </w:tcPr>
          <w:p>
            <w:pPr>
              <w:jc w:val="center"/>
              <w:ind w:left="4"/>
              <w:spacing w:after="0"/>
              <w:rPr>
                <w:sz w:val="20"/>
                <w:szCs w:val="20"/>
                <w:color w:val="auto"/>
              </w:rPr>
            </w:pPr>
            <w:r>
              <w:rPr>
                <w:rFonts w:ascii="Arial" w:cs="Arial" w:eastAsia="Arial" w:hAnsi="Arial"/>
                <w:sz w:val="15"/>
                <w:szCs w:val="15"/>
                <w:i w:val="1"/>
                <w:iCs w:val="1"/>
                <w:color w:val="auto"/>
              </w:rPr>
              <w:t>$8.28</w:t>
            </w:r>
          </w:p>
        </w:tc>
      </w:tr>
      <w:tr>
        <w:trPr>
          <w:trHeight w:val="208"/>
        </w:trPr>
        <w:tc>
          <w:tcPr>
            <w:tcW w:w="1740" w:type="dxa"/>
            <w:vAlign w:val="bottom"/>
            <w:tcBorders>
              <w:right w:val="single" w:sz="8" w:color="00A1DF"/>
            </w:tcBorders>
          </w:tcPr>
          <w:p>
            <w:pPr>
              <w:jc w:val="right"/>
              <w:ind w:right="344"/>
              <w:spacing w:after="0"/>
              <w:rPr>
                <w:sz w:val="20"/>
                <w:szCs w:val="20"/>
                <w:color w:val="auto"/>
              </w:rPr>
            </w:pPr>
            <w:r>
              <w:rPr>
                <w:rFonts w:ascii="Arial" w:cs="Arial" w:eastAsia="Arial" w:hAnsi="Arial"/>
                <w:sz w:val="15"/>
                <w:szCs w:val="15"/>
                <w:i w:val="1"/>
                <w:iCs w:val="1"/>
                <w:color w:val="auto"/>
              </w:rPr>
              <w:t>10/1/2018</w:t>
            </w:r>
          </w:p>
        </w:tc>
        <w:tc>
          <w:tcPr>
            <w:tcW w:w="1820" w:type="dxa"/>
            <w:vAlign w:val="bottom"/>
            <w:tcBorders>
              <w:right w:val="single" w:sz="8" w:color="00A1DF"/>
            </w:tcBorders>
          </w:tcPr>
          <w:p>
            <w:pPr>
              <w:jc w:val="center"/>
              <w:spacing w:after="0"/>
              <w:rPr>
                <w:sz w:val="20"/>
                <w:szCs w:val="20"/>
                <w:color w:val="auto"/>
              </w:rPr>
            </w:pPr>
            <w:r>
              <w:rPr>
                <w:rFonts w:ascii="Arial" w:cs="Arial" w:eastAsia="Arial" w:hAnsi="Arial"/>
                <w:sz w:val="15"/>
                <w:szCs w:val="15"/>
                <w:i w:val="1"/>
                <w:iCs w:val="1"/>
                <w:color w:val="auto"/>
              </w:rPr>
              <w:t>4.44%</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9"/>
              </w:rPr>
              <w:t>28%</w:t>
            </w:r>
          </w:p>
        </w:tc>
        <w:tc>
          <w:tcPr>
            <w:tcW w:w="1820" w:type="dxa"/>
            <w:vAlign w:val="bottom"/>
            <w:tcBorders>
              <w:right w:val="single" w:sz="8" w:color="00A1DF"/>
            </w:tcBorders>
          </w:tcPr>
          <w:p>
            <w:pPr>
              <w:jc w:val="center"/>
              <w:ind w:left="4"/>
              <w:spacing w:after="0"/>
              <w:rPr>
                <w:sz w:val="20"/>
                <w:szCs w:val="20"/>
                <w:color w:val="auto"/>
              </w:rPr>
            </w:pPr>
            <w:r>
              <w:rPr>
                <w:rFonts w:ascii="Arial" w:cs="Arial" w:eastAsia="Arial" w:hAnsi="Arial"/>
                <w:sz w:val="15"/>
                <w:szCs w:val="15"/>
                <w:i w:val="1"/>
                <w:iCs w:val="1"/>
                <w:color w:val="auto"/>
                <w:w w:val="98"/>
              </w:rPr>
              <w:t>3.00%</w:t>
            </w:r>
          </w:p>
        </w:tc>
        <w:tc>
          <w:tcPr>
            <w:tcW w:w="1820" w:type="dxa"/>
            <w:vAlign w:val="bottom"/>
            <w:tcBorders>
              <w:right w:val="single" w:sz="8" w:color="00A1DF"/>
            </w:tcBorders>
          </w:tcPr>
          <w:p>
            <w:pPr>
              <w:jc w:val="center"/>
              <w:spacing w:after="0"/>
              <w:rPr>
                <w:sz w:val="20"/>
                <w:szCs w:val="20"/>
                <w:color w:val="auto"/>
              </w:rPr>
            </w:pPr>
            <w:r>
              <w:rPr>
                <w:rFonts w:ascii="Arial" w:cs="Arial" w:eastAsia="Arial" w:hAnsi="Arial"/>
                <w:sz w:val="15"/>
                <w:szCs w:val="15"/>
                <w:i w:val="1"/>
                <w:iCs w:val="1"/>
                <w:color w:val="auto"/>
              </w:rPr>
              <w:t>5.36 years</w:t>
            </w:r>
          </w:p>
        </w:tc>
        <w:tc>
          <w:tcPr>
            <w:tcW w:w="1660" w:type="dxa"/>
            <w:vAlign w:val="bottom"/>
          </w:tcPr>
          <w:p>
            <w:pPr>
              <w:jc w:val="center"/>
              <w:ind w:left="4"/>
              <w:spacing w:after="0"/>
              <w:rPr>
                <w:sz w:val="20"/>
                <w:szCs w:val="20"/>
                <w:color w:val="auto"/>
              </w:rPr>
            </w:pPr>
            <w:r>
              <w:rPr>
                <w:rFonts w:ascii="Arial" w:cs="Arial" w:eastAsia="Arial" w:hAnsi="Arial"/>
                <w:sz w:val="15"/>
                <w:szCs w:val="15"/>
                <w:i w:val="1"/>
                <w:iCs w:val="1"/>
                <w:color w:val="auto"/>
              </w:rPr>
              <w:t>$6.15</w:t>
            </w:r>
          </w:p>
        </w:tc>
      </w:tr>
    </w:tbl>
    <w:p>
      <w:pPr>
        <w:spacing w:after="0" w:line="58" w:lineRule="exact"/>
        <w:rPr>
          <w:sz w:val="20"/>
          <w:szCs w:val="20"/>
          <w:color w:val="auto"/>
        </w:rPr>
      </w:pPr>
    </w:p>
    <w:p>
      <w:pPr>
        <w:ind w:left="540" w:right="20" w:hanging="330"/>
        <w:spacing w:after="0" w:line="278" w:lineRule="auto"/>
        <w:tabs>
          <w:tab w:leader="none" w:pos="5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All NEOs were eligible for a payment under the STIP for 2018 performance based on the Company’s achievement of annual performance goals and individual performance. Individual performance decisions for each NEO are determined by the Compensation Committee; results are discussed beginning on page 49.</w:t>
      </w:r>
    </w:p>
    <w:p>
      <w:pPr>
        <w:spacing w:after="0" w:line="18" w:lineRule="exact"/>
        <w:rPr>
          <w:rFonts w:ascii="Arial" w:cs="Arial" w:eastAsia="Arial" w:hAnsi="Arial"/>
          <w:sz w:val="14"/>
          <w:szCs w:val="14"/>
          <w:i w:val="1"/>
          <w:iCs w:val="1"/>
          <w:color w:val="auto"/>
        </w:rPr>
      </w:pPr>
    </w:p>
    <w:p>
      <w:pPr>
        <w:jc w:val="both"/>
        <w:ind w:left="540" w:hanging="330"/>
        <w:spacing w:after="0" w:line="250" w:lineRule="auto"/>
        <w:tabs>
          <w:tab w:leader="none" w:pos="5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actuarial change in the present value of the NEO’s accrued benefit for 2018 attributed to year-over-year variances in applicable discount rates, lump sum interest rates, mortality rates, and employer contributions to tax-qualified and non-tax-qualified plans as described in “Pension Benefits” on page 62. The Company does not credit interest at above-market rates to any deferred accounts, and no interest amounts are included in these totals. In 2018 the actuarial present value decreased in the amount of $54,653 for Ms. Barra, $1,589 for Ms. Suryadevara, $58,827 for Mr. Reuss, $167,591 for Mr. Batey, and $21,205 for Mr. Stevens. Mr. Ammann is not eligible for defined benefit pension plans.</w:t>
      </w:r>
    </w:p>
    <w:p>
      <w:pPr>
        <w:spacing w:after="0" w:line="38" w:lineRule="exact"/>
        <w:rPr>
          <w:rFonts w:ascii="Arial" w:cs="Arial" w:eastAsia="Arial" w:hAnsi="Arial"/>
          <w:sz w:val="14"/>
          <w:szCs w:val="14"/>
          <w:i w:val="1"/>
          <w:iCs w:val="1"/>
          <w:color w:val="auto"/>
        </w:rPr>
      </w:pPr>
    </w:p>
    <w:p>
      <w:pPr>
        <w:ind w:left="540" w:hanging="330"/>
        <w:spacing w:after="0"/>
        <w:tabs>
          <w:tab w:leader="none" w:pos="5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included as All Other Compensation are described in the table below.</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All Other Compensation</w:t>
      </w:r>
    </w:p>
    <w:p>
      <w:pPr>
        <w:spacing w:after="0" w:line="91" w:lineRule="exact"/>
        <w:rPr>
          <w:sz w:val="20"/>
          <w:szCs w:val="20"/>
          <w:color w:val="auto"/>
        </w:rPr>
      </w:pPr>
    </w:p>
    <w:tbl>
      <w:tblPr>
        <w:tblLayout w:type="fixed"/>
        <w:tblInd w:w="540" w:type="dxa"/>
        <w:tblCellMar>
          <w:top w:w="0" w:type="dxa"/>
          <w:left w:w="0" w:type="dxa"/>
          <w:bottom w:w="0" w:type="dxa"/>
          <w:right w:w="0" w:type="dxa"/>
        </w:tblCellMar>
      </w:tblPr>
      <w:tr>
        <w:trPr>
          <w:trHeight w:val="167"/>
        </w:trPr>
        <w:tc>
          <w:tcPr>
            <w:tcW w:w="2420" w:type="dxa"/>
            <w:vAlign w:val="bottom"/>
            <w:tcBorders>
              <w:top w:val="single" w:sz="8" w:color="00A1DF"/>
            </w:tcBorders>
          </w:tcPr>
          <w:p>
            <w:pPr>
              <w:spacing w:after="0"/>
              <w:rPr>
                <w:sz w:val="14"/>
                <w:szCs w:val="14"/>
                <w:color w:val="auto"/>
              </w:rPr>
            </w:pPr>
          </w:p>
        </w:tc>
        <w:tc>
          <w:tcPr>
            <w:tcW w:w="1600" w:type="dxa"/>
            <w:vAlign w:val="bottom"/>
            <w:tcBorders>
              <w:top w:val="single" w:sz="8" w:color="00A1DF"/>
            </w:tcBorders>
          </w:tcPr>
          <w:p>
            <w:pPr>
              <w:jc w:val="right"/>
              <w:ind w:right="44"/>
              <w:spacing w:after="0" w:line="167" w:lineRule="exact"/>
              <w:rPr>
                <w:sz w:val="20"/>
                <w:szCs w:val="20"/>
                <w:color w:val="auto"/>
              </w:rPr>
            </w:pPr>
            <w:r>
              <w:rPr>
                <w:rFonts w:ascii="Arial" w:cs="Arial" w:eastAsia="Arial" w:hAnsi="Arial"/>
                <w:sz w:val="15"/>
                <w:szCs w:val="15"/>
                <w:b w:val="1"/>
                <w:bCs w:val="1"/>
                <w:color w:val="00A1DF"/>
              </w:rPr>
              <w:t>M.T. Barra</w:t>
            </w:r>
          </w:p>
        </w:tc>
        <w:tc>
          <w:tcPr>
            <w:tcW w:w="1360" w:type="dxa"/>
            <w:vAlign w:val="bottom"/>
            <w:tcBorders>
              <w:top w:val="single" w:sz="8" w:color="00A1DF"/>
            </w:tcBorders>
          </w:tcPr>
          <w:p>
            <w:pPr>
              <w:jc w:val="right"/>
              <w:ind w:right="44"/>
              <w:spacing w:after="0" w:line="167" w:lineRule="exact"/>
              <w:rPr>
                <w:sz w:val="20"/>
                <w:szCs w:val="20"/>
                <w:color w:val="auto"/>
              </w:rPr>
            </w:pPr>
            <w:r>
              <w:rPr>
                <w:rFonts w:ascii="Arial" w:cs="Arial" w:eastAsia="Arial" w:hAnsi="Arial"/>
                <w:sz w:val="15"/>
                <w:szCs w:val="15"/>
                <w:b w:val="1"/>
                <w:bCs w:val="1"/>
                <w:color w:val="00A1DF"/>
              </w:rPr>
              <w:t>D. Suryadevara</w:t>
            </w:r>
          </w:p>
        </w:tc>
        <w:tc>
          <w:tcPr>
            <w:tcW w:w="1080" w:type="dxa"/>
            <w:vAlign w:val="bottom"/>
            <w:tcBorders>
              <w:top w:val="single" w:sz="8" w:color="00A1DF"/>
            </w:tcBorders>
          </w:tcPr>
          <w:p>
            <w:pPr>
              <w:jc w:val="right"/>
              <w:ind w:right="44"/>
              <w:spacing w:after="0" w:line="167" w:lineRule="exact"/>
              <w:rPr>
                <w:sz w:val="20"/>
                <w:szCs w:val="20"/>
                <w:color w:val="auto"/>
              </w:rPr>
            </w:pPr>
            <w:r>
              <w:rPr>
                <w:rFonts w:ascii="Arial" w:cs="Arial" w:eastAsia="Arial" w:hAnsi="Arial"/>
                <w:sz w:val="15"/>
                <w:szCs w:val="15"/>
                <w:b w:val="1"/>
                <w:bCs w:val="1"/>
                <w:color w:val="00A1DF"/>
              </w:rPr>
              <w:t>D. Ammann</w:t>
            </w:r>
          </w:p>
        </w:tc>
        <w:tc>
          <w:tcPr>
            <w:tcW w:w="1040" w:type="dxa"/>
            <w:vAlign w:val="bottom"/>
            <w:tcBorders>
              <w:top w:val="single" w:sz="8" w:color="00A1DF"/>
            </w:tcBorders>
          </w:tcPr>
          <w:p>
            <w:pPr>
              <w:jc w:val="right"/>
              <w:ind w:right="44"/>
              <w:spacing w:after="0" w:line="167" w:lineRule="exact"/>
              <w:rPr>
                <w:sz w:val="20"/>
                <w:szCs w:val="20"/>
                <w:color w:val="auto"/>
              </w:rPr>
            </w:pPr>
            <w:r>
              <w:rPr>
                <w:rFonts w:ascii="Arial" w:cs="Arial" w:eastAsia="Arial" w:hAnsi="Arial"/>
                <w:sz w:val="15"/>
                <w:szCs w:val="15"/>
                <w:b w:val="1"/>
                <w:bCs w:val="1"/>
                <w:color w:val="00A1DF"/>
              </w:rPr>
              <w:t>M.L. Reuss</w:t>
            </w:r>
          </w:p>
        </w:tc>
        <w:tc>
          <w:tcPr>
            <w:tcW w:w="1000" w:type="dxa"/>
            <w:vAlign w:val="bottom"/>
            <w:tcBorders>
              <w:top w:val="single" w:sz="8" w:color="00A1DF"/>
            </w:tcBorders>
          </w:tcPr>
          <w:p>
            <w:pPr>
              <w:jc w:val="right"/>
              <w:ind w:right="44"/>
              <w:spacing w:after="0" w:line="167" w:lineRule="exact"/>
              <w:rPr>
                <w:sz w:val="20"/>
                <w:szCs w:val="20"/>
                <w:color w:val="auto"/>
              </w:rPr>
            </w:pPr>
            <w:r>
              <w:rPr>
                <w:rFonts w:ascii="Arial" w:cs="Arial" w:eastAsia="Arial" w:hAnsi="Arial"/>
                <w:sz w:val="15"/>
                <w:szCs w:val="15"/>
                <w:b w:val="1"/>
                <w:bCs w:val="1"/>
                <w:color w:val="00A1DF"/>
              </w:rPr>
              <w:t>A.S. Batey</w:t>
            </w:r>
          </w:p>
        </w:tc>
        <w:tc>
          <w:tcPr>
            <w:tcW w:w="1100" w:type="dxa"/>
            <w:vAlign w:val="bottom"/>
            <w:tcBorders>
              <w:top w:val="single" w:sz="8" w:color="00A1DF"/>
            </w:tcBorders>
          </w:tcPr>
          <w:p>
            <w:pPr>
              <w:jc w:val="right"/>
              <w:spacing w:after="0" w:line="167" w:lineRule="exact"/>
              <w:rPr>
                <w:sz w:val="20"/>
                <w:szCs w:val="20"/>
                <w:color w:val="auto"/>
              </w:rPr>
            </w:pPr>
            <w:r>
              <w:rPr>
                <w:rFonts w:ascii="Arial" w:cs="Arial" w:eastAsia="Arial" w:hAnsi="Arial"/>
                <w:sz w:val="15"/>
                <w:szCs w:val="15"/>
                <w:b w:val="1"/>
                <w:bCs w:val="1"/>
                <w:color w:val="00A1DF"/>
              </w:rPr>
              <w:t>C.K. Stevens</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00A1DF"/>
            </w:tcBorders>
          </w:tcPr>
          <w:p>
            <w:pPr>
              <w:spacing w:after="0"/>
              <w:rPr>
                <w:sz w:val="17"/>
                <w:szCs w:val="17"/>
                <w:color w:val="auto"/>
              </w:rPr>
            </w:pPr>
          </w:p>
        </w:tc>
        <w:tc>
          <w:tcPr>
            <w:tcW w:w="160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w:t>
            </w:r>
          </w:p>
        </w:tc>
        <w:tc>
          <w:tcPr>
            <w:tcW w:w="136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w:t>
            </w:r>
          </w:p>
        </w:tc>
        <w:tc>
          <w:tcPr>
            <w:tcW w:w="108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w:t>
            </w:r>
          </w:p>
        </w:tc>
        <w:tc>
          <w:tcPr>
            <w:tcW w:w="104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w:t>
            </w:r>
          </w:p>
        </w:tc>
        <w:tc>
          <w:tcPr>
            <w:tcW w:w="100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w:t>
            </w:r>
          </w:p>
        </w:tc>
        <w:tc>
          <w:tcPr>
            <w:tcW w:w="110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152"/>
        </w:trPr>
        <w:tc>
          <w:tcPr>
            <w:tcW w:w="2420" w:type="dxa"/>
            <w:vAlign w:val="bottom"/>
          </w:tcPr>
          <w:p>
            <w:pPr>
              <w:ind w:left="80"/>
              <w:spacing w:after="0" w:line="152" w:lineRule="exact"/>
              <w:rPr>
                <w:sz w:val="20"/>
                <w:szCs w:val="20"/>
                <w:color w:val="auto"/>
              </w:rPr>
            </w:pPr>
            <w:r>
              <w:rPr>
                <w:rFonts w:ascii="Arial" w:cs="Arial" w:eastAsia="Arial" w:hAnsi="Arial"/>
                <w:sz w:val="15"/>
                <w:szCs w:val="15"/>
                <w:color w:val="auto"/>
              </w:rPr>
              <w:t>Perquisites and Other</w:t>
            </w: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Personal Benefits</w:t>
            </w:r>
            <w:r>
              <w:rPr>
                <w:rFonts w:ascii="Arial" w:cs="Arial" w:eastAsia="Arial" w:hAnsi="Arial"/>
                <w:sz w:val="12"/>
                <w:szCs w:val="12"/>
                <w:color w:val="auto"/>
              </w:rPr>
              <w:t>(1)</w:t>
            </w:r>
          </w:p>
        </w:tc>
        <w:tc>
          <w:tcPr>
            <w:tcW w:w="16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290,589</w:t>
            </w:r>
          </w:p>
        </w:tc>
        <w:tc>
          <w:tcPr>
            <w:tcW w:w="13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321,066</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166,065</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43,668</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37,236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42,734</w:t>
            </w:r>
          </w:p>
        </w:tc>
        <w:tc>
          <w:tcPr>
            <w:tcW w:w="0" w:type="dxa"/>
            <w:vAlign w:val="bottom"/>
          </w:tcPr>
          <w:p>
            <w:pPr>
              <w:spacing w:after="0"/>
              <w:rPr>
                <w:sz w:val="1"/>
                <w:szCs w:val="1"/>
                <w:color w:val="auto"/>
              </w:rPr>
            </w:pPr>
          </w:p>
        </w:tc>
      </w:tr>
      <w:tr>
        <w:trPr>
          <w:trHeight w:val="156"/>
        </w:trPr>
        <w:tc>
          <w:tcPr>
            <w:tcW w:w="2420" w:type="dxa"/>
            <w:vAlign w:val="bottom"/>
          </w:tcPr>
          <w:p>
            <w:pPr>
              <w:ind w:left="80"/>
              <w:spacing w:after="0" w:line="156" w:lineRule="exact"/>
              <w:rPr>
                <w:sz w:val="20"/>
                <w:szCs w:val="20"/>
                <w:color w:val="auto"/>
              </w:rPr>
            </w:pPr>
            <w:r>
              <w:rPr>
                <w:rFonts w:ascii="Arial" w:cs="Arial" w:eastAsia="Arial" w:hAnsi="Arial"/>
                <w:sz w:val="15"/>
                <w:szCs w:val="15"/>
                <w:color w:val="auto"/>
              </w:rPr>
              <w:t>Employer Contributions</w:t>
            </w: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 Savings Plans</w:t>
            </w:r>
            <w:r>
              <w:rPr>
                <w:rFonts w:ascii="Arial" w:cs="Arial" w:eastAsia="Arial" w:hAnsi="Arial"/>
                <w:sz w:val="12"/>
                <w:szCs w:val="12"/>
                <w:color w:val="auto"/>
              </w:rPr>
              <w:t>(2)</w:t>
            </w:r>
          </w:p>
        </w:tc>
        <w:tc>
          <w:tcPr>
            <w:tcW w:w="16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507,360</w:t>
            </w:r>
          </w:p>
        </w:tc>
        <w:tc>
          <w:tcPr>
            <w:tcW w:w="13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80,632</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201,552</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226,200</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189,374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207,350</w:t>
            </w:r>
          </w:p>
        </w:tc>
        <w:tc>
          <w:tcPr>
            <w:tcW w:w="0" w:type="dxa"/>
            <w:vAlign w:val="bottom"/>
          </w:tcPr>
          <w:p>
            <w:pPr>
              <w:spacing w:after="0"/>
              <w:rPr>
                <w:sz w:val="1"/>
                <w:szCs w:val="1"/>
                <w:color w:val="auto"/>
              </w:rPr>
            </w:pPr>
          </w:p>
        </w:tc>
      </w:tr>
      <w:tr>
        <w:trPr>
          <w:trHeight w:val="156"/>
        </w:trPr>
        <w:tc>
          <w:tcPr>
            <w:tcW w:w="2420" w:type="dxa"/>
            <w:vAlign w:val="bottom"/>
          </w:tcPr>
          <w:p>
            <w:pPr>
              <w:ind w:left="80"/>
              <w:spacing w:after="0" w:line="156" w:lineRule="exact"/>
              <w:rPr>
                <w:sz w:val="20"/>
                <w:szCs w:val="20"/>
                <w:color w:val="auto"/>
              </w:rPr>
            </w:pPr>
            <w:r>
              <w:rPr>
                <w:rFonts w:ascii="Arial" w:cs="Arial" w:eastAsia="Arial" w:hAnsi="Arial"/>
                <w:sz w:val="15"/>
                <w:szCs w:val="15"/>
                <w:color w:val="auto"/>
              </w:rPr>
              <w:t>Life and Other</w:t>
            </w:r>
          </w:p>
        </w:tc>
        <w:tc>
          <w:tcPr>
            <w:tcW w:w="1600" w:type="dxa"/>
            <w:vAlign w:val="bottom"/>
            <w:vMerge w:val="restart"/>
          </w:tcPr>
          <w:p>
            <w:pPr>
              <w:jc w:val="right"/>
              <w:ind w:right="44"/>
              <w:spacing w:after="0" w:line="164" w:lineRule="exact"/>
              <w:rPr>
                <w:sz w:val="20"/>
                <w:szCs w:val="20"/>
                <w:color w:val="auto"/>
              </w:rPr>
            </w:pPr>
            <w:r>
              <w:rPr>
                <w:rFonts w:ascii="Arial" w:cs="Arial" w:eastAsia="Arial" w:hAnsi="Arial"/>
                <w:sz w:val="15"/>
                <w:szCs w:val="15"/>
                <w:color w:val="auto"/>
              </w:rPr>
              <w:t>13,735</w:t>
            </w:r>
          </w:p>
        </w:tc>
        <w:tc>
          <w:tcPr>
            <w:tcW w:w="1360" w:type="dxa"/>
            <w:vAlign w:val="bottom"/>
            <w:vMerge w:val="restart"/>
          </w:tcPr>
          <w:p>
            <w:pPr>
              <w:jc w:val="right"/>
              <w:ind w:right="44"/>
              <w:spacing w:after="0" w:line="164" w:lineRule="exact"/>
              <w:rPr>
                <w:sz w:val="20"/>
                <w:szCs w:val="20"/>
                <w:color w:val="auto"/>
              </w:rPr>
            </w:pPr>
            <w:r>
              <w:rPr>
                <w:rFonts w:ascii="Arial" w:cs="Arial" w:eastAsia="Arial" w:hAnsi="Arial"/>
                <w:sz w:val="15"/>
                <w:szCs w:val="15"/>
                <w:color w:val="auto"/>
              </w:rPr>
              <w:t>894</w:t>
            </w:r>
          </w:p>
        </w:tc>
        <w:tc>
          <w:tcPr>
            <w:tcW w:w="1080" w:type="dxa"/>
            <w:vAlign w:val="bottom"/>
            <w:vMerge w:val="restart"/>
          </w:tcPr>
          <w:p>
            <w:pPr>
              <w:jc w:val="right"/>
              <w:ind w:right="44"/>
              <w:spacing w:after="0" w:line="164" w:lineRule="exact"/>
              <w:rPr>
                <w:sz w:val="20"/>
                <w:szCs w:val="20"/>
                <w:color w:val="auto"/>
              </w:rPr>
            </w:pPr>
            <w:r>
              <w:rPr>
                <w:rFonts w:ascii="Arial" w:cs="Arial" w:eastAsia="Arial" w:hAnsi="Arial"/>
                <w:sz w:val="15"/>
                <w:szCs w:val="15"/>
                <w:color w:val="auto"/>
              </w:rPr>
              <w:t>4,690</w:t>
            </w:r>
          </w:p>
        </w:tc>
        <w:tc>
          <w:tcPr>
            <w:tcW w:w="1040" w:type="dxa"/>
            <w:vAlign w:val="bottom"/>
            <w:vMerge w:val="restart"/>
          </w:tcPr>
          <w:p>
            <w:pPr>
              <w:jc w:val="right"/>
              <w:ind w:right="44"/>
              <w:spacing w:after="0" w:line="164" w:lineRule="exact"/>
              <w:rPr>
                <w:sz w:val="20"/>
                <w:szCs w:val="20"/>
                <w:color w:val="auto"/>
              </w:rPr>
            </w:pPr>
            <w:r>
              <w:rPr>
                <w:rFonts w:ascii="Arial" w:cs="Arial" w:eastAsia="Arial" w:hAnsi="Arial"/>
                <w:sz w:val="15"/>
                <w:szCs w:val="15"/>
                <w:color w:val="auto"/>
              </w:rPr>
              <w:t>7,711</w:t>
            </w:r>
          </w:p>
        </w:tc>
        <w:tc>
          <w:tcPr>
            <w:tcW w:w="1000" w:type="dxa"/>
            <w:vAlign w:val="bottom"/>
            <w:vMerge w:val="restart"/>
          </w:tcPr>
          <w:p>
            <w:pPr>
              <w:jc w:val="right"/>
              <w:ind w:right="44"/>
              <w:spacing w:after="0" w:line="164" w:lineRule="exact"/>
              <w:rPr>
                <w:sz w:val="20"/>
                <w:szCs w:val="20"/>
                <w:color w:val="auto"/>
              </w:rPr>
            </w:pPr>
            <w:r>
              <w:rPr>
                <w:rFonts w:ascii="Arial" w:cs="Arial" w:eastAsia="Arial" w:hAnsi="Arial"/>
                <w:sz w:val="15"/>
                <w:szCs w:val="15"/>
                <w:color w:val="auto"/>
              </w:rPr>
              <w:t>6,587</w:t>
            </w:r>
          </w:p>
        </w:tc>
        <w:tc>
          <w:tcPr>
            <w:tcW w:w="1100" w:type="dxa"/>
            <w:vAlign w:val="bottom"/>
            <w:vMerge w:val="restart"/>
          </w:tcPr>
          <w:p>
            <w:pPr>
              <w:jc w:val="right"/>
              <w:spacing w:after="0" w:line="164" w:lineRule="exact"/>
              <w:rPr>
                <w:sz w:val="20"/>
                <w:szCs w:val="20"/>
                <w:color w:val="auto"/>
              </w:rPr>
            </w:pPr>
            <w:r>
              <w:rPr>
                <w:rFonts w:ascii="Arial" w:cs="Arial" w:eastAsia="Arial" w:hAnsi="Arial"/>
                <w:sz w:val="15"/>
                <w:szCs w:val="15"/>
                <w:color w:val="auto"/>
              </w:rPr>
              <w:t>7,069</w:t>
            </w:r>
          </w:p>
        </w:tc>
        <w:tc>
          <w:tcPr>
            <w:tcW w:w="0" w:type="dxa"/>
            <w:vAlign w:val="bottom"/>
          </w:tcPr>
          <w:p>
            <w:pPr>
              <w:spacing w:after="0"/>
              <w:rPr>
                <w:sz w:val="1"/>
                <w:szCs w:val="1"/>
                <w:color w:val="auto"/>
              </w:rPr>
            </w:pPr>
          </w:p>
        </w:tc>
      </w:tr>
      <w:tr>
        <w:trPr>
          <w:trHeight w:val="7"/>
        </w:trPr>
        <w:tc>
          <w:tcPr>
            <w:tcW w:w="2420" w:type="dxa"/>
            <w:vAlign w:val="bottom"/>
          </w:tcPr>
          <w:p>
            <w:pPr>
              <w:ind w:left="80"/>
              <w:spacing w:after="0" w:line="8" w:lineRule="exact"/>
              <w:rPr>
                <w:sz w:val="20"/>
                <w:szCs w:val="20"/>
                <w:color w:val="auto"/>
              </w:rPr>
            </w:pPr>
            <w:r>
              <w:rPr>
                <w:rFonts w:ascii="Arial" w:cs="Arial" w:eastAsia="Arial" w:hAnsi="Arial"/>
                <w:sz w:val="1"/>
                <w:szCs w:val="1"/>
                <w:color w:val="auto"/>
              </w:rPr>
              <w:t>Insurance Benefits</w:t>
            </w:r>
          </w:p>
        </w:tc>
        <w:tc>
          <w:tcPr>
            <w:tcW w:w="16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tcPr>
          <w:p>
            <w:pPr>
              <w:ind w:left="1340"/>
              <w:spacing w:after="0"/>
              <w:rPr>
                <w:sz w:val="20"/>
                <w:szCs w:val="20"/>
                <w:color w:val="auto"/>
              </w:rPr>
            </w:pPr>
            <w:r>
              <w:rPr>
                <w:rFonts w:ascii="Arial" w:cs="Arial" w:eastAsia="Arial" w:hAnsi="Arial"/>
                <w:sz w:val="13"/>
                <w:szCs w:val="13"/>
                <w:color w:val="auto"/>
              </w:rPr>
              <w:t>(3)</w:t>
            </w: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0033A0"/>
            </w:tcBorders>
          </w:tcPr>
          <w:p>
            <w:pPr>
              <w:ind w:left="80"/>
              <w:spacing w:after="0"/>
              <w:rPr>
                <w:sz w:val="20"/>
                <w:szCs w:val="20"/>
                <w:color w:val="auto"/>
              </w:rPr>
            </w:pPr>
            <w:r>
              <w:rPr>
                <w:rFonts w:ascii="Arial" w:cs="Arial" w:eastAsia="Arial" w:hAnsi="Arial"/>
                <w:sz w:val="15"/>
                <w:szCs w:val="15"/>
                <w:b w:val="1"/>
                <w:bCs w:val="1"/>
                <w:color w:val="0033A0"/>
              </w:rPr>
              <w:t>TOTAL</w:t>
            </w:r>
          </w:p>
        </w:tc>
        <w:tc>
          <w:tcPr>
            <w:tcW w:w="160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811,684</w:t>
            </w:r>
          </w:p>
        </w:tc>
        <w:tc>
          <w:tcPr>
            <w:tcW w:w="136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402,592</w:t>
            </w:r>
          </w:p>
        </w:tc>
        <w:tc>
          <w:tcPr>
            <w:tcW w:w="108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372,307</w:t>
            </w:r>
          </w:p>
        </w:tc>
        <w:tc>
          <w:tcPr>
            <w:tcW w:w="104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277,579</w:t>
            </w:r>
          </w:p>
        </w:tc>
        <w:tc>
          <w:tcPr>
            <w:tcW w:w="100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233,197</w:t>
            </w:r>
          </w:p>
        </w:tc>
        <w:tc>
          <w:tcPr>
            <w:tcW w:w="110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257,153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60" w:hanging="426"/>
        <w:spacing w:after="0"/>
        <w:tabs>
          <w:tab w:leader="none" w:pos="96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included as Perquisites and Other Personal Benefits are described in the table below.</w:t>
      </w:r>
    </w:p>
    <w:p>
      <w:pPr>
        <w:spacing w:after="0" w:line="68" w:lineRule="exact"/>
        <w:rPr>
          <w:rFonts w:ascii="Arial" w:cs="Arial" w:eastAsia="Arial" w:hAnsi="Arial"/>
          <w:sz w:val="14"/>
          <w:szCs w:val="14"/>
          <w:i w:val="1"/>
          <w:iCs w:val="1"/>
          <w:color w:val="auto"/>
        </w:rPr>
      </w:pPr>
    </w:p>
    <w:p>
      <w:pPr>
        <w:ind w:left="960" w:hanging="426"/>
        <w:spacing w:after="0"/>
        <w:tabs>
          <w:tab w:leader="none" w:pos="96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employer contributions to tax-qualified and non-tax-qualified savings and retirement plans during 2018.</w:t>
      </w:r>
    </w:p>
    <w:p>
      <w:pPr>
        <w:spacing w:after="0" w:line="68" w:lineRule="exact"/>
        <w:rPr>
          <w:rFonts w:ascii="Arial" w:cs="Arial" w:eastAsia="Arial" w:hAnsi="Arial"/>
          <w:sz w:val="14"/>
          <w:szCs w:val="14"/>
          <w:i w:val="1"/>
          <w:iCs w:val="1"/>
          <w:color w:val="auto"/>
        </w:rPr>
      </w:pPr>
    </w:p>
    <w:p>
      <w:pPr>
        <w:ind w:left="960" w:right="220" w:hanging="426"/>
        <w:spacing w:after="0" w:line="260" w:lineRule="auto"/>
        <w:tabs>
          <w:tab w:leader="none" w:pos="96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premiums paid by the Company for Group Variable Universal Life insurance for executives. Executives are responsible for any ordinary income taxes resulting from the cost of the GM-paid premiums. For Ms. Barra, amounts also include the Company’s cost of premiums for providing personal accident insurance for members of the Board.</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Perquisites and Other Personal Benefits</w:t>
      </w:r>
    </w:p>
    <w:p>
      <w:pPr>
        <w:spacing w:after="0" w:line="91" w:lineRule="exact"/>
        <w:rPr>
          <w:sz w:val="20"/>
          <w:szCs w:val="20"/>
          <w:color w:val="auto"/>
        </w:rPr>
      </w:pPr>
    </w:p>
    <w:tbl>
      <w:tblPr>
        <w:tblLayout w:type="fixed"/>
        <w:tblInd w:w="540" w:type="dxa"/>
        <w:tblCellMar>
          <w:top w:w="0" w:type="dxa"/>
          <w:left w:w="0" w:type="dxa"/>
          <w:bottom w:w="0" w:type="dxa"/>
          <w:right w:w="0" w:type="dxa"/>
        </w:tblCellMar>
      </w:tblPr>
      <w:tr>
        <w:trPr>
          <w:trHeight w:val="167"/>
        </w:trPr>
        <w:tc>
          <w:tcPr>
            <w:tcW w:w="2360" w:type="dxa"/>
            <w:vAlign w:val="bottom"/>
            <w:tcBorders>
              <w:top w:val="single" w:sz="8" w:color="00A1DF"/>
            </w:tcBorders>
          </w:tcPr>
          <w:p>
            <w:pPr>
              <w:spacing w:after="0"/>
              <w:rPr>
                <w:sz w:val="14"/>
                <w:szCs w:val="14"/>
                <w:color w:val="auto"/>
              </w:rPr>
            </w:pPr>
          </w:p>
        </w:tc>
        <w:tc>
          <w:tcPr>
            <w:tcW w:w="1100" w:type="dxa"/>
            <w:vAlign w:val="bottom"/>
            <w:tcBorders>
              <w:top w:val="single" w:sz="8" w:color="00A1DF"/>
            </w:tcBorders>
          </w:tcPr>
          <w:p>
            <w:pPr>
              <w:jc w:val="right"/>
              <w:ind w:right="93"/>
              <w:spacing w:after="0" w:line="167" w:lineRule="exact"/>
              <w:rPr>
                <w:sz w:val="20"/>
                <w:szCs w:val="20"/>
                <w:color w:val="auto"/>
              </w:rPr>
            </w:pPr>
            <w:r>
              <w:rPr>
                <w:rFonts w:ascii="Arial" w:cs="Arial" w:eastAsia="Arial" w:hAnsi="Arial"/>
                <w:sz w:val="15"/>
                <w:szCs w:val="15"/>
                <w:b w:val="1"/>
                <w:bCs w:val="1"/>
                <w:color w:val="00A1DF"/>
              </w:rPr>
              <w:t>M.T. Barra</w:t>
            </w:r>
          </w:p>
        </w:tc>
        <w:tc>
          <w:tcPr>
            <w:tcW w:w="1400" w:type="dxa"/>
            <w:vAlign w:val="bottom"/>
            <w:tcBorders>
              <w:top w:val="single" w:sz="8" w:color="00A1DF"/>
            </w:tcBorders>
          </w:tcPr>
          <w:p>
            <w:pPr>
              <w:jc w:val="right"/>
              <w:ind w:right="93"/>
              <w:spacing w:after="0" w:line="167" w:lineRule="exact"/>
              <w:rPr>
                <w:sz w:val="20"/>
                <w:szCs w:val="20"/>
                <w:color w:val="auto"/>
              </w:rPr>
            </w:pPr>
            <w:r>
              <w:rPr>
                <w:rFonts w:ascii="Arial" w:cs="Arial" w:eastAsia="Arial" w:hAnsi="Arial"/>
                <w:sz w:val="15"/>
                <w:szCs w:val="15"/>
                <w:b w:val="1"/>
                <w:bCs w:val="1"/>
                <w:color w:val="00A1DF"/>
              </w:rPr>
              <w:t>D. Suryadevara</w:t>
            </w:r>
          </w:p>
        </w:tc>
        <w:tc>
          <w:tcPr>
            <w:tcW w:w="1120" w:type="dxa"/>
            <w:vAlign w:val="bottom"/>
            <w:tcBorders>
              <w:top w:val="single" w:sz="8" w:color="00A1DF"/>
            </w:tcBorders>
          </w:tcPr>
          <w:p>
            <w:pPr>
              <w:jc w:val="right"/>
              <w:ind w:right="93"/>
              <w:spacing w:after="0" w:line="167" w:lineRule="exact"/>
              <w:rPr>
                <w:sz w:val="20"/>
                <w:szCs w:val="20"/>
                <w:color w:val="auto"/>
              </w:rPr>
            </w:pPr>
            <w:r>
              <w:rPr>
                <w:rFonts w:ascii="Arial" w:cs="Arial" w:eastAsia="Arial" w:hAnsi="Arial"/>
                <w:sz w:val="15"/>
                <w:szCs w:val="15"/>
                <w:b w:val="1"/>
                <w:bCs w:val="1"/>
                <w:color w:val="00A1DF"/>
              </w:rPr>
              <w:t>D. Ammann</w:t>
            </w:r>
          </w:p>
        </w:tc>
        <w:tc>
          <w:tcPr>
            <w:tcW w:w="1080" w:type="dxa"/>
            <w:vAlign w:val="bottom"/>
            <w:tcBorders>
              <w:top w:val="single" w:sz="8" w:color="00A1DF"/>
            </w:tcBorders>
          </w:tcPr>
          <w:p>
            <w:pPr>
              <w:jc w:val="right"/>
              <w:ind w:right="93"/>
              <w:spacing w:after="0" w:line="167" w:lineRule="exact"/>
              <w:rPr>
                <w:sz w:val="20"/>
                <w:szCs w:val="20"/>
                <w:color w:val="auto"/>
              </w:rPr>
            </w:pPr>
            <w:r>
              <w:rPr>
                <w:rFonts w:ascii="Arial" w:cs="Arial" w:eastAsia="Arial" w:hAnsi="Arial"/>
                <w:sz w:val="15"/>
                <w:szCs w:val="15"/>
                <w:b w:val="1"/>
                <w:bCs w:val="1"/>
                <w:color w:val="00A1DF"/>
              </w:rPr>
              <w:t>M.L. Reuss</w:t>
            </w:r>
          </w:p>
        </w:tc>
        <w:tc>
          <w:tcPr>
            <w:tcW w:w="1040" w:type="dxa"/>
            <w:vAlign w:val="bottom"/>
            <w:tcBorders>
              <w:top w:val="single" w:sz="8" w:color="00A1DF"/>
            </w:tcBorders>
          </w:tcPr>
          <w:p>
            <w:pPr>
              <w:jc w:val="right"/>
              <w:ind w:right="93"/>
              <w:spacing w:after="0" w:line="167" w:lineRule="exact"/>
              <w:rPr>
                <w:sz w:val="20"/>
                <w:szCs w:val="20"/>
                <w:color w:val="auto"/>
              </w:rPr>
            </w:pPr>
            <w:r>
              <w:rPr>
                <w:rFonts w:ascii="Arial" w:cs="Arial" w:eastAsia="Arial" w:hAnsi="Arial"/>
                <w:sz w:val="15"/>
                <w:szCs w:val="15"/>
                <w:b w:val="1"/>
                <w:bCs w:val="1"/>
                <w:color w:val="00A1DF"/>
              </w:rPr>
              <w:t>A.S. Batey</w:t>
            </w:r>
          </w:p>
        </w:tc>
        <w:tc>
          <w:tcPr>
            <w:tcW w:w="1120" w:type="dxa"/>
            <w:vAlign w:val="bottom"/>
            <w:tcBorders>
              <w:top w:val="single" w:sz="8" w:color="00A1DF"/>
            </w:tcBorders>
          </w:tcPr>
          <w:p>
            <w:pPr>
              <w:jc w:val="right"/>
              <w:ind w:right="13"/>
              <w:spacing w:after="0" w:line="167" w:lineRule="exact"/>
              <w:rPr>
                <w:sz w:val="20"/>
                <w:szCs w:val="20"/>
                <w:color w:val="auto"/>
              </w:rPr>
            </w:pPr>
            <w:r>
              <w:rPr>
                <w:rFonts w:ascii="Arial" w:cs="Arial" w:eastAsia="Arial" w:hAnsi="Arial"/>
                <w:sz w:val="15"/>
                <w:szCs w:val="15"/>
                <w:b w:val="1"/>
                <w:bCs w:val="1"/>
                <w:color w:val="00A1DF"/>
              </w:rPr>
              <w:t>C.K. Stevens</w:t>
            </w:r>
          </w:p>
        </w:tc>
      </w:tr>
      <w:tr>
        <w:trPr>
          <w:trHeight w:val="202"/>
        </w:trPr>
        <w:tc>
          <w:tcPr>
            <w:tcW w:w="2360" w:type="dxa"/>
            <w:vAlign w:val="bottom"/>
          </w:tcPr>
          <w:p>
            <w:pPr>
              <w:spacing w:after="0"/>
              <w:rPr>
                <w:sz w:val="17"/>
                <w:szCs w:val="17"/>
                <w:color w:val="auto"/>
              </w:rPr>
            </w:pPr>
          </w:p>
        </w:tc>
        <w:tc>
          <w:tcPr>
            <w:tcW w:w="1100" w:type="dxa"/>
            <w:vAlign w:val="bottom"/>
          </w:tcPr>
          <w:p>
            <w:pPr>
              <w:jc w:val="right"/>
              <w:ind w:right="93"/>
              <w:spacing w:after="0"/>
              <w:rPr>
                <w:sz w:val="20"/>
                <w:szCs w:val="20"/>
                <w:color w:val="auto"/>
              </w:rPr>
            </w:pPr>
            <w:r>
              <w:rPr>
                <w:rFonts w:ascii="Arial" w:cs="Arial" w:eastAsia="Arial" w:hAnsi="Arial"/>
                <w:sz w:val="15"/>
                <w:szCs w:val="15"/>
                <w:b w:val="1"/>
                <w:bCs w:val="1"/>
                <w:color w:val="00A1DF"/>
              </w:rPr>
              <w:t>($)</w:t>
            </w:r>
          </w:p>
        </w:tc>
        <w:tc>
          <w:tcPr>
            <w:tcW w:w="1400" w:type="dxa"/>
            <w:vAlign w:val="bottom"/>
          </w:tcPr>
          <w:p>
            <w:pPr>
              <w:jc w:val="right"/>
              <w:ind w:right="93"/>
              <w:spacing w:after="0"/>
              <w:rPr>
                <w:sz w:val="20"/>
                <w:szCs w:val="20"/>
                <w:color w:val="auto"/>
              </w:rPr>
            </w:pPr>
            <w:r>
              <w:rPr>
                <w:rFonts w:ascii="Arial" w:cs="Arial" w:eastAsia="Arial" w:hAnsi="Arial"/>
                <w:sz w:val="15"/>
                <w:szCs w:val="15"/>
                <w:b w:val="1"/>
                <w:bCs w:val="1"/>
                <w:color w:val="00A1DF"/>
              </w:rPr>
              <w:t>($)</w:t>
            </w:r>
          </w:p>
        </w:tc>
        <w:tc>
          <w:tcPr>
            <w:tcW w:w="1120" w:type="dxa"/>
            <w:vAlign w:val="bottom"/>
          </w:tcPr>
          <w:p>
            <w:pPr>
              <w:jc w:val="right"/>
              <w:ind w:right="93"/>
              <w:spacing w:after="0"/>
              <w:rPr>
                <w:sz w:val="20"/>
                <w:szCs w:val="20"/>
                <w:color w:val="auto"/>
              </w:rPr>
            </w:pPr>
            <w:r>
              <w:rPr>
                <w:rFonts w:ascii="Arial" w:cs="Arial" w:eastAsia="Arial" w:hAnsi="Arial"/>
                <w:sz w:val="15"/>
                <w:szCs w:val="15"/>
                <w:b w:val="1"/>
                <w:bCs w:val="1"/>
                <w:color w:val="00A1DF"/>
              </w:rPr>
              <w:t>($)</w:t>
            </w:r>
          </w:p>
        </w:tc>
        <w:tc>
          <w:tcPr>
            <w:tcW w:w="1080" w:type="dxa"/>
            <w:vAlign w:val="bottom"/>
          </w:tcPr>
          <w:p>
            <w:pPr>
              <w:jc w:val="right"/>
              <w:ind w:right="93"/>
              <w:spacing w:after="0"/>
              <w:rPr>
                <w:sz w:val="20"/>
                <w:szCs w:val="20"/>
                <w:color w:val="auto"/>
              </w:rPr>
            </w:pPr>
            <w:r>
              <w:rPr>
                <w:rFonts w:ascii="Arial" w:cs="Arial" w:eastAsia="Arial" w:hAnsi="Arial"/>
                <w:sz w:val="15"/>
                <w:szCs w:val="15"/>
                <w:b w:val="1"/>
                <w:bCs w:val="1"/>
                <w:color w:val="00A1DF"/>
              </w:rPr>
              <w:t>($)</w:t>
            </w:r>
          </w:p>
        </w:tc>
        <w:tc>
          <w:tcPr>
            <w:tcW w:w="1040" w:type="dxa"/>
            <w:vAlign w:val="bottom"/>
          </w:tcPr>
          <w:p>
            <w:pPr>
              <w:jc w:val="right"/>
              <w:ind w:right="93"/>
              <w:spacing w:after="0"/>
              <w:rPr>
                <w:sz w:val="20"/>
                <w:szCs w:val="20"/>
                <w:color w:val="auto"/>
              </w:rPr>
            </w:pPr>
            <w:r>
              <w:rPr>
                <w:rFonts w:ascii="Arial" w:cs="Arial" w:eastAsia="Arial" w:hAnsi="Arial"/>
                <w:sz w:val="15"/>
                <w:szCs w:val="15"/>
                <w:b w:val="1"/>
                <w:bCs w:val="1"/>
                <w:color w:val="00A1DF"/>
              </w:rPr>
              <w:t>($)</w:t>
            </w:r>
          </w:p>
        </w:tc>
        <w:tc>
          <w:tcPr>
            <w:tcW w:w="1120" w:type="dxa"/>
            <w:vAlign w:val="bottom"/>
          </w:tcPr>
          <w:p>
            <w:pPr>
              <w:jc w:val="right"/>
              <w:ind w:right="13"/>
              <w:spacing w:after="0"/>
              <w:rPr>
                <w:sz w:val="20"/>
                <w:szCs w:val="20"/>
                <w:color w:val="auto"/>
              </w:rPr>
            </w:pPr>
            <w:r>
              <w:rPr>
                <w:rFonts w:ascii="Arial" w:cs="Arial" w:eastAsia="Arial" w:hAnsi="Arial"/>
                <w:sz w:val="15"/>
                <w:szCs w:val="15"/>
                <w:b w:val="1"/>
                <w:bCs w:val="1"/>
                <w:color w:val="00A1DF"/>
              </w:rPr>
              <w:t>($)</w:t>
            </w:r>
          </w:p>
        </w:tc>
      </w:tr>
      <w:tr>
        <w:trPr>
          <w:trHeight w:val="62"/>
        </w:trPr>
        <w:tc>
          <w:tcPr>
            <w:tcW w:w="2360" w:type="dxa"/>
            <w:vAlign w:val="bottom"/>
            <w:tcBorders>
              <w:bottom w:val="single" w:sz="8" w:color="00A1DF"/>
            </w:tcBorders>
          </w:tcPr>
          <w:p>
            <w:pPr>
              <w:spacing w:after="0"/>
              <w:rPr>
                <w:sz w:val="5"/>
                <w:szCs w:val="5"/>
                <w:color w:val="auto"/>
              </w:rPr>
            </w:pPr>
          </w:p>
        </w:tc>
        <w:tc>
          <w:tcPr>
            <w:tcW w:w="1100" w:type="dxa"/>
            <w:vAlign w:val="bottom"/>
            <w:tcBorders>
              <w:bottom w:val="single" w:sz="8" w:color="00A1DF"/>
            </w:tcBorders>
          </w:tcPr>
          <w:p>
            <w:pPr>
              <w:spacing w:after="0"/>
              <w:rPr>
                <w:sz w:val="5"/>
                <w:szCs w:val="5"/>
                <w:color w:val="auto"/>
              </w:rPr>
            </w:pPr>
          </w:p>
        </w:tc>
        <w:tc>
          <w:tcPr>
            <w:tcW w:w="1400" w:type="dxa"/>
            <w:vAlign w:val="bottom"/>
            <w:tcBorders>
              <w:bottom w:val="single" w:sz="8" w:color="00A1DF"/>
            </w:tcBorders>
          </w:tcPr>
          <w:p>
            <w:pPr>
              <w:spacing w:after="0"/>
              <w:rPr>
                <w:sz w:val="5"/>
                <w:szCs w:val="5"/>
                <w:color w:val="auto"/>
              </w:rPr>
            </w:pPr>
          </w:p>
        </w:tc>
        <w:tc>
          <w:tcPr>
            <w:tcW w:w="1120" w:type="dxa"/>
            <w:vAlign w:val="bottom"/>
            <w:tcBorders>
              <w:bottom w:val="single" w:sz="8" w:color="00A1DF"/>
            </w:tcBorders>
          </w:tcPr>
          <w:p>
            <w:pPr>
              <w:spacing w:after="0"/>
              <w:rPr>
                <w:sz w:val="5"/>
                <w:szCs w:val="5"/>
                <w:color w:val="auto"/>
              </w:rPr>
            </w:pPr>
          </w:p>
        </w:tc>
        <w:tc>
          <w:tcPr>
            <w:tcW w:w="1080" w:type="dxa"/>
            <w:vAlign w:val="bottom"/>
            <w:tcBorders>
              <w:bottom w:val="single" w:sz="8" w:color="00A1DF"/>
            </w:tcBorders>
          </w:tcPr>
          <w:p>
            <w:pPr>
              <w:spacing w:after="0"/>
              <w:rPr>
                <w:sz w:val="5"/>
                <w:szCs w:val="5"/>
                <w:color w:val="auto"/>
              </w:rPr>
            </w:pPr>
          </w:p>
        </w:tc>
        <w:tc>
          <w:tcPr>
            <w:tcW w:w="1040" w:type="dxa"/>
            <w:vAlign w:val="bottom"/>
            <w:tcBorders>
              <w:bottom w:val="single" w:sz="8" w:color="00A1DF"/>
            </w:tcBorders>
          </w:tcPr>
          <w:p>
            <w:pPr>
              <w:spacing w:after="0"/>
              <w:rPr>
                <w:sz w:val="5"/>
                <w:szCs w:val="5"/>
                <w:color w:val="auto"/>
              </w:rPr>
            </w:pPr>
          </w:p>
        </w:tc>
        <w:tc>
          <w:tcPr>
            <w:tcW w:w="1120" w:type="dxa"/>
            <w:vAlign w:val="bottom"/>
            <w:tcBorders>
              <w:bottom w:val="single" w:sz="8" w:color="00A1DF"/>
            </w:tcBorders>
          </w:tcPr>
          <w:p>
            <w:pPr>
              <w:spacing w:after="0"/>
              <w:rPr>
                <w:sz w:val="5"/>
                <w:szCs w:val="5"/>
                <w:color w:val="auto"/>
              </w:rPr>
            </w:pPr>
          </w:p>
        </w:tc>
      </w:tr>
      <w:tr>
        <w:trPr>
          <w:trHeight w:val="180"/>
        </w:trPr>
        <w:tc>
          <w:tcPr>
            <w:tcW w:w="2360" w:type="dxa"/>
            <w:vAlign w:val="bottom"/>
          </w:tcPr>
          <w:p>
            <w:pPr>
              <w:ind w:left="80"/>
              <w:spacing w:after="0"/>
              <w:rPr>
                <w:sz w:val="20"/>
                <w:szCs w:val="20"/>
                <w:color w:val="auto"/>
              </w:rPr>
            </w:pPr>
            <w:r>
              <w:rPr>
                <w:rFonts w:ascii="Arial" w:cs="Arial" w:eastAsia="Arial" w:hAnsi="Arial"/>
                <w:sz w:val="15"/>
                <w:szCs w:val="15"/>
                <w:color w:val="auto"/>
              </w:rPr>
              <w:t>Personal Travel</w:t>
            </w:r>
            <w:r>
              <w:rPr>
                <w:rFonts w:ascii="Arial" w:cs="Arial" w:eastAsia="Arial" w:hAnsi="Arial"/>
                <w:sz w:val="12"/>
                <w:szCs w:val="12"/>
                <w:color w:val="auto"/>
              </w:rPr>
              <w:t>(1)</w:t>
            </w:r>
          </w:p>
        </w:tc>
        <w:tc>
          <w:tcPr>
            <w:tcW w:w="1100" w:type="dxa"/>
            <w:vAlign w:val="bottom"/>
          </w:tcPr>
          <w:p>
            <w:pPr>
              <w:jc w:val="right"/>
              <w:ind w:right="93"/>
              <w:spacing w:after="0"/>
              <w:rPr>
                <w:sz w:val="20"/>
                <w:szCs w:val="20"/>
                <w:color w:val="auto"/>
              </w:rPr>
            </w:pPr>
            <w:r>
              <w:rPr>
                <w:rFonts w:ascii="Arial" w:cs="Arial" w:eastAsia="Arial" w:hAnsi="Arial"/>
                <w:sz w:val="15"/>
                <w:szCs w:val="15"/>
                <w:color w:val="auto"/>
              </w:rPr>
              <w:t>140,599</w:t>
            </w:r>
          </w:p>
        </w:tc>
        <w:tc>
          <w:tcPr>
            <w:tcW w:w="140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93"/>
              <w:spacing w:after="0"/>
              <w:rPr>
                <w:sz w:val="20"/>
                <w:szCs w:val="20"/>
                <w:color w:val="auto"/>
              </w:rPr>
            </w:pPr>
            <w:r>
              <w:rPr>
                <w:rFonts w:ascii="Arial" w:cs="Arial" w:eastAsia="Arial" w:hAnsi="Arial"/>
                <w:sz w:val="15"/>
                <w:szCs w:val="15"/>
                <w:color w:val="auto"/>
              </w:rPr>
              <w:t>67,277</w:t>
            </w:r>
          </w:p>
        </w:tc>
        <w:tc>
          <w:tcPr>
            <w:tcW w:w="108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3"/>
              <w:spacing w:after="0"/>
              <w:rPr>
                <w:sz w:val="20"/>
                <w:szCs w:val="20"/>
                <w:color w:val="auto"/>
              </w:rPr>
            </w:pPr>
            <w:r>
              <w:rPr>
                <w:rFonts w:ascii="Arial" w:cs="Arial" w:eastAsia="Arial" w:hAnsi="Arial"/>
                <w:sz w:val="15"/>
                <w:szCs w:val="15"/>
                <w:color w:val="auto"/>
              </w:rPr>
              <w:t>—</w:t>
            </w:r>
          </w:p>
        </w:tc>
      </w:tr>
      <w:tr>
        <w:trPr>
          <w:trHeight w:val="20"/>
        </w:trPr>
        <w:tc>
          <w:tcPr>
            <w:tcW w:w="2360" w:type="dxa"/>
            <w:vAlign w:val="bottom"/>
            <w:shd w:val="clear" w:color="auto" w:fill="000000"/>
          </w:tcPr>
          <w:p>
            <w:pPr>
              <w:ind w:left="80"/>
              <w:spacing w:after="0" w:line="20" w:lineRule="exact"/>
              <w:rPr>
                <w:sz w:val="20"/>
                <w:szCs w:val="20"/>
                <w:color w:val="auto"/>
              </w:rPr>
            </w:pPr>
            <w:r>
              <w:rPr>
                <w:rFonts w:ascii="Arial" w:cs="Arial" w:eastAsia="Arial" w:hAnsi="Arial"/>
                <w:sz w:val="2"/>
                <w:szCs w:val="2"/>
                <w:color w:val="auto"/>
              </w:rPr>
              <w:t>Security</w:t>
            </w:r>
          </w:p>
        </w:tc>
        <w:tc>
          <w:tcPr>
            <w:tcW w:w="110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89,884</w:t>
            </w:r>
          </w:p>
        </w:tc>
        <w:tc>
          <w:tcPr>
            <w:tcW w:w="140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w:t>
            </w:r>
          </w:p>
        </w:tc>
        <w:tc>
          <w:tcPr>
            <w:tcW w:w="112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55,434</w:t>
            </w:r>
          </w:p>
        </w:tc>
        <w:tc>
          <w:tcPr>
            <w:tcW w:w="108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w:t>
            </w:r>
          </w:p>
        </w:tc>
        <w:tc>
          <w:tcPr>
            <w:tcW w:w="104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w:t>
            </w:r>
          </w:p>
        </w:tc>
        <w:tc>
          <w:tcPr>
            <w:tcW w:w="1120" w:type="dxa"/>
            <w:vAlign w:val="bottom"/>
            <w:shd w:val="clear" w:color="auto" w:fill="000000"/>
          </w:tcPr>
          <w:p>
            <w:pPr>
              <w:jc w:val="right"/>
              <w:ind w:right="13"/>
              <w:spacing w:after="0" w:line="20" w:lineRule="exact"/>
              <w:rPr>
                <w:sz w:val="20"/>
                <w:szCs w:val="20"/>
                <w:color w:val="auto"/>
              </w:rPr>
            </w:pPr>
            <w:r>
              <w:rPr>
                <w:rFonts w:ascii="Arial" w:cs="Arial" w:eastAsia="Arial" w:hAnsi="Arial"/>
                <w:sz w:val="2"/>
                <w:szCs w:val="2"/>
                <w:color w:val="auto"/>
              </w:rPr>
              <w:t>—</w:t>
            </w:r>
          </w:p>
        </w:tc>
      </w:tr>
      <w:tr>
        <w:trPr>
          <w:trHeight w:val="156"/>
        </w:trPr>
        <w:tc>
          <w:tcPr>
            <w:tcW w:w="2360" w:type="dxa"/>
            <w:vAlign w:val="bottom"/>
          </w:tcPr>
          <w:p>
            <w:pPr>
              <w:ind w:left="640"/>
              <w:spacing w:after="0"/>
              <w:rPr>
                <w:sz w:val="20"/>
                <w:szCs w:val="20"/>
                <w:color w:val="auto"/>
              </w:rPr>
            </w:pPr>
            <w:r>
              <w:rPr>
                <w:rFonts w:ascii="Arial" w:cs="Arial" w:eastAsia="Arial" w:hAnsi="Arial"/>
                <w:sz w:val="13"/>
                <w:szCs w:val="13"/>
                <w:color w:val="auto"/>
              </w:rPr>
              <w:t>(2)</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9"/>
        </w:trPr>
        <w:tc>
          <w:tcPr>
            <w:tcW w:w="2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2360" w:type="dxa"/>
            <w:vAlign w:val="bottom"/>
          </w:tcPr>
          <w:p>
            <w:pPr>
              <w:ind w:left="80"/>
              <w:spacing w:after="0"/>
              <w:rPr>
                <w:sz w:val="20"/>
                <w:szCs w:val="20"/>
                <w:color w:val="auto"/>
              </w:rPr>
            </w:pPr>
            <w:r>
              <w:rPr>
                <w:rFonts w:ascii="Arial" w:cs="Arial" w:eastAsia="Arial" w:hAnsi="Arial"/>
                <w:sz w:val="15"/>
                <w:szCs w:val="15"/>
                <w:color w:val="auto"/>
              </w:rPr>
              <w:t>Company Vehicle Programs</w:t>
            </w:r>
            <w:r>
              <w:rPr>
                <w:rFonts w:ascii="Arial" w:cs="Arial" w:eastAsia="Arial" w:hAnsi="Arial"/>
                <w:sz w:val="12"/>
                <w:szCs w:val="12"/>
                <w:color w:val="auto"/>
              </w:rPr>
              <w:t>(3)</w:t>
            </w:r>
          </w:p>
        </w:tc>
        <w:tc>
          <w:tcPr>
            <w:tcW w:w="1100" w:type="dxa"/>
            <w:vAlign w:val="bottom"/>
          </w:tcPr>
          <w:p>
            <w:pPr>
              <w:jc w:val="right"/>
              <w:ind w:right="93"/>
              <w:spacing w:after="0"/>
              <w:rPr>
                <w:sz w:val="20"/>
                <w:szCs w:val="20"/>
                <w:color w:val="auto"/>
              </w:rPr>
            </w:pPr>
            <w:r>
              <w:rPr>
                <w:rFonts w:ascii="Arial" w:cs="Arial" w:eastAsia="Arial" w:hAnsi="Arial"/>
                <w:sz w:val="15"/>
                <w:szCs w:val="15"/>
                <w:color w:val="auto"/>
              </w:rPr>
              <w:t>44,696</w:t>
            </w:r>
          </w:p>
        </w:tc>
        <w:tc>
          <w:tcPr>
            <w:tcW w:w="1400" w:type="dxa"/>
            <w:vAlign w:val="bottom"/>
          </w:tcPr>
          <w:p>
            <w:pPr>
              <w:jc w:val="right"/>
              <w:ind w:right="93"/>
              <w:spacing w:after="0"/>
              <w:rPr>
                <w:sz w:val="20"/>
                <w:szCs w:val="20"/>
                <w:color w:val="auto"/>
              </w:rPr>
            </w:pPr>
            <w:r>
              <w:rPr>
                <w:rFonts w:ascii="Arial" w:cs="Arial" w:eastAsia="Arial" w:hAnsi="Arial"/>
                <w:sz w:val="15"/>
                <w:szCs w:val="15"/>
                <w:color w:val="auto"/>
              </w:rPr>
              <w:t>23,387</w:t>
            </w:r>
          </w:p>
        </w:tc>
        <w:tc>
          <w:tcPr>
            <w:tcW w:w="1120" w:type="dxa"/>
            <w:vAlign w:val="bottom"/>
          </w:tcPr>
          <w:p>
            <w:pPr>
              <w:jc w:val="right"/>
              <w:ind w:right="93"/>
              <w:spacing w:after="0"/>
              <w:rPr>
                <w:sz w:val="20"/>
                <w:szCs w:val="20"/>
                <w:color w:val="auto"/>
              </w:rPr>
            </w:pPr>
            <w:r>
              <w:rPr>
                <w:rFonts w:ascii="Arial" w:cs="Arial" w:eastAsia="Arial" w:hAnsi="Arial"/>
                <w:sz w:val="15"/>
                <w:szCs w:val="15"/>
                <w:color w:val="auto"/>
              </w:rPr>
              <w:t>32,994</w:t>
            </w:r>
          </w:p>
        </w:tc>
        <w:tc>
          <w:tcPr>
            <w:tcW w:w="1080" w:type="dxa"/>
            <w:vAlign w:val="bottom"/>
          </w:tcPr>
          <w:p>
            <w:pPr>
              <w:jc w:val="right"/>
              <w:ind w:right="93"/>
              <w:spacing w:after="0"/>
              <w:rPr>
                <w:sz w:val="20"/>
                <w:szCs w:val="20"/>
                <w:color w:val="auto"/>
              </w:rPr>
            </w:pPr>
            <w:r>
              <w:rPr>
                <w:rFonts w:ascii="Arial" w:cs="Arial" w:eastAsia="Arial" w:hAnsi="Arial"/>
                <w:sz w:val="15"/>
                <w:szCs w:val="15"/>
                <w:color w:val="auto"/>
              </w:rPr>
              <w:t>33,308</w:t>
            </w:r>
          </w:p>
        </w:tc>
        <w:tc>
          <w:tcPr>
            <w:tcW w:w="1040" w:type="dxa"/>
            <w:vAlign w:val="bottom"/>
          </w:tcPr>
          <w:p>
            <w:pPr>
              <w:jc w:val="right"/>
              <w:ind w:right="93"/>
              <w:spacing w:after="0"/>
              <w:rPr>
                <w:sz w:val="20"/>
                <w:szCs w:val="20"/>
                <w:color w:val="auto"/>
              </w:rPr>
            </w:pPr>
            <w:r>
              <w:rPr>
                <w:rFonts w:ascii="Arial" w:cs="Arial" w:eastAsia="Arial" w:hAnsi="Arial"/>
                <w:sz w:val="15"/>
                <w:szCs w:val="15"/>
                <w:color w:val="auto"/>
              </w:rPr>
              <w:t>26,876</w:t>
            </w:r>
          </w:p>
        </w:tc>
        <w:tc>
          <w:tcPr>
            <w:tcW w:w="1120" w:type="dxa"/>
            <w:vAlign w:val="bottom"/>
          </w:tcPr>
          <w:p>
            <w:pPr>
              <w:jc w:val="right"/>
              <w:ind w:right="13"/>
              <w:spacing w:after="0"/>
              <w:rPr>
                <w:sz w:val="20"/>
                <w:szCs w:val="20"/>
                <w:color w:val="auto"/>
              </w:rPr>
            </w:pPr>
            <w:r>
              <w:rPr>
                <w:rFonts w:ascii="Arial" w:cs="Arial" w:eastAsia="Arial" w:hAnsi="Arial"/>
                <w:sz w:val="15"/>
                <w:szCs w:val="15"/>
                <w:color w:val="auto"/>
              </w:rPr>
              <w:t>27,324</w:t>
            </w:r>
          </w:p>
        </w:tc>
      </w:tr>
      <w:tr>
        <w:trPr>
          <w:trHeight w:val="20"/>
        </w:trPr>
        <w:tc>
          <w:tcPr>
            <w:tcW w:w="2360" w:type="dxa"/>
            <w:vAlign w:val="bottom"/>
            <w:shd w:val="clear" w:color="auto" w:fill="000000"/>
          </w:tcPr>
          <w:p>
            <w:pPr>
              <w:ind w:left="80"/>
              <w:spacing w:after="0" w:line="20" w:lineRule="exact"/>
              <w:rPr>
                <w:sz w:val="20"/>
                <w:szCs w:val="20"/>
                <w:color w:val="auto"/>
              </w:rPr>
            </w:pPr>
            <w:r>
              <w:rPr>
                <w:rFonts w:ascii="Arial" w:cs="Arial" w:eastAsia="Arial" w:hAnsi="Arial"/>
                <w:sz w:val="2"/>
                <w:szCs w:val="2"/>
                <w:color w:val="auto"/>
              </w:rPr>
              <w:t>Executive Physical</w:t>
            </w:r>
          </w:p>
        </w:tc>
        <w:tc>
          <w:tcPr>
            <w:tcW w:w="110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5,050</w:t>
            </w:r>
          </w:p>
        </w:tc>
        <w:tc>
          <w:tcPr>
            <w:tcW w:w="140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w:t>
            </w:r>
          </w:p>
        </w:tc>
        <w:tc>
          <w:tcPr>
            <w:tcW w:w="112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w:t>
            </w:r>
          </w:p>
        </w:tc>
        <w:tc>
          <w:tcPr>
            <w:tcW w:w="108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w:t>
            </w:r>
          </w:p>
        </w:tc>
        <w:tc>
          <w:tcPr>
            <w:tcW w:w="1040" w:type="dxa"/>
            <w:vAlign w:val="bottom"/>
            <w:shd w:val="clear" w:color="auto" w:fill="000000"/>
          </w:tcPr>
          <w:p>
            <w:pPr>
              <w:jc w:val="right"/>
              <w:ind w:right="93"/>
              <w:spacing w:after="0" w:line="20" w:lineRule="exact"/>
              <w:rPr>
                <w:sz w:val="20"/>
                <w:szCs w:val="20"/>
                <w:color w:val="auto"/>
              </w:rPr>
            </w:pPr>
            <w:r>
              <w:rPr>
                <w:rFonts w:ascii="Arial" w:cs="Arial" w:eastAsia="Arial" w:hAnsi="Arial"/>
                <w:sz w:val="2"/>
                <w:szCs w:val="2"/>
                <w:color w:val="auto"/>
              </w:rPr>
              <w:t>—</w:t>
            </w:r>
          </w:p>
        </w:tc>
        <w:tc>
          <w:tcPr>
            <w:tcW w:w="1120" w:type="dxa"/>
            <w:vAlign w:val="bottom"/>
            <w:shd w:val="clear" w:color="auto" w:fill="000000"/>
          </w:tcPr>
          <w:p>
            <w:pPr>
              <w:jc w:val="right"/>
              <w:ind w:right="13"/>
              <w:spacing w:after="0" w:line="20" w:lineRule="exact"/>
              <w:rPr>
                <w:sz w:val="20"/>
                <w:szCs w:val="20"/>
                <w:color w:val="auto"/>
              </w:rPr>
            </w:pPr>
            <w:r>
              <w:rPr>
                <w:rFonts w:ascii="Arial" w:cs="Arial" w:eastAsia="Arial" w:hAnsi="Arial"/>
                <w:sz w:val="2"/>
                <w:szCs w:val="2"/>
                <w:color w:val="auto"/>
              </w:rPr>
              <w:t>5,050</w:t>
            </w:r>
          </w:p>
        </w:tc>
      </w:tr>
      <w:tr>
        <w:trPr>
          <w:trHeight w:val="156"/>
        </w:trPr>
        <w:tc>
          <w:tcPr>
            <w:tcW w:w="2360" w:type="dxa"/>
            <w:vAlign w:val="bottom"/>
          </w:tcPr>
          <w:p>
            <w:pPr>
              <w:ind w:left="1360"/>
              <w:spacing w:after="0"/>
              <w:rPr>
                <w:sz w:val="20"/>
                <w:szCs w:val="20"/>
                <w:color w:val="auto"/>
              </w:rPr>
            </w:pPr>
            <w:r>
              <w:rPr>
                <w:rFonts w:ascii="Arial" w:cs="Arial" w:eastAsia="Arial" w:hAnsi="Arial"/>
                <w:sz w:val="13"/>
                <w:szCs w:val="13"/>
                <w:color w:val="auto"/>
              </w:rPr>
              <w:t>(4)</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9"/>
        </w:trPr>
        <w:tc>
          <w:tcPr>
            <w:tcW w:w="2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
        </w:trPr>
        <w:tc>
          <w:tcPr>
            <w:tcW w:w="2360" w:type="dxa"/>
            <w:vAlign w:val="bottom"/>
            <w:shd w:val="clear" w:color="auto" w:fill="000000"/>
          </w:tcPr>
          <w:p>
            <w:pPr>
              <w:ind w:left="80"/>
              <w:spacing w:after="0" w:line="18" w:lineRule="exact"/>
              <w:rPr>
                <w:sz w:val="20"/>
                <w:szCs w:val="20"/>
                <w:color w:val="auto"/>
              </w:rPr>
            </w:pPr>
            <w:r>
              <w:rPr>
                <w:rFonts w:ascii="Arial" w:cs="Arial" w:eastAsia="Arial" w:hAnsi="Arial"/>
                <w:sz w:val="2"/>
                <w:szCs w:val="2"/>
                <w:color w:val="auto"/>
              </w:rPr>
              <w:t>Financial Counseling</w:t>
            </w:r>
          </w:p>
        </w:tc>
        <w:tc>
          <w:tcPr>
            <w:tcW w:w="110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10,360</w:t>
            </w:r>
          </w:p>
        </w:tc>
        <w:tc>
          <w:tcPr>
            <w:tcW w:w="140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8,906</w:t>
            </w:r>
          </w:p>
        </w:tc>
        <w:tc>
          <w:tcPr>
            <w:tcW w:w="112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10,360</w:t>
            </w:r>
          </w:p>
        </w:tc>
        <w:tc>
          <w:tcPr>
            <w:tcW w:w="108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10,360</w:t>
            </w:r>
          </w:p>
        </w:tc>
        <w:tc>
          <w:tcPr>
            <w:tcW w:w="104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10,360</w:t>
            </w:r>
          </w:p>
        </w:tc>
        <w:tc>
          <w:tcPr>
            <w:tcW w:w="1120" w:type="dxa"/>
            <w:vAlign w:val="bottom"/>
            <w:shd w:val="clear" w:color="auto" w:fill="000000"/>
          </w:tcPr>
          <w:p>
            <w:pPr>
              <w:jc w:val="right"/>
              <w:ind w:right="13"/>
              <w:spacing w:after="0" w:line="18" w:lineRule="exact"/>
              <w:rPr>
                <w:sz w:val="20"/>
                <w:szCs w:val="20"/>
                <w:color w:val="auto"/>
              </w:rPr>
            </w:pPr>
            <w:r>
              <w:rPr>
                <w:rFonts w:ascii="Arial" w:cs="Arial" w:eastAsia="Arial" w:hAnsi="Arial"/>
                <w:sz w:val="2"/>
                <w:szCs w:val="2"/>
                <w:color w:val="auto"/>
              </w:rPr>
              <w:t>10,360</w:t>
            </w:r>
          </w:p>
        </w:tc>
      </w:tr>
      <w:tr>
        <w:trPr>
          <w:trHeight w:val="156"/>
        </w:trPr>
        <w:tc>
          <w:tcPr>
            <w:tcW w:w="2360" w:type="dxa"/>
            <w:vAlign w:val="bottom"/>
          </w:tcPr>
          <w:p>
            <w:pPr>
              <w:ind w:left="1500"/>
              <w:spacing w:after="0"/>
              <w:rPr>
                <w:sz w:val="20"/>
                <w:szCs w:val="20"/>
                <w:color w:val="auto"/>
              </w:rPr>
            </w:pPr>
            <w:r>
              <w:rPr>
                <w:rFonts w:ascii="Arial" w:cs="Arial" w:eastAsia="Arial" w:hAnsi="Arial"/>
                <w:sz w:val="13"/>
                <w:szCs w:val="13"/>
                <w:color w:val="auto"/>
              </w:rPr>
              <w:t>(5)</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9"/>
        </w:trPr>
        <w:tc>
          <w:tcPr>
            <w:tcW w:w="2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
        </w:trPr>
        <w:tc>
          <w:tcPr>
            <w:tcW w:w="2360" w:type="dxa"/>
            <w:vAlign w:val="bottom"/>
            <w:shd w:val="clear" w:color="auto" w:fill="000000"/>
          </w:tcPr>
          <w:p>
            <w:pPr>
              <w:ind w:left="80"/>
              <w:spacing w:after="0" w:line="18" w:lineRule="exact"/>
              <w:rPr>
                <w:sz w:val="20"/>
                <w:szCs w:val="20"/>
                <w:color w:val="auto"/>
              </w:rPr>
            </w:pPr>
            <w:r>
              <w:rPr>
                <w:rFonts w:ascii="Arial" w:cs="Arial" w:eastAsia="Arial" w:hAnsi="Arial"/>
                <w:sz w:val="2"/>
                <w:szCs w:val="2"/>
                <w:color w:val="auto"/>
              </w:rPr>
              <w:t>Other</w:t>
            </w:r>
          </w:p>
        </w:tc>
        <w:tc>
          <w:tcPr>
            <w:tcW w:w="110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w:t>
            </w:r>
          </w:p>
        </w:tc>
        <w:tc>
          <w:tcPr>
            <w:tcW w:w="140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288,773</w:t>
            </w:r>
          </w:p>
        </w:tc>
        <w:tc>
          <w:tcPr>
            <w:tcW w:w="112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w:t>
            </w:r>
          </w:p>
        </w:tc>
        <w:tc>
          <w:tcPr>
            <w:tcW w:w="108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w:t>
            </w:r>
          </w:p>
        </w:tc>
        <w:tc>
          <w:tcPr>
            <w:tcW w:w="1040" w:type="dxa"/>
            <w:vAlign w:val="bottom"/>
            <w:shd w:val="clear" w:color="auto" w:fill="000000"/>
          </w:tcPr>
          <w:p>
            <w:pPr>
              <w:jc w:val="right"/>
              <w:ind w:right="93"/>
              <w:spacing w:after="0" w:line="18" w:lineRule="exact"/>
              <w:rPr>
                <w:sz w:val="20"/>
                <w:szCs w:val="20"/>
                <w:color w:val="auto"/>
              </w:rPr>
            </w:pPr>
            <w:r>
              <w:rPr>
                <w:rFonts w:ascii="Arial" w:cs="Arial" w:eastAsia="Arial" w:hAnsi="Arial"/>
                <w:sz w:val="2"/>
                <w:szCs w:val="2"/>
                <w:color w:val="auto"/>
              </w:rPr>
              <w:t>—</w:t>
            </w:r>
          </w:p>
        </w:tc>
        <w:tc>
          <w:tcPr>
            <w:tcW w:w="1120" w:type="dxa"/>
            <w:vAlign w:val="bottom"/>
            <w:shd w:val="clear" w:color="auto" w:fill="000000"/>
          </w:tcPr>
          <w:p>
            <w:pPr>
              <w:jc w:val="right"/>
              <w:ind w:right="13"/>
              <w:spacing w:after="0" w:line="18" w:lineRule="exact"/>
              <w:rPr>
                <w:sz w:val="20"/>
                <w:szCs w:val="20"/>
                <w:color w:val="auto"/>
              </w:rPr>
            </w:pPr>
            <w:r>
              <w:rPr>
                <w:rFonts w:ascii="Arial" w:cs="Arial" w:eastAsia="Arial" w:hAnsi="Arial"/>
                <w:sz w:val="2"/>
                <w:szCs w:val="2"/>
                <w:color w:val="auto"/>
              </w:rPr>
              <w:t>—</w:t>
            </w:r>
          </w:p>
        </w:tc>
      </w:tr>
      <w:tr>
        <w:trPr>
          <w:trHeight w:val="156"/>
        </w:trPr>
        <w:tc>
          <w:tcPr>
            <w:tcW w:w="2360" w:type="dxa"/>
            <w:vAlign w:val="bottom"/>
          </w:tcPr>
          <w:p>
            <w:pPr>
              <w:ind w:left="460"/>
              <w:spacing w:after="0"/>
              <w:rPr>
                <w:sz w:val="20"/>
                <w:szCs w:val="20"/>
                <w:color w:val="auto"/>
              </w:rPr>
            </w:pPr>
            <w:r>
              <w:rPr>
                <w:rFonts w:ascii="Arial" w:cs="Arial" w:eastAsia="Arial" w:hAnsi="Arial"/>
                <w:sz w:val="13"/>
                <w:szCs w:val="13"/>
                <w:color w:val="auto"/>
              </w:rPr>
              <w:t>(6)(7)</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9"/>
        </w:trPr>
        <w:tc>
          <w:tcPr>
            <w:tcW w:w="2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2360" w:type="dxa"/>
            <w:vAlign w:val="bottom"/>
            <w:tcBorders>
              <w:bottom w:val="single" w:sz="8" w:color="0033A0"/>
            </w:tcBorders>
          </w:tcPr>
          <w:p>
            <w:pPr>
              <w:ind w:left="80"/>
              <w:spacing w:after="0"/>
              <w:rPr>
                <w:sz w:val="20"/>
                <w:szCs w:val="20"/>
                <w:color w:val="auto"/>
              </w:rPr>
            </w:pPr>
            <w:r>
              <w:rPr>
                <w:rFonts w:ascii="Arial" w:cs="Arial" w:eastAsia="Arial" w:hAnsi="Arial"/>
                <w:sz w:val="15"/>
                <w:szCs w:val="15"/>
                <w:b w:val="1"/>
                <w:bCs w:val="1"/>
                <w:color w:val="auto"/>
              </w:rPr>
              <w:t>TOTAL</w:t>
            </w:r>
          </w:p>
        </w:tc>
        <w:tc>
          <w:tcPr>
            <w:tcW w:w="1100" w:type="dxa"/>
            <w:vAlign w:val="bottom"/>
            <w:tcBorders>
              <w:bottom w:val="single" w:sz="8" w:color="0033A0"/>
            </w:tcBorders>
          </w:tcPr>
          <w:p>
            <w:pPr>
              <w:jc w:val="right"/>
              <w:ind w:right="93"/>
              <w:spacing w:after="0"/>
              <w:rPr>
                <w:sz w:val="20"/>
                <w:szCs w:val="20"/>
                <w:color w:val="auto"/>
              </w:rPr>
            </w:pPr>
            <w:r>
              <w:rPr>
                <w:rFonts w:ascii="Arial" w:cs="Arial" w:eastAsia="Arial" w:hAnsi="Arial"/>
                <w:sz w:val="15"/>
                <w:szCs w:val="15"/>
                <w:color w:val="auto"/>
              </w:rPr>
              <w:t>290,589</w:t>
            </w:r>
          </w:p>
        </w:tc>
        <w:tc>
          <w:tcPr>
            <w:tcW w:w="1400" w:type="dxa"/>
            <w:vAlign w:val="bottom"/>
            <w:tcBorders>
              <w:bottom w:val="single" w:sz="8" w:color="0033A0"/>
            </w:tcBorders>
          </w:tcPr>
          <w:p>
            <w:pPr>
              <w:jc w:val="right"/>
              <w:ind w:right="93"/>
              <w:spacing w:after="0"/>
              <w:rPr>
                <w:sz w:val="20"/>
                <w:szCs w:val="20"/>
                <w:color w:val="auto"/>
              </w:rPr>
            </w:pPr>
            <w:r>
              <w:rPr>
                <w:rFonts w:ascii="Arial" w:cs="Arial" w:eastAsia="Arial" w:hAnsi="Arial"/>
                <w:sz w:val="15"/>
                <w:szCs w:val="15"/>
                <w:color w:val="auto"/>
              </w:rPr>
              <w:t>321,066</w:t>
            </w:r>
          </w:p>
        </w:tc>
        <w:tc>
          <w:tcPr>
            <w:tcW w:w="1120" w:type="dxa"/>
            <w:vAlign w:val="bottom"/>
            <w:tcBorders>
              <w:bottom w:val="single" w:sz="8" w:color="0033A0"/>
            </w:tcBorders>
          </w:tcPr>
          <w:p>
            <w:pPr>
              <w:jc w:val="right"/>
              <w:ind w:right="93"/>
              <w:spacing w:after="0"/>
              <w:rPr>
                <w:sz w:val="20"/>
                <w:szCs w:val="20"/>
                <w:color w:val="auto"/>
              </w:rPr>
            </w:pPr>
            <w:r>
              <w:rPr>
                <w:rFonts w:ascii="Arial" w:cs="Arial" w:eastAsia="Arial" w:hAnsi="Arial"/>
                <w:sz w:val="15"/>
                <w:szCs w:val="15"/>
                <w:color w:val="auto"/>
              </w:rPr>
              <w:t>166,065</w:t>
            </w:r>
          </w:p>
        </w:tc>
        <w:tc>
          <w:tcPr>
            <w:tcW w:w="1080" w:type="dxa"/>
            <w:vAlign w:val="bottom"/>
            <w:tcBorders>
              <w:bottom w:val="single" w:sz="8" w:color="0033A0"/>
            </w:tcBorders>
          </w:tcPr>
          <w:p>
            <w:pPr>
              <w:jc w:val="right"/>
              <w:ind w:right="93"/>
              <w:spacing w:after="0"/>
              <w:rPr>
                <w:sz w:val="20"/>
                <w:szCs w:val="20"/>
                <w:color w:val="auto"/>
              </w:rPr>
            </w:pPr>
            <w:r>
              <w:rPr>
                <w:rFonts w:ascii="Arial" w:cs="Arial" w:eastAsia="Arial" w:hAnsi="Arial"/>
                <w:sz w:val="15"/>
                <w:szCs w:val="15"/>
                <w:color w:val="auto"/>
              </w:rPr>
              <w:t>43,668</w:t>
            </w:r>
          </w:p>
        </w:tc>
        <w:tc>
          <w:tcPr>
            <w:tcW w:w="1040" w:type="dxa"/>
            <w:vAlign w:val="bottom"/>
            <w:tcBorders>
              <w:bottom w:val="single" w:sz="8" w:color="0033A0"/>
            </w:tcBorders>
          </w:tcPr>
          <w:p>
            <w:pPr>
              <w:jc w:val="right"/>
              <w:ind w:right="93"/>
              <w:spacing w:after="0"/>
              <w:rPr>
                <w:sz w:val="20"/>
                <w:szCs w:val="20"/>
                <w:color w:val="auto"/>
              </w:rPr>
            </w:pPr>
            <w:r>
              <w:rPr>
                <w:rFonts w:ascii="Arial" w:cs="Arial" w:eastAsia="Arial" w:hAnsi="Arial"/>
                <w:sz w:val="15"/>
                <w:szCs w:val="15"/>
                <w:color w:val="auto"/>
              </w:rPr>
              <w:t>37,236</w:t>
            </w:r>
          </w:p>
        </w:tc>
        <w:tc>
          <w:tcPr>
            <w:tcW w:w="1120" w:type="dxa"/>
            <w:vAlign w:val="bottom"/>
            <w:tcBorders>
              <w:bottom w:val="single" w:sz="8" w:color="0033A0"/>
            </w:tcBorders>
          </w:tcPr>
          <w:p>
            <w:pPr>
              <w:jc w:val="right"/>
              <w:ind w:right="13"/>
              <w:spacing w:after="0"/>
              <w:rPr>
                <w:sz w:val="20"/>
                <w:szCs w:val="20"/>
                <w:color w:val="auto"/>
              </w:rPr>
            </w:pPr>
            <w:r>
              <w:rPr>
                <w:rFonts w:ascii="Arial" w:cs="Arial" w:eastAsia="Arial" w:hAnsi="Arial"/>
                <w:sz w:val="15"/>
                <w:szCs w:val="15"/>
                <w:color w:val="auto"/>
              </w:rPr>
              <w:t>42,734</w:t>
            </w:r>
          </w:p>
        </w:tc>
      </w:tr>
    </w:tbl>
    <w:p>
      <w:pPr>
        <w:spacing w:after="0" w:line="58" w:lineRule="exact"/>
        <w:rPr>
          <w:sz w:val="20"/>
          <w:szCs w:val="20"/>
          <w:color w:val="auto"/>
        </w:rPr>
      </w:pPr>
    </w:p>
    <w:p>
      <w:pPr>
        <w:jc w:val="both"/>
        <w:ind w:left="960" w:hanging="426"/>
        <w:spacing w:after="0" w:line="255" w:lineRule="auto"/>
        <w:tabs>
          <w:tab w:leader="none" w:pos="960"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Personal travel pursuant to Company policy as discussed on page 44 includes incremental costs (fuel, flight crew expenses, landing fees, ground transportation fees, and other miscellaneous variable expenses) associated with aircraft use. Ms. Barra serves on outside boards which is viewed as directly and integrally related to her role as Chairman and CEO and her professional development. The cost of travel to outside boards for 2018 was $113,521 which we do not consider a perquisite.</w:t>
      </w:r>
    </w:p>
    <w:p>
      <w:pPr>
        <w:spacing w:after="0" w:line="201" w:lineRule="exact"/>
        <w:rPr>
          <w:rFonts w:ascii="Arial" w:cs="Arial" w:eastAsia="Arial" w:hAnsi="Arial"/>
          <w:sz w:val="14"/>
          <w:szCs w:val="14"/>
          <w:i w:val="1"/>
          <w:iCs w:val="1"/>
          <w:color w:val="auto"/>
        </w:rPr>
      </w:pPr>
    </w:p>
    <w:p>
      <w:pPr>
        <w:jc w:val="both"/>
        <w:ind w:left="960" w:hanging="426"/>
        <w:spacing w:after="0" w:line="260" w:lineRule="auto"/>
        <w:tabs>
          <w:tab w:leader="none" w:pos="960"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the incremental cost of providing security services and residential security system monitoring for Ms. Barra and Mr. Ammann as recommended by an independent third-party security consultant. For security personnel employed by the Company, the cost is the actual incremental cost of expenses incurred by the security personnel. Total salary, wages, and benefits are not allocated as the Company already incurs these costs for business purposes.</w:t>
      </w:r>
    </w:p>
    <w:p>
      <w:pPr>
        <w:spacing w:after="0" w:line="29" w:lineRule="exact"/>
        <w:rPr>
          <w:rFonts w:ascii="Arial" w:cs="Arial" w:eastAsia="Arial" w:hAnsi="Arial"/>
          <w:sz w:val="14"/>
          <w:szCs w:val="14"/>
          <w:i w:val="1"/>
          <w:iCs w:val="1"/>
          <w:color w:val="auto"/>
        </w:rPr>
      </w:pPr>
    </w:p>
    <w:p>
      <w:pPr>
        <w:jc w:val="both"/>
        <w:ind w:left="960" w:hanging="426"/>
        <w:spacing w:after="0" w:line="253" w:lineRule="auto"/>
        <w:tabs>
          <w:tab w:leader="none" w:pos="960"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cost of providing cars and drivers and the estimated annual lease value of the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36" w:lineRule="exact"/>
        <w:rPr>
          <w:rFonts w:ascii="Arial" w:cs="Arial" w:eastAsia="Arial" w:hAnsi="Arial"/>
          <w:sz w:val="14"/>
          <w:szCs w:val="14"/>
          <w:i w:val="1"/>
          <w:iCs w:val="1"/>
          <w:color w:val="auto"/>
        </w:rPr>
      </w:pPr>
    </w:p>
    <w:p>
      <w:pPr>
        <w:ind w:left="960" w:hanging="426"/>
        <w:spacing w:after="0"/>
        <w:tabs>
          <w:tab w:leader="none" w:pos="960"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executive physicals with our approved provider.</w:t>
      </w:r>
    </w:p>
    <w:p>
      <w:pPr>
        <w:spacing w:after="0" w:line="68" w:lineRule="exact"/>
        <w:rPr>
          <w:rFonts w:ascii="Arial" w:cs="Arial" w:eastAsia="Arial" w:hAnsi="Arial"/>
          <w:sz w:val="14"/>
          <w:szCs w:val="14"/>
          <w:i w:val="1"/>
          <w:iCs w:val="1"/>
          <w:color w:val="auto"/>
        </w:rPr>
      </w:pPr>
    </w:p>
    <w:p>
      <w:pPr>
        <w:ind w:left="960" w:hanging="426"/>
        <w:spacing w:after="0"/>
        <w:tabs>
          <w:tab w:leader="none" w:pos="960"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financial counseling and estate planning services with our approved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100330</wp:posOffset>
            </wp:positionV>
            <wp:extent cx="6758305" cy="1282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43"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59</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5" w:lineRule="exact"/>
        <w:rPr>
          <w:sz w:val="20"/>
          <w:szCs w:val="20"/>
          <w:color w:val="auto"/>
        </w:rPr>
      </w:pPr>
    </w:p>
    <w:p>
      <w:pPr>
        <w:ind w:left="960" w:right="20" w:hanging="426"/>
        <w:spacing w:after="0" w:line="278" w:lineRule="auto"/>
        <w:tabs>
          <w:tab w:leader="none" w:pos="96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amount disclosed for Ms. Suryadevara relates to her position location change to Detroit, Michigan, including $128,629 of relocation tax benefits. Relocation assistance and associated relocation tax benefits are consistent with our standard relocation program and available to all employees.</w:t>
      </w:r>
    </w:p>
    <w:p>
      <w:pPr>
        <w:spacing w:after="0" w:line="18" w:lineRule="exact"/>
        <w:rPr>
          <w:rFonts w:ascii="Arial" w:cs="Arial" w:eastAsia="Arial" w:hAnsi="Arial"/>
          <w:sz w:val="14"/>
          <w:szCs w:val="14"/>
          <w:i w:val="1"/>
          <w:iCs w:val="1"/>
          <w:color w:val="auto"/>
        </w:rPr>
      </w:pPr>
    </w:p>
    <w:p>
      <w:pPr>
        <w:jc w:val="both"/>
        <w:ind w:left="960" w:hanging="426"/>
        <w:spacing w:after="0" w:line="260" w:lineRule="auto"/>
        <w:tabs>
          <w:tab w:leader="none" w:pos="96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Occasionally unused tickets from sponsorship agreements are made available for personal use. Tickets are included in sponsorship agreements and typically result in no incremental costs to the Company. In 2018, there were no incremental costs associated with the personal use of tickets to GM-sponsored events. Occasionally, limited souvenirs may be included as part of a sponsorship agreement and no incremental costs are incurred by the Company.</w:t>
      </w:r>
    </w:p>
    <w:p>
      <w:pPr>
        <w:spacing w:after="0" w:line="310" w:lineRule="exact"/>
        <w:rPr>
          <w:sz w:val="20"/>
          <w:szCs w:val="20"/>
          <w:color w:val="auto"/>
        </w:rPr>
      </w:pPr>
    </w:p>
    <w:p>
      <w:pPr>
        <w:ind w:left="640" w:hanging="430"/>
        <w:spacing w:after="0"/>
        <w:tabs>
          <w:tab w:leader="none" w:pos="640" w:val="left"/>
        </w:tabs>
        <w:numPr>
          <w:ilvl w:val="0"/>
          <w:numId w:val="116"/>
        </w:numPr>
        <w:rPr>
          <w:rFonts w:ascii="Arial" w:cs="Arial" w:eastAsia="Arial" w:hAnsi="Arial"/>
          <w:sz w:val="25"/>
          <w:szCs w:val="25"/>
          <w:color w:val="0033A0"/>
        </w:rPr>
      </w:pPr>
      <w:r>
        <w:rPr>
          <w:rFonts w:ascii="Arial" w:cs="Arial" w:eastAsia="Arial" w:hAnsi="Arial"/>
          <w:sz w:val="25"/>
          <w:szCs w:val="25"/>
          <w:color w:val="auto"/>
        </w:rPr>
        <w:t>Grants of Plan–Based Awards</w:t>
      </w:r>
    </w:p>
    <w:p>
      <w:pPr>
        <w:spacing w:after="0" w:line="18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STIP awards for the 2018 performance year were made under the terms of the 2017 STIP. PSU and Stock Option grants were made to each NEO under the terms of the 2017 LTIP. PSUs vest and deliver at the end of the performance period and will be earned at a level between 0% and 200% of target. PSUs are based on the achievement of performance conditions relating to Relative ROIC-adjusted and Relative TSR over a three-year performance period from January 1, 2018, to December 31, 2020. The Stock Options vest ratably over a three-year period.</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1640" w:type="dxa"/>
            <w:vAlign w:val="bottom"/>
            <w:tcBorders>
              <w:top w:val="single" w:sz="8" w:color="00A1DF"/>
            </w:tcBorders>
          </w:tcPr>
          <w:p>
            <w:pPr>
              <w:spacing w:after="0"/>
              <w:rPr>
                <w:sz w:val="10"/>
                <w:szCs w:val="10"/>
                <w:color w:val="auto"/>
              </w:rPr>
            </w:pPr>
          </w:p>
        </w:tc>
        <w:tc>
          <w:tcPr>
            <w:tcW w:w="640" w:type="dxa"/>
            <w:vAlign w:val="bottom"/>
            <w:tcBorders>
              <w:top w:val="single" w:sz="8" w:color="00A1DF"/>
            </w:tcBorders>
          </w:tcPr>
          <w:p>
            <w:pPr>
              <w:spacing w:after="0"/>
              <w:rPr>
                <w:sz w:val="10"/>
                <w:szCs w:val="10"/>
                <w:color w:val="auto"/>
              </w:rPr>
            </w:pPr>
          </w:p>
        </w:tc>
        <w:tc>
          <w:tcPr>
            <w:tcW w:w="720" w:type="dxa"/>
            <w:vAlign w:val="bottom"/>
            <w:tcBorders>
              <w:top w:val="single" w:sz="8" w:color="00A1DF"/>
            </w:tcBorders>
          </w:tcPr>
          <w:p>
            <w:pPr>
              <w:spacing w:after="0"/>
              <w:rPr>
                <w:sz w:val="10"/>
                <w:szCs w:val="10"/>
                <w:color w:val="auto"/>
              </w:rPr>
            </w:pPr>
          </w:p>
        </w:tc>
        <w:tc>
          <w:tcPr>
            <w:tcW w:w="760" w:type="dxa"/>
            <w:vAlign w:val="bottom"/>
            <w:tcBorders>
              <w:top w:val="single" w:sz="8" w:color="00A1DF"/>
            </w:tcBorders>
          </w:tcPr>
          <w:p>
            <w:pPr>
              <w:spacing w:after="0"/>
              <w:rPr>
                <w:sz w:val="10"/>
                <w:szCs w:val="10"/>
                <w:color w:val="auto"/>
              </w:rPr>
            </w:pPr>
          </w:p>
        </w:tc>
        <w:tc>
          <w:tcPr>
            <w:tcW w:w="720" w:type="dxa"/>
            <w:vAlign w:val="bottom"/>
            <w:tcBorders>
              <w:top w:val="single" w:sz="8" w:color="00A1DF"/>
            </w:tcBorders>
          </w:tcPr>
          <w:p>
            <w:pPr>
              <w:spacing w:after="0"/>
              <w:rPr>
                <w:sz w:val="10"/>
                <w:szCs w:val="10"/>
                <w:color w:val="auto"/>
              </w:rPr>
            </w:pPr>
          </w:p>
        </w:tc>
        <w:tc>
          <w:tcPr>
            <w:tcW w:w="820" w:type="dxa"/>
            <w:vAlign w:val="bottom"/>
            <w:tcBorders>
              <w:top w:val="single" w:sz="8" w:color="00A1DF"/>
            </w:tcBorders>
          </w:tcPr>
          <w:p>
            <w:pPr>
              <w:spacing w:after="0"/>
              <w:rPr>
                <w:sz w:val="10"/>
                <w:szCs w:val="10"/>
                <w:color w:val="auto"/>
              </w:rPr>
            </w:pPr>
          </w:p>
        </w:tc>
        <w:tc>
          <w:tcPr>
            <w:tcW w:w="680" w:type="dxa"/>
            <w:vAlign w:val="bottom"/>
            <w:tcBorders>
              <w:top w:val="single" w:sz="8" w:color="00A1DF"/>
            </w:tcBorders>
          </w:tcPr>
          <w:p>
            <w:pPr>
              <w:spacing w:after="0"/>
              <w:rPr>
                <w:sz w:val="10"/>
                <w:szCs w:val="10"/>
                <w:color w:val="auto"/>
              </w:rPr>
            </w:pPr>
          </w:p>
        </w:tc>
        <w:tc>
          <w:tcPr>
            <w:tcW w:w="760" w:type="dxa"/>
            <w:vAlign w:val="bottom"/>
            <w:tcBorders>
              <w:top w:val="single" w:sz="8" w:color="00A1DF"/>
            </w:tcBorders>
          </w:tcPr>
          <w:p>
            <w:pPr>
              <w:spacing w:after="0"/>
              <w:rPr>
                <w:sz w:val="10"/>
                <w:szCs w:val="10"/>
                <w:color w:val="auto"/>
              </w:rPr>
            </w:pPr>
          </w:p>
        </w:tc>
        <w:tc>
          <w:tcPr>
            <w:tcW w:w="660" w:type="dxa"/>
            <w:vAlign w:val="bottom"/>
            <w:tcBorders>
              <w:top w:val="single" w:sz="8" w:color="00A1DF"/>
            </w:tcBorders>
          </w:tcPr>
          <w:p>
            <w:pPr>
              <w:spacing w:after="0"/>
              <w:rPr>
                <w:sz w:val="10"/>
                <w:szCs w:val="10"/>
                <w:color w:val="auto"/>
              </w:rPr>
            </w:pPr>
          </w:p>
        </w:tc>
        <w:tc>
          <w:tcPr>
            <w:tcW w:w="640" w:type="dxa"/>
            <w:vAlign w:val="bottom"/>
            <w:tcBorders>
              <w:top w:val="single" w:sz="8" w:color="00A1DF"/>
            </w:tcBorders>
          </w:tcPr>
          <w:p>
            <w:pPr>
              <w:spacing w:after="0"/>
              <w:rPr>
                <w:sz w:val="10"/>
                <w:szCs w:val="10"/>
                <w:color w:val="auto"/>
              </w:rPr>
            </w:pPr>
          </w:p>
        </w:tc>
        <w:tc>
          <w:tcPr>
            <w:tcW w:w="740" w:type="dxa"/>
            <w:vAlign w:val="bottom"/>
            <w:tcBorders>
              <w:top w:val="single" w:sz="8" w:color="00A1DF"/>
            </w:tcBorders>
          </w:tcPr>
          <w:p>
            <w:pPr>
              <w:jc w:val="center"/>
              <w:spacing w:after="0" w:line="126" w:lineRule="exact"/>
              <w:rPr>
                <w:sz w:val="20"/>
                <w:szCs w:val="20"/>
                <w:color w:val="auto"/>
              </w:rPr>
            </w:pPr>
            <w:r>
              <w:rPr>
                <w:rFonts w:ascii="Arial" w:cs="Arial" w:eastAsia="Arial" w:hAnsi="Arial"/>
                <w:sz w:val="13"/>
                <w:szCs w:val="13"/>
                <w:b w:val="1"/>
                <w:bCs w:val="1"/>
                <w:color w:val="00A1DF"/>
                <w:w w:val="98"/>
              </w:rPr>
              <w:t>All Other</w:t>
            </w:r>
          </w:p>
        </w:tc>
        <w:tc>
          <w:tcPr>
            <w:tcW w:w="760" w:type="dxa"/>
            <w:vAlign w:val="bottom"/>
            <w:tcBorders>
              <w:top w:val="single" w:sz="8" w:color="00A1DF"/>
            </w:tcBorders>
          </w:tcPr>
          <w:p>
            <w:pPr>
              <w:jc w:val="center"/>
              <w:spacing w:after="0" w:line="126" w:lineRule="exact"/>
              <w:rPr>
                <w:sz w:val="20"/>
                <w:szCs w:val="20"/>
                <w:color w:val="auto"/>
              </w:rPr>
            </w:pPr>
            <w:r>
              <w:rPr>
                <w:rFonts w:ascii="Arial" w:cs="Arial" w:eastAsia="Arial" w:hAnsi="Arial"/>
                <w:sz w:val="13"/>
                <w:szCs w:val="13"/>
                <w:b w:val="1"/>
                <w:bCs w:val="1"/>
                <w:color w:val="00A1DF"/>
                <w:w w:val="94"/>
              </w:rPr>
              <w:t>All Other</w:t>
            </w:r>
          </w:p>
        </w:tc>
        <w:tc>
          <w:tcPr>
            <w:tcW w:w="620" w:type="dxa"/>
            <w:vAlign w:val="bottom"/>
            <w:tcBorders>
              <w:top w:val="single" w:sz="8" w:color="00A1DF"/>
            </w:tcBorders>
          </w:tcPr>
          <w:p>
            <w:pPr>
              <w:spacing w:after="0"/>
              <w:rPr>
                <w:sz w:val="10"/>
                <w:szCs w:val="10"/>
                <w:color w:val="auto"/>
              </w:rPr>
            </w:pPr>
          </w:p>
        </w:tc>
        <w:tc>
          <w:tcPr>
            <w:tcW w:w="840" w:type="dxa"/>
            <w:vAlign w:val="bottom"/>
            <w:tcBorders>
              <w:top w:val="single" w:sz="8" w:color="00A1D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A1DF"/>
                <w:w w:val="96"/>
              </w:rPr>
              <w:t>Estimated Future Payouts</w:t>
            </w:r>
          </w:p>
        </w:tc>
        <w:tc>
          <w:tcPr>
            <w:tcW w:w="20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A1DF"/>
                <w:w w:val="96"/>
              </w:rPr>
              <w:t>Estimated Future Payouts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5"/>
              </w:rPr>
              <w:t>Stock</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5"/>
              </w:rPr>
              <w:t>Option</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Exercise</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3"/>
            <w:vMerge w:val="continue"/>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3"/>
                <w:szCs w:val="13"/>
                <w:b w:val="1"/>
                <w:bCs w:val="1"/>
                <w:color w:val="00A1DF"/>
                <w:w w:val="97"/>
              </w:rPr>
              <w:t>Awards:</w:t>
            </w:r>
          </w:p>
        </w:tc>
        <w:tc>
          <w:tcPr>
            <w:tcW w:w="760" w:type="dxa"/>
            <w:vAlign w:val="bottom"/>
          </w:tcPr>
          <w:p>
            <w:pPr>
              <w:jc w:val="center"/>
              <w:spacing w:after="0" w:line="130" w:lineRule="exact"/>
              <w:rPr>
                <w:sz w:val="20"/>
                <w:szCs w:val="20"/>
                <w:color w:val="auto"/>
              </w:rPr>
            </w:pPr>
            <w:r>
              <w:rPr>
                <w:rFonts w:ascii="Arial" w:cs="Arial" w:eastAsia="Arial" w:hAnsi="Arial"/>
                <w:sz w:val="13"/>
                <w:szCs w:val="13"/>
                <w:b w:val="1"/>
                <w:bCs w:val="1"/>
                <w:color w:val="00A1DF"/>
                <w:w w:val="97"/>
              </w:rPr>
              <w:t>Awards:</w:t>
            </w:r>
          </w:p>
        </w:tc>
        <w:tc>
          <w:tcPr>
            <w:tcW w:w="620" w:type="dxa"/>
            <w:vAlign w:val="bottom"/>
          </w:tcPr>
          <w:p>
            <w:pPr>
              <w:jc w:val="center"/>
              <w:spacing w:after="0" w:line="130" w:lineRule="exact"/>
              <w:rPr>
                <w:sz w:val="20"/>
                <w:szCs w:val="20"/>
                <w:color w:val="auto"/>
              </w:rPr>
            </w:pPr>
            <w:r>
              <w:rPr>
                <w:rFonts w:ascii="Arial" w:cs="Arial" w:eastAsia="Arial" w:hAnsi="Arial"/>
                <w:sz w:val="13"/>
                <w:szCs w:val="13"/>
                <w:b w:val="1"/>
                <w:bCs w:val="1"/>
                <w:color w:val="00A1DF"/>
                <w:w w:val="96"/>
              </w:rPr>
              <w:t>or Base</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00A1DF"/>
                <w:w w:val="96"/>
              </w:rPr>
              <w:t>Grant Date</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A1DF"/>
                <w:w w:val="97"/>
              </w:rPr>
              <w:t>Under Non-Equity Incentive</w:t>
            </w:r>
          </w:p>
        </w:tc>
        <w:tc>
          <w:tcPr>
            <w:tcW w:w="20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A1DF"/>
                <w:w w:val="96"/>
              </w:rPr>
              <w:t>Under Equity Incentive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5"/>
              </w:rPr>
              <w:t>Number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8"/>
              </w:rPr>
              <w:t>Number of</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6"/>
              </w:rPr>
              <w:t>Price of</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6"/>
              </w:rPr>
              <w:t>Fair Value</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Borders>
              <w:bottom w:val="single" w:sz="8" w:color="00A1DF"/>
            </w:tcBorders>
          </w:tcPr>
          <w:p>
            <w:pPr>
              <w:spacing w:after="0"/>
              <w:rPr>
                <w:sz w:val="11"/>
                <w:szCs w:val="11"/>
                <w:color w:val="auto"/>
              </w:rPr>
            </w:pPr>
          </w:p>
        </w:tc>
        <w:tc>
          <w:tcPr>
            <w:tcW w:w="820" w:type="dxa"/>
            <w:vAlign w:val="bottom"/>
            <w:tcBorders>
              <w:bottom w:val="single" w:sz="8" w:color="00A1DF"/>
            </w:tcBorders>
          </w:tcPr>
          <w:p>
            <w:pPr>
              <w:jc w:val="center"/>
              <w:spacing w:after="0" w:line="115" w:lineRule="exact"/>
              <w:rPr>
                <w:sz w:val="20"/>
                <w:szCs w:val="20"/>
                <w:color w:val="auto"/>
              </w:rPr>
            </w:pPr>
            <w:r>
              <w:rPr>
                <w:rFonts w:ascii="Arial" w:cs="Arial" w:eastAsia="Arial" w:hAnsi="Arial"/>
                <w:sz w:val="13"/>
                <w:szCs w:val="13"/>
                <w:b w:val="1"/>
                <w:bCs w:val="1"/>
                <w:color w:val="00A1DF"/>
                <w:w w:val="97"/>
              </w:rPr>
              <w:t>Plan Awards</w:t>
            </w:r>
          </w:p>
        </w:tc>
        <w:tc>
          <w:tcPr>
            <w:tcW w:w="680" w:type="dxa"/>
            <w:vAlign w:val="bottom"/>
            <w:tcBorders>
              <w:bottom w:val="single" w:sz="8" w:color="00A1DF"/>
            </w:tcBorders>
          </w:tcPr>
          <w:p>
            <w:pPr>
              <w:spacing w:after="0"/>
              <w:rPr>
                <w:sz w:val="11"/>
                <w:szCs w:val="11"/>
                <w:color w:val="auto"/>
              </w:rPr>
            </w:pPr>
          </w:p>
        </w:tc>
        <w:tc>
          <w:tcPr>
            <w:tcW w:w="1420" w:type="dxa"/>
            <w:vAlign w:val="bottom"/>
            <w:tcBorders>
              <w:bottom w:val="single" w:sz="8" w:color="00A1DF"/>
            </w:tcBorders>
            <w:gridSpan w:val="2"/>
          </w:tcPr>
          <w:p>
            <w:pPr>
              <w:jc w:val="center"/>
              <w:ind w:left="577"/>
              <w:spacing w:after="0" w:line="115" w:lineRule="exact"/>
              <w:rPr>
                <w:sz w:val="20"/>
                <w:szCs w:val="20"/>
                <w:color w:val="auto"/>
              </w:rPr>
            </w:pPr>
            <w:r>
              <w:rPr>
                <w:rFonts w:ascii="Arial" w:cs="Arial" w:eastAsia="Arial" w:hAnsi="Arial"/>
                <w:sz w:val="13"/>
                <w:szCs w:val="13"/>
                <w:b w:val="1"/>
                <w:bCs w:val="1"/>
                <w:color w:val="00A1DF"/>
                <w:w w:val="94"/>
              </w:rPr>
              <w:t>Plan Awards</w:t>
            </w:r>
          </w:p>
        </w:tc>
        <w:tc>
          <w:tcPr>
            <w:tcW w:w="640" w:type="dxa"/>
            <w:vAlign w:val="bottom"/>
            <w:tcBorders>
              <w:bottom w:val="single" w:sz="8" w:color="00A1DF"/>
            </w:tcBorders>
          </w:tcPr>
          <w:p>
            <w:pPr>
              <w:spacing w:after="0"/>
              <w:rPr>
                <w:sz w:val="11"/>
                <w:szCs w:val="11"/>
                <w:color w:val="auto"/>
              </w:rPr>
            </w:pPr>
          </w:p>
        </w:tc>
        <w:tc>
          <w:tcPr>
            <w:tcW w:w="740" w:type="dxa"/>
            <w:vAlign w:val="bottom"/>
          </w:tcPr>
          <w:p>
            <w:pPr>
              <w:jc w:val="center"/>
              <w:spacing w:after="0" w:line="115" w:lineRule="exact"/>
              <w:rPr>
                <w:sz w:val="20"/>
                <w:szCs w:val="20"/>
                <w:color w:val="auto"/>
              </w:rPr>
            </w:pPr>
            <w:r>
              <w:rPr>
                <w:rFonts w:ascii="Arial" w:cs="Arial" w:eastAsia="Arial" w:hAnsi="Arial"/>
                <w:sz w:val="13"/>
                <w:szCs w:val="13"/>
                <w:b w:val="1"/>
                <w:bCs w:val="1"/>
                <w:color w:val="00A1DF"/>
                <w:w w:val="97"/>
              </w:rPr>
              <w:t>Shares of</w:t>
            </w:r>
          </w:p>
        </w:tc>
        <w:tc>
          <w:tcPr>
            <w:tcW w:w="760" w:type="dxa"/>
            <w:vAlign w:val="bottom"/>
          </w:tcPr>
          <w:p>
            <w:pPr>
              <w:jc w:val="center"/>
              <w:spacing w:after="0" w:line="115" w:lineRule="exact"/>
              <w:rPr>
                <w:sz w:val="20"/>
                <w:szCs w:val="20"/>
                <w:color w:val="auto"/>
              </w:rPr>
            </w:pPr>
            <w:r>
              <w:rPr>
                <w:rFonts w:ascii="Arial" w:cs="Arial" w:eastAsia="Arial" w:hAnsi="Arial"/>
                <w:sz w:val="13"/>
                <w:szCs w:val="13"/>
                <w:b w:val="1"/>
                <w:bCs w:val="1"/>
                <w:color w:val="00A1DF"/>
                <w:w w:val="96"/>
              </w:rPr>
              <w:t>Securities</w:t>
            </w:r>
          </w:p>
        </w:tc>
        <w:tc>
          <w:tcPr>
            <w:tcW w:w="620" w:type="dxa"/>
            <w:vAlign w:val="bottom"/>
          </w:tcPr>
          <w:p>
            <w:pPr>
              <w:jc w:val="center"/>
              <w:spacing w:after="0" w:line="115" w:lineRule="exact"/>
              <w:rPr>
                <w:sz w:val="20"/>
                <w:szCs w:val="20"/>
                <w:color w:val="auto"/>
              </w:rPr>
            </w:pPr>
            <w:r>
              <w:rPr>
                <w:rFonts w:ascii="Arial" w:cs="Arial" w:eastAsia="Arial" w:hAnsi="Arial"/>
                <w:sz w:val="13"/>
                <w:szCs w:val="13"/>
                <w:b w:val="1"/>
                <w:bCs w:val="1"/>
                <w:color w:val="00A1DF"/>
                <w:w w:val="95"/>
              </w:rPr>
              <w:t>Option</w:t>
            </w:r>
          </w:p>
        </w:tc>
        <w:tc>
          <w:tcPr>
            <w:tcW w:w="840" w:type="dxa"/>
            <w:vAlign w:val="bottom"/>
          </w:tcPr>
          <w:p>
            <w:pPr>
              <w:jc w:val="center"/>
              <w:spacing w:after="0" w:line="115" w:lineRule="exact"/>
              <w:rPr>
                <w:sz w:val="20"/>
                <w:szCs w:val="20"/>
                <w:color w:val="auto"/>
              </w:rPr>
            </w:pPr>
            <w:r>
              <w:rPr>
                <w:rFonts w:ascii="Arial" w:cs="Arial" w:eastAsia="Arial" w:hAnsi="Arial"/>
                <w:sz w:val="13"/>
                <w:szCs w:val="13"/>
                <w:b w:val="1"/>
                <w:bCs w:val="1"/>
                <w:color w:val="00A1DF"/>
                <w:w w:val="97"/>
              </w:rPr>
              <w:t>of Stock</w:t>
            </w:r>
          </w:p>
        </w:tc>
        <w:tc>
          <w:tcPr>
            <w:tcW w:w="0" w:type="dxa"/>
            <w:vAlign w:val="bottom"/>
          </w:tcPr>
          <w:p>
            <w:pPr>
              <w:spacing w:after="0"/>
              <w:rPr>
                <w:sz w:val="1"/>
                <w:szCs w:val="1"/>
                <w:color w:val="auto"/>
              </w:rPr>
            </w:pPr>
          </w:p>
        </w:tc>
      </w:tr>
      <w:tr>
        <w:trPr>
          <w:trHeight w:val="120"/>
        </w:trPr>
        <w:tc>
          <w:tcPr>
            <w:tcW w:w="1640" w:type="dxa"/>
            <w:vAlign w:val="bottom"/>
          </w:tcPr>
          <w:p>
            <w:pPr>
              <w:spacing w:after="0"/>
              <w:rPr>
                <w:sz w:val="10"/>
                <w:szCs w:val="10"/>
                <w:color w:val="auto"/>
              </w:rPr>
            </w:pPr>
          </w:p>
        </w:tc>
        <w:tc>
          <w:tcPr>
            <w:tcW w:w="640" w:type="dxa"/>
            <w:vAlign w:val="bottom"/>
          </w:tcPr>
          <w:p>
            <w:pPr>
              <w:jc w:val="right"/>
              <w:ind w:right="37"/>
              <w:spacing w:after="0" w:line="120" w:lineRule="exact"/>
              <w:rPr>
                <w:sz w:val="20"/>
                <w:szCs w:val="20"/>
                <w:color w:val="auto"/>
              </w:rPr>
            </w:pPr>
            <w:r>
              <w:rPr>
                <w:rFonts w:ascii="Arial" w:cs="Arial" w:eastAsia="Arial" w:hAnsi="Arial"/>
                <w:sz w:val="13"/>
                <w:szCs w:val="13"/>
                <w:b w:val="1"/>
                <w:bCs w:val="1"/>
                <w:color w:val="00A1DF"/>
              </w:rPr>
              <w:t>Award</w:t>
            </w:r>
          </w:p>
        </w:tc>
        <w:tc>
          <w:tcPr>
            <w:tcW w:w="720" w:type="dxa"/>
            <w:vAlign w:val="bottom"/>
          </w:tcPr>
          <w:p>
            <w:pPr>
              <w:jc w:val="right"/>
              <w:ind w:right="17"/>
              <w:spacing w:after="0" w:line="120" w:lineRule="exact"/>
              <w:rPr>
                <w:sz w:val="20"/>
                <w:szCs w:val="20"/>
                <w:color w:val="auto"/>
              </w:rPr>
            </w:pPr>
            <w:r>
              <w:rPr>
                <w:rFonts w:ascii="Arial" w:cs="Arial" w:eastAsia="Arial" w:hAnsi="Arial"/>
                <w:sz w:val="13"/>
                <w:szCs w:val="13"/>
                <w:b w:val="1"/>
                <w:bCs w:val="1"/>
                <w:color w:val="00A1DF"/>
              </w:rPr>
              <w:t>Grant</w:t>
            </w:r>
          </w:p>
        </w:tc>
        <w:tc>
          <w:tcPr>
            <w:tcW w:w="760" w:type="dxa"/>
            <w:vAlign w:val="bottom"/>
          </w:tcPr>
          <w:p>
            <w:pPr>
              <w:jc w:val="right"/>
              <w:spacing w:after="0" w:line="120" w:lineRule="exact"/>
              <w:rPr>
                <w:sz w:val="20"/>
                <w:szCs w:val="20"/>
                <w:color w:val="auto"/>
              </w:rPr>
            </w:pPr>
            <w:r>
              <w:rPr>
                <w:rFonts w:ascii="Arial" w:cs="Arial" w:eastAsia="Arial" w:hAnsi="Arial"/>
                <w:sz w:val="13"/>
                <w:szCs w:val="13"/>
                <w:b w:val="1"/>
                <w:bCs w:val="1"/>
                <w:color w:val="00A1DF"/>
              </w:rPr>
              <w:t>Approval</w:t>
            </w:r>
          </w:p>
        </w:tc>
        <w:tc>
          <w:tcPr>
            <w:tcW w:w="720" w:type="dxa"/>
            <w:vAlign w:val="bottom"/>
          </w:tcPr>
          <w:p>
            <w:pPr>
              <w:jc w:val="right"/>
              <w:spacing w:after="0" w:line="120" w:lineRule="exact"/>
              <w:rPr>
                <w:sz w:val="20"/>
                <w:szCs w:val="20"/>
                <w:color w:val="auto"/>
              </w:rPr>
            </w:pPr>
            <w:r>
              <w:rPr>
                <w:rFonts w:ascii="Arial" w:cs="Arial" w:eastAsia="Arial" w:hAnsi="Arial"/>
                <w:sz w:val="13"/>
                <w:szCs w:val="13"/>
                <w:b w:val="1"/>
                <w:bCs w:val="1"/>
                <w:color w:val="00A1DF"/>
              </w:rPr>
              <w:t>Threshold</w:t>
            </w:r>
          </w:p>
        </w:tc>
        <w:tc>
          <w:tcPr>
            <w:tcW w:w="820" w:type="dxa"/>
            <w:vAlign w:val="bottom"/>
          </w:tcPr>
          <w:p>
            <w:pPr>
              <w:jc w:val="right"/>
              <w:ind w:right="57"/>
              <w:spacing w:after="0" w:line="120" w:lineRule="exact"/>
              <w:rPr>
                <w:sz w:val="20"/>
                <w:szCs w:val="20"/>
                <w:color w:val="auto"/>
              </w:rPr>
            </w:pPr>
            <w:r>
              <w:rPr>
                <w:rFonts w:ascii="Arial" w:cs="Arial" w:eastAsia="Arial" w:hAnsi="Arial"/>
                <w:sz w:val="13"/>
                <w:szCs w:val="13"/>
                <w:b w:val="1"/>
                <w:bCs w:val="1"/>
                <w:color w:val="00A1DF"/>
              </w:rPr>
              <w:t>Target</w:t>
            </w:r>
          </w:p>
        </w:tc>
        <w:tc>
          <w:tcPr>
            <w:tcW w:w="680" w:type="dxa"/>
            <w:vAlign w:val="bottom"/>
          </w:tcPr>
          <w:p>
            <w:pPr>
              <w:jc w:val="right"/>
              <w:spacing w:after="0" w:line="120" w:lineRule="exact"/>
              <w:rPr>
                <w:sz w:val="20"/>
                <w:szCs w:val="20"/>
                <w:color w:val="auto"/>
              </w:rPr>
            </w:pPr>
            <w:r>
              <w:rPr>
                <w:rFonts w:ascii="Arial" w:cs="Arial" w:eastAsia="Arial" w:hAnsi="Arial"/>
                <w:sz w:val="13"/>
                <w:szCs w:val="13"/>
                <w:b w:val="1"/>
                <w:bCs w:val="1"/>
                <w:color w:val="00A1DF"/>
                <w:w w:val="99"/>
              </w:rPr>
              <w:t>Maximum</w:t>
            </w:r>
          </w:p>
        </w:tc>
        <w:tc>
          <w:tcPr>
            <w:tcW w:w="760" w:type="dxa"/>
            <w:vAlign w:val="bottom"/>
          </w:tcPr>
          <w:p>
            <w:pPr>
              <w:jc w:val="right"/>
              <w:ind w:right="17"/>
              <w:spacing w:after="0" w:line="120" w:lineRule="exact"/>
              <w:rPr>
                <w:sz w:val="20"/>
                <w:szCs w:val="20"/>
                <w:color w:val="auto"/>
              </w:rPr>
            </w:pPr>
            <w:r>
              <w:rPr>
                <w:rFonts w:ascii="Arial" w:cs="Arial" w:eastAsia="Arial" w:hAnsi="Arial"/>
                <w:sz w:val="13"/>
                <w:szCs w:val="13"/>
                <w:b w:val="1"/>
                <w:bCs w:val="1"/>
                <w:color w:val="00A1DF"/>
              </w:rPr>
              <w:t>Threshold</w:t>
            </w:r>
          </w:p>
        </w:tc>
        <w:tc>
          <w:tcPr>
            <w:tcW w:w="660" w:type="dxa"/>
            <w:vAlign w:val="bottom"/>
          </w:tcPr>
          <w:p>
            <w:pPr>
              <w:jc w:val="right"/>
              <w:ind w:right="57"/>
              <w:spacing w:after="0" w:line="120" w:lineRule="exact"/>
              <w:rPr>
                <w:sz w:val="20"/>
                <w:szCs w:val="20"/>
                <w:color w:val="auto"/>
              </w:rPr>
            </w:pPr>
            <w:r>
              <w:rPr>
                <w:rFonts w:ascii="Arial" w:cs="Arial" w:eastAsia="Arial" w:hAnsi="Arial"/>
                <w:sz w:val="13"/>
                <w:szCs w:val="13"/>
                <w:b w:val="1"/>
                <w:bCs w:val="1"/>
                <w:color w:val="00A1DF"/>
              </w:rPr>
              <w:t>Target</w:t>
            </w:r>
          </w:p>
        </w:tc>
        <w:tc>
          <w:tcPr>
            <w:tcW w:w="640" w:type="dxa"/>
            <w:vAlign w:val="bottom"/>
          </w:tcPr>
          <w:p>
            <w:pPr>
              <w:jc w:val="right"/>
              <w:spacing w:after="0" w:line="120" w:lineRule="exact"/>
              <w:rPr>
                <w:sz w:val="20"/>
                <w:szCs w:val="20"/>
                <w:color w:val="auto"/>
              </w:rPr>
            </w:pPr>
            <w:r>
              <w:rPr>
                <w:rFonts w:ascii="Arial" w:cs="Arial" w:eastAsia="Arial" w:hAnsi="Arial"/>
                <w:sz w:val="13"/>
                <w:szCs w:val="13"/>
                <w:b w:val="1"/>
                <w:bCs w:val="1"/>
                <w:color w:val="00A1DF"/>
                <w:w w:val="93"/>
              </w:rPr>
              <w:t>Maximum</w:t>
            </w:r>
          </w:p>
        </w:tc>
        <w:tc>
          <w:tcPr>
            <w:tcW w:w="740" w:type="dxa"/>
            <w:vAlign w:val="bottom"/>
          </w:tcPr>
          <w:p>
            <w:pPr>
              <w:jc w:val="center"/>
              <w:spacing w:after="0" w:line="120" w:lineRule="exact"/>
              <w:rPr>
                <w:sz w:val="20"/>
                <w:szCs w:val="20"/>
                <w:color w:val="auto"/>
              </w:rPr>
            </w:pPr>
            <w:r>
              <w:rPr>
                <w:rFonts w:ascii="Arial" w:cs="Arial" w:eastAsia="Arial" w:hAnsi="Arial"/>
                <w:sz w:val="13"/>
                <w:szCs w:val="13"/>
                <w:b w:val="1"/>
                <w:bCs w:val="1"/>
                <w:color w:val="00A1DF"/>
                <w:w w:val="96"/>
              </w:rPr>
              <w:t>Stock or</w:t>
            </w:r>
          </w:p>
        </w:tc>
        <w:tc>
          <w:tcPr>
            <w:tcW w:w="760" w:type="dxa"/>
            <w:vAlign w:val="bottom"/>
          </w:tcPr>
          <w:p>
            <w:pPr>
              <w:jc w:val="center"/>
              <w:spacing w:after="0" w:line="120" w:lineRule="exact"/>
              <w:rPr>
                <w:sz w:val="20"/>
                <w:szCs w:val="20"/>
                <w:color w:val="auto"/>
              </w:rPr>
            </w:pPr>
            <w:r>
              <w:rPr>
                <w:rFonts w:ascii="Arial" w:cs="Arial" w:eastAsia="Arial" w:hAnsi="Arial"/>
                <w:sz w:val="13"/>
                <w:szCs w:val="13"/>
                <w:b w:val="1"/>
                <w:bCs w:val="1"/>
                <w:color w:val="00A1DF"/>
                <w:w w:val="97"/>
              </w:rPr>
              <w:t>Underlying</w:t>
            </w:r>
          </w:p>
        </w:tc>
        <w:tc>
          <w:tcPr>
            <w:tcW w:w="620" w:type="dxa"/>
            <w:vAlign w:val="bottom"/>
          </w:tcPr>
          <w:p>
            <w:pPr>
              <w:jc w:val="center"/>
              <w:spacing w:after="0" w:line="120" w:lineRule="exact"/>
              <w:rPr>
                <w:sz w:val="20"/>
                <w:szCs w:val="20"/>
                <w:color w:val="auto"/>
              </w:rPr>
            </w:pPr>
            <w:r>
              <w:rPr>
                <w:rFonts w:ascii="Arial" w:cs="Arial" w:eastAsia="Arial" w:hAnsi="Arial"/>
                <w:sz w:val="13"/>
                <w:szCs w:val="13"/>
                <w:b w:val="1"/>
                <w:bCs w:val="1"/>
                <w:color w:val="00A1DF"/>
                <w:w w:val="93"/>
              </w:rPr>
              <w:t>Awards</w:t>
            </w:r>
          </w:p>
        </w:tc>
        <w:tc>
          <w:tcPr>
            <w:tcW w:w="840" w:type="dxa"/>
            <w:vAlign w:val="bottom"/>
          </w:tcPr>
          <w:p>
            <w:pPr>
              <w:jc w:val="center"/>
              <w:spacing w:after="0" w:line="120" w:lineRule="exact"/>
              <w:rPr>
                <w:sz w:val="20"/>
                <w:szCs w:val="20"/>
                <w:color w:val="auto"/>
              </w:rPr>
            </w:pPr>
            <w:r>
              <w:rPr>
                <w:rFonts w:ascii="Arial" w:cs="Arial" w:eastAsia="Arial" w:hAnsi="Arial"/>
                <w:sz w:val="13"/>
                <w:szCs w:val="13"/>
                <w:b w:val="1"/>
                <w:bCs w:val="1"/>
                <w:color w:val="00A1DF"/>
                <w:w w:val="96"/>
              </w:rPr>
              <w:t>and Option</w:t>
            </w:r>
          </w:p>
        </w:tc>
        <w:tc>
          <w:tcPr>
            <w:tcW w:w="0" w:type="dxa"/>
            <w:vAlign w:val="bottom"/>
          </w:tcPr>
          <w:p>
            <w:pPr>
              <w:spacing w:after="0"/>
              <w:rPr>
                <w:sz w:val="1"/>
                <w:szCs w:val="1"/>
                <w:color w:val="auto"/>
              </w:rPr>
            </w:pPr>
          </w:p>
        </w:tc>
      </w:tr>
      <w:tr>
        <w:trPr>
          <w:trHeight w:val="170"/>
        </w:trPr>
        <w:tc>
          <w:tcPr>
            <w:tcW w:w="1640" w:type="dxa"/>
            <w:vAlign w:val="bottom"/>
            <w:tcBorders>
              <w:bottom w:val="single" w:sz="8" w:color="00A1DF"/>
            </w:tcBorders>
          </w:tcPr>
          <w:p>
            <w:pPr>
              <w:ind w:left="60"/>
              <w:spacing w:after="0"/>
              <w:rPr>
                <w:sz w:val="20"/>
                <w:szCs w:val="20"/>
                <w:color w:val="auto"/>
              </w:rPr>
            </w:pPr>
            <w:r>
              <w:rPr>
                <w:rFonts w:ascii="Arial" w:cs="Arial" w:eastAsia="Arial" w:hAnsi="Arial"/>
                <w:sz w:val="13"/>
                <w:szCs w:val="13"/>
                <w:b w:val="1"/>
                <w:bCs w:val="1"/>
                <w:color w:val="00A1DF"/>
              </w:rPr>
              <w:t>Name</w:t>
            </w:r>
          </w:p>
        </w:tc>
        <w:tc>
          <w:tcPr>
            <w:tcW w:w="640" w:type="dxa"/>
            <w:vAlign w:val="bottom"/>
            <w:tcBorders>
              <w:bottom w:val="single" w:sz="8" w:color="00A1DF"/>
            </w:tcBorders>
          </w:tcPr>
          <w:p>
            <w:pPr>
              <w:jc w:val="right"/>
              <w:ind w:right="37"/>
              <w:spacing w:after="0"/>
              <w:rPr>
                <w:sz w:val="20"/>
                <w:szCs w:val="20"/>
                <w:color w:val="auto"/>
              </w:rPr>
            </w:pPr>
            <w:r>
              <w:rPr>
                <w:rFonts w:ascii="Arial" w:cs="Arial" w:eastAsia="Arial" w:hAnsi="Arial"/>
                <w:sz w:val="13"/>
                <w:szCs w:val="13"/>
                <w:b w:val="1"/>
                <w:bCs w:val="1"/>
                <w:color w:val="00A1DF"/>
              </w:rPr>
              <w:t>Type</w:t>
            </w:r>
          </w:p>
        </w:tc>
        <w:tc>
          <w:tcPr>
            <w:tcW w:w="720" w:type="dxa"/>
            <w:vAlign w:val="bottom"/>
            <w:tcBorders>
              <w:bottom w:val="single" w:sz="8" w:color="00A1DF"/>
            </w:tcBorders>
          </w:tcPr>
          <w:p>
            <w:pPr>
              <w:jc w:val="right"/>
              <w:ind w:right="17"/>
              <w:spacing w:after="0"/>
              <w:rPr>
                <w:sz w:val="20"/>
                <w:szCs w:val="20"/>
                <w:color w:val="auto"/>
              </w:rPr>
            </w:pPr>
            <w:r>
              <w:rPr>
                <w:rFonts w:ascii="Arial" w:cs="Arial" w:eastAsia="Arial" w:hAnsi="Arial"/>
                <w:sz w:val="13"/>
                <w:szCs w:val="13"/>
                <w:b w:val="1"/>
                <w:bCs w:val="1"/>
                <w:color w:val="00A1DF"/>
              </w:rPr>
              <w:t>Date</w:t>
            </w:r>
          </w:p>
        </w:tc>
        <w:tc>
          <w:tcPr>
            <w:tcW w:w="76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Date</w:t>
            </w:r>
          </w:p>
        </w:tc>
        <w:tc>
          <w:tcPr>
            <w:tcW w:w="72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w:t>
            </w:r>
          </w:p>
        </w:tc>
        <w:tc>
          <w:tcPr>
            <w:tcW w:w="820" w:type="dxa"/>
            <w:vAlign w:val="bottom"/>
            <w:tcBorders>
              <w:bottom w:val="single" w:sz="8" w:color="00A1DF"/>
            </w:tcBorders>
          </w:tcPr>
          <w:p>
            <w:pPr>
              <w:jc w:val="right"/>
              <w:ind w:right="57"/>
              <w:spacing w:after="0"/>
              <w:rPr>
                <w:sz w:val="20"/>
                <w:szCs w:val="20"/>
                <w:color w:val="auto"/>
              </w:rPr>
            </w:pPr>
            <w:r>
              <w:rPr>
                <w:rFonts w:ascii="Arial" w:cs="Arial" w:eastAsia="Arial" w:hAnsi="Arial"/>
                <w:sz w:val="13"/>
                <w:szCs w:val="13"/>
                <w:b w:val="1"/>
                <w:bCs w:val="1"/>
                <w:color w:val="00A1DF"/>
              </w:rPr>
              <w:t>($)</w:t>
            </w:r>
          </w:p>
        </w:tc>
        <w:tc>
          <w:tcPr>
            <w:tcW w:w="68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w:t>
            </w:r>
          </w:p>
        </w:tc>
        <w:tc>
          <w:tcPr>
            <w:tcW w:w="760" w:type="dxa"/>
            <w:vAlign w:val="bottom"/>
            <w:tcBorders>
              <w:bottom w:val="single" w:sz="8" w:color="00A1DF"/>
            </w:tcBorders>
          </w:tcPr>
          <w:p>
            <w:pPr>
              <w:jc w:val="right"/>
              <w:ind w:right="17"/>
              <w:spacing w:after="0"/>
              <w:rPr>
                <w:sz w:val="20"/>
                <w:szCs w:val="20"/>
                <w:color w:val="auto"/>
              </w:rPr>
            </w:pPr>
            <w:r>
              <w:rPr>
                <w:rFonts w:ascii="Arial" w:cs="Arial" w:eastAsia="Arial" w:hAnsi="Arial"/>
                <w:sz w:val="13"/>
                <w:szCs w:val="13"/>
                <w:b w:val="1"/>
                <w:bCs w:val="1"/>
                <w:color w:val="00A1DF"/>
              </w:rPr>
              <w:t>(#)</w:t>
            </w:r>
          </w:p>
        </w:tc>
        <w:tc>
          <w:tcPr>
            <w:tcW w:w="660" w:type="dxa"/>
            <w:vAlign w:val="bottom"/>
            <w:tcBorders>
              <w:bottom w:val="single" w:sz="8" w:color="00A1DF"/>
            </w:tcBorders>
          </w:tcPr>
          <w:p>
            <w:pPr>
              <w:jc w:val="right"/>
              <w:ind w:right="57"/>
              <w:spacing w:after="0"/>
              <w:rPr>
                <w:sz w:val="20"/>
                <w:szCs w:val="20"/>
                <w:color w:val="auto"/>
              </w:rPr>
            </w:pPr>
            <w:r>
              <w:rPr>
                <w:rFonts w:ascii="Arial" w:cs="Arial" w:eastAsia="Arial" w:hAnsi="Arial"/>
                <w:sz w:val="13"/>
                <w:szCs w:val="13"/>
                <w:b w:val="1"/>
                <w:bCs w:val="1"/>
                <w:color w:val="00A1DF"/>
              </w:rPr>
              <w:t>(#)</w:t>
            </w:r>
          </w:p>
        </w:tc>
        <w:tc>
          <w:tcPr>
            <w:tcW w:w="64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w:t>
            </w:r>
          </w:p>
        </w:tc>
        <w:tc>
          <w:tcPr>
            <w:tcW w:w="7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00A1DF"/>
                <w:w w:val="96"/>
              </w:rPr>
              <w:t>Units (#)</w:t>
            </w:r>
          </w:p>
        </w:tc>
        <w:tc>
          <w:tcPr>
            <w:tcW w:w="76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00A1DF"/>
                <w:w w:val="96"/>
              </w:rPr>
              <w:t>Options (#)</w:t>
            </w:r>
          </w:p>
        </w:tc>
        <w:tc>
          <w:tcPr>
            <w:tcW w:w="62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($/share)</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00A1DF"/>
                <w:w w:val="98"/>
              </w:rPr>
              <w:t>Awards($)</w:t>
            </w:r>
            <w:r>
              <w:rPr>
                <w:rFonts w:ascii="Arial" w:cs="Arial" w:eastAsia="Arial" w:hAnsi="Arial"/>
                <w:sz w:val="10"/>
                <w:szCs w:val="10"/>
                <w:b w:val="1"/>
                <w:bCs w:val="1"/>
                <w:color w:val="00A1DF"/>
                <w:w w:val="98"/>
              </w:rPr>
              <w:t>(1)</w:t>
            </w:r>
          </w:p>
        </w:tc>
        <w:tc>
          <w:tcPr>
            <w:tcW w:w="0" w:type="dxa"/>
            <w:vAlign w:val="bottom"/>
          </w:tcPr>
          <w:p>
            <w:pPr>
              <w:spacing w:after="0"/>
              <w:rPr>
                <w:sz w:val="1"/>
                <w:szCs w:val="1"/>
                <w:color w:val="auto"/>
              </w:rPr>
            </w:pPr>
          </w:p>
        </w:tc>
      </w:tr>
      <w:tr>
        <w:trPr>
          <w:trHeight w:val="180"/>
        </w:trPr>
        <w:tc>
          <w:tcPr>
            <w:tcW w:w="1640" w:type="dxa"/>
            <w:vAlign w:val="bottom"/>
          </w:tcPr>
          <w:p>
            <w:pPr>
              <w:ind w:left="60"/>
              <w:spacing w:after="0"/>
              <w:rPr>
                <w:sz w:val="20"/>
                <w:szCs w:val="20"/>
                <w:color w:val="auto"/>
              </w:rPr>
            </w:pPr>
            <w:r>
              <w:rPr>
                <w:rFonts w:ascii="Arial" w:cs="Arial" w:eastAsia="Arial" w:hAnsi="Arial"/>
                <w:sz w:val="13"/>
                <w:szCs w:val="13"/>
                <w:color w:val="auto"/>
              </w:rPr>
              <w:t>Mary T. Barra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STIP</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1/1/2018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jc w:val="right"/>
              <w:spacing w:after="0"/>
              <w:rPr>
                <w:sz w:val="20"/>
                <w:szCs w:val="20"/>
                <w:color w:val="auto"/>
              </w:rPr>
            </w:pPr>
            <w:r>
              <w:rPr>
                <w:rFonts w:ascii="Arial" w:cs="Arial" w:eastAsia="Arial" w:hAnsi="Arial"/>
                <w:sz w:val="13"/>
                <w:szCs w:val="13"/>
                <w:color w:val="auto"/>
              </w:rPr>
              <w:t>409,500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4,200,000</w:t>
            </w:r>
          </w:p>
        </w:tc>
        <w:tc>
          <w:tcPr>
            <w:tcW w:w="680" w:type="dxa"/>
            <w:vAlign w:val="bottom"/>
          </w:tcPr>
          <w:p>
            <w:pPr>
              <w:jc w:val="right"/>
              <w:spacing w:after="0"/>
              <w:rPr>
                <w:sz w:val="20"/>
                <w:szCs w:val="20"/>
                <w:color w:val="auto"/>
              </w:rPr>
            </w:pPr>
            <w:r>
              <w:rPr>
                <w:rFonts w:ascii="Arial" w:cs="Arial" w:eastAsia="Arial" w:hAnsi="Arial"/>
                <w:sz w:val="13"/>
                <w:szCs w:val="13"/>
                <w:color w:val="auto"/>
              </w:rPr>
              <w:t>8,400,000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413,648</w:t>
            </w:r>
          </w:p>
        </w:tc>
        <w:tc>
          <w:tcPr>
            <w:tcW w:w="620" w:type="dxa"/>
            <w:vAlign w:val="bottom"/>
          </w:tcPr>
          <w:p>
            <w:pPr>
              <w:jc w:val="right"/>
              <w:spacing w:after="0"/>
              <w:rPr>
                <w:sz w:val="20"/>
                <w:szCs w:val="20"/>
                <w:color w:val="auto"/>
              </w:rPr>
            </w:pPr>
            <w:r>
              <w:rPr>
                <w:rFonts w:ascii="Arial" w:cs="Arial" w:eastAsia="Arial" w:hAnsi="Arial"/>
                <w:sz w:val="13"/>
                <w:szCs w:val="13"/>
                <w:color w:val="auto"/>
              </w:rPr>
              <w:t>41.40</w:t>
            </w:r>
          </w:p>
        </w:tc>
        <w:tc>
          <w:tcPr>
            <w:tcW w:w="840" w:type="dxa"/>
            <w:vAlign w:val="bottom"/>
          </w:tcPr>
          <w:p>
            <w:pPr>
              <w:jc w:val="right"/>
              <w:spacing w:after="0"/>
              <w:rPr>
                <w:sz w:val="20"/>
                <w:szCs w:val="20"/>
                <w:color w:val="auto"/>
              </w:rPr>
            </w:pPr>
            <w:r>
              <w:rPr>
                <w:rFonts w:ascii="Arial" w:cs="Arial" w:eastAsia="Arial" w:hAnsi="Arial"/>
                <w:sz w:val="13"/>
                <w:szCs w:val="13"/>
                <w:color w:val="auto"/>
              </w:rPr>
              <w:t>3,425,006</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PSU</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40,951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248,189</w:t>
            </w:r>
          </w:p>
        </w:tc>
        <w:tc>
          <w:tcPr>
            <w:tcW w:w="640" w:type="dxa"/>
            <w:vAlign w:val="bottom"/>
          </w:tcPr>
          <w:p>
            <w:pPr>
              <w:jc w:val="right"/>
              <w:spacing w:after="0"/>
              <w:rPr>
                <w:sz w:val="20"/>
                <w:szCs w:val="20"/>
                <w:color w:val="auto"/>
              </w:rPr>
            </w:pPr>
            <w:r>
              <w:rPr>
                <w:rFonts w:ascii="Arial" w:cs="Arial" w:eastAsia="Arial" w:hAnsi="Arial"/>
                <w:sz w:val="13"/>
                <w:szCs w:val="13"/>
                <w:color w:val="auto"/>
              </w:rPr>
              <w:t>496,378</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11,081,760</w:t>
            </w:r>
          </w:p>
        </w:tc>
        <w:tc>
          <w:tcPr>
            <w:tcW w:w="0" w:type="dxa"/>
            <w:vAlign w:val="bottom"/>
          </w:tcPr>
          <w:p>
            <w:pPr>
              <w:spacing w:after="0"/>
              <w:rPr>
                <w:sz w:val="1"/>
                <w:szCs w:val="1"/>
                <w:color w:val="auto"/>
              </w:rPr>
            </w:pPr>
          </w:p>
        </w:tc>
      </w:tr>
      <w:tr>
        <w:trPr>
          <w:trHeight w:val="29"/>
        </w:trPr>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60"/>
              <w:spacing w:after="0"/>
              <w:rPr>
                <w:sz w:val="20"/>
                <w:szCs w:val="20"/>
                <w:color w:val="auto"/>
              </w:rPr>
            </w:pPr>
            <w:r>
              <w:rPr>
                <w:rFonts w:ascii="Arial" w:cs="Arial" w:eastAsia="Arial" w:hAnsi="Arial"/>
                <w:sz w:val="13"/>
                <w:szCs w:val="13"/>
                <w:color w:val="auto"/>
              </w:rPr>
              <w:t>Dhivya Suryadevara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STIP</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1/1/2018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jc w:val="right"/>
              <w:spacing w:after="0"/>
              <w:rPr>
                <w:sz w:val="20"/>
                <w:szCs w:val="20"/>
                <w:color w:val="auto"/>
              </w:rPr>
            </w:pPr>
            <w:r>
              <w:rPr>
                <w:rFonts w:ascii="Arial" w:cs="Arial" w:eastAsia="Arial" w:hAnsi="Arial"/>
                <w:sz w:val="13"/>
                <w:szCs w:val="13"/>
                <w:color w:val="auto"/>
              </w:rPr>
              <w:t>109,688</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1,125,000</w:t>
            </w:r>
          </w:p>
        </w:tc>
        <w:tc>
          <w:tcPr>
            <w:tcW w:w="680" w:type="dxa"/>
            <w:vAlign w:val="bottom"/>
          </w:tcPr>
          <w:p>
            <w:pPr>
              <w:jc w:val="right"/>
              <w:spacing w:after="0"/>
              <w:rPr>
                <w:sz w:val="20"/>
                <w:szCs w:val="20"/>
                <w:color w:val="auto"/>
              </w:rPr>
            </w:pPr>
            <w:r>
              <w:rPr>
                <w:rFonts w:ascii="Arial" w:cs="Arial" w:eastAsia="Arial" w:hAnsi="Arial"/>
                <w:sz w:val="13"/>
                <w:szCs w:val="13"/>
                <w:color w:val="auto"/>
              </w:rPr>
              <w:t>2,250,000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22,193</w:t>
            </w:r>
          </w:p>
        </w:tc>
        <w:tc>
          <w:tcPr>
            <w:tcW w:w="620" w:type="dxa"/>
            <w:vAlign w:val="bottom"/>
          </w:tcPr>
          <w:p>
            <w:pPr>
              <w:jc w:val="right"/>
              <w:spacing w:after="0"/>
              <w:rPr>
                <w:sz w:val="20"/>
                <w:szCs w:val="20"/>
                <w:color w:val="auto"/>
              </w:rPr>
            </w:pPr>
            <w:r>
              <w:rPr>
                <w:rFonts w:ascii="Arial" w:cs="Arial" w:eastAsia="Arial" w:hAnsi="Arial"/>
                <w:sz w:val="13"/>
                <w:szCs w:val="13"/>
                <w:color w:val="auto"/>
              </w:rPr>
              <w:t>41.40</w:t>
            </w:r>
          </w:p>
        </w:tc>
        <w:tc>
          <w:tcPr>
            <w:tcW w:w="840" w:type="dxa"/>
            <w:vAlign w:val="bottom"/>
          </w:tcPr>
          <w:p>
            <w:pPr>
              <w:jc w:val="right"/>
              <w:spacing w:after="0"/>
              <w:rPr>
                <w:sz w:val="20"/>
                <w:szCs w:val="20"/>
                <w:color w:val="auto"/>
              </w:rPr>
            </w:pPr>
            <w:r>
              <w:rPr>
                <w:rFonts w:ascii="Arial" w:cs="Arial" w:eastAsia="Arial" w:hAnsi="Arial"/>
                <w:sz w:val="13"/>
                <w:szCs w:val="13"/>
                <w:color w:val="auto"/>
              </w:rPr>
              <w:t>183,759</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10/1/2018</w:t>
            </w:r>
          </w:p>
        </w:tc>
        <w:tc>
          <w:tcPr>
            <w:tcW w:w="760" w:type="dxa"/>
            <w:vAlign w:val="bottom"/>
          </w:tcPr>
          <w:p>
            <w:pPr>
              <w:jc w:val="right"/>
              <w:spacing w:after="0"/>
              <w:rPr>
                <w:sz w:val="20"/>
                <w:szCs w:val="20"/>
                <w:color w:val="auto"/>
              </w:rPr>
            </w:pPr>
            <w:r>
              <w:rPr>
                <w:rFonts w:ascii="Arial" w:cs="Arial" w:eastAsia="Arial" w:hAnsi="Arial"/>
                <w:sz w:val="13"/>
                <w:szCs w:val="13"/>
                <w:color w:val="auto"/>
              </w:rPr>
              <w:t>6/11/2018</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99,594</w:t>
            </w:r>
          </w:p>
        </w:tc>
        <w:tc>
          <w:tcPr>
            <w:tcW w:w="620" w:type="dxa"/>
            <w:vAlign w:val="bottom"/>
          </w:tcPr>
          <w:p>
            <w:pPr>
              <w:jc w:val="right"/>
              <w:spacing w:after="0"/>
              <w:rPr>
                <w:sz w:val="20"/>
                <w:szCs w:val="20"/>
                <w:color w:val="auto"/>
              </w:rPr>
            </w:pPr>
            <w:r>
              <w:rPr>
                <w:rFonts w:ascii="Arial" w:cs="Arial" w:eastAsia="Arial" w:hAnsi="Arial"/>
                <w:sz w:val="13"/>
                <w:szCs w:val="13"/>
                <w:color w:val="auto"/>
              </w:rPr>
              <w:t>34.20</w:t>
            </w:r>
          </w:p>
        </w:tc>
        <w:tc>
          <w:tcPr>
            <w:tcW w:w="840" w:type="dxa"/>
            <w:vAlign w:val="bottom"/>
          </w:tcPr>
          <w:p>
            <w:pPr>
              <w:jc w:val="right"/>
              <w:spacing w:after="0"/>
              <w:rPr>
                <w:sz w:val="20"/>
                <w:szCs w:val="20"/>
                <w:color w:val="auto"/>
              </w:rPr>
            </w:pPr>
            <w:r>
              <w:rPr>
                <w:rFonts w:ascii="Arial" w:cs="Arial" w:eastAsia="Arial" w:hAnsi="Arial"/>
                <w:sz w:val="13"/>
                <w:szCs w:val="13"/>
                <w:color w:val="auto"/>
              </w:rPr>
              <w:t>612,504</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PSU</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2,197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13,316</w:t>
            </w:r>
          </w:p>
        </w:tc>
        <w:tc>
          <w:tcPr>
            <w:tcW w:w="640" w:type="dxa"/>
            <w:vAlign w:val="bottom"/>
          </w:tcPr>
          <w:p>
            <w:pPr>
              <w:jc w:val="right"/>
              <w:spacing w:after="0"/>
              <w:rPr>
                <w:sz w:val="20"/>
                <w:szCs w:val="20"/>
                <w:color w:val="auto"/>
              </w:rPr>
            </w:pPr>
            <w:r>
              <w:rPr>
                <w:rFonts w:ascii="Arial" w:cs="Arial" w:eastAsia="Arial" w:hAnsi="Arial"/>
                <w:sz w:val="13"/>
                <w:szCs w:val="13"/>
                <w:color w:val="auto"/>
              </w:rPr>
              <w:t>26,632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594,564</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PSU</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10/1/2018</w:t>
            </w:r>
          </w:p>
        </w:tc>
        <w:tc>
          <w:tcPr>
            <w:tcW w:w="760" w:type="dxa"/>
            <w:vAlign w:val="bottom"/>
          </w:tcPr>
          <w:p>
            <w:pPr>
              <w:jc w:val="right"/>
              <w:spacing w:after="0"/>
              <w:rPr>
                <w:sz w:val="20"/>
                <w:szCs w:val="20"/>
                <w:color w:val="auto"/>
              </w:rPr>
            </w:pPr>
            <w:r>
              <w:rPr>
                <w:rFonts w:ascii="Arial" w:cs="Arial" w:eastAsia="Arial" w:hAnsi="Arial"/>
                <w:sz w:val="13"/>
                <w:szCs w:val="13"/>
                <w:color w:val="auto"/>
              </w:rPr>
              <w:t>6/11/2018</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8,865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53,729</w:t>
            </w:r>
          </w:p>
        </w:tc>
        <w:tc>
          <w:tcPr>
            <w:tcW w:w="640" w:type="dxa"/>
            <w:vAlign w:val="bottom"/>
          </w:tcPr>
          <w:p>
            <w:pPr>
              <w:jc w:val="right"/>
              <w:spacing w:after="0"/>
              <w:rPr>
                <w:sz w:val="20"/>
                <w:szCs w:val="20"/>
                <w:color w:val="auto"/>
              </w:rPr>
            </w:pPr>
            <w:r>
              <w:rPr>
                <w:rFonts w:ascii="Arial" w:cs="Arial" w:eastAsia="Arial" w:hAnsi="Arial"/>
                <w:sz w:val="13"/>
                <w:szCs w:val="13"/>
                <w:color w:val="auto"/>
              </w:rPr>
              <w:t>107,458</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1,852,071</w:t>
            </w:r>
          </w:p>
        </w:tc>
        <w:tc>
          <w:tcPr>
            <w:tcW w:w="0" w:type="dxa"/>
            <w:vAlign w:val="bottom"/>
          </w:tcPr>
          <w:p>
            <w:pPr>
              <w:spacing w:after="0"/>
              <w:rPr>
                <w:sz w:val="1"/>
                <w:szCs w:val="1"/>
                <w:color w:val="auto"/>
              </w:rPr>
            </w:pPr>
          </w:p>
        </w:tc>
      </w:tr>
      <w:tr>
        <w:trPr>
          <w:trHeight w:val="29"/>
        </w:trPr>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60"/>
              <w:spacing w:after="0"/>
              <w:rPr>
                <w:sz w:val="20"/>
                <w:szCs w:val="20"/>
                <w:color w:val="auto"/>
              </w:rPr>
            </w:pPr>
            <w:r>
              <w:rPr>
                <w:rFonts w:ascii="Arial" w:cs="Arial" w:eastAsia="Arial" w:hAnsi="Arial"/>
                <w:sz w:val="13"/>
                <w:szCs w:val="13"/>
                <w:color w:val="auto"/>
              </w:rPr>
              <w:t>Daniel Ammann</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STIP</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1/1/2018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jc w:val="right"/>
              <w:spacing w:after="0"/>
              <w:rPr>
                <w:sz w:val="20"/>
                <w:szCs w:val="20"/>
                <w:color w:val="auto"/>
              </w:rPr>
            </w:pPr>
            <w:r>
              <w:rPr>
                <w:rFonts w:ascii="Arial" w:cs="Arial" w:eastAsia="Arial" w:hAnsi="Arial"/>
                <w:sz w:val="13"/>
                <w:szCs w:val="13"/>
                <w:color w:val="auto"/>
              </w:rPr>
              <w:t>176,719</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1,812,500</w:t>
            </w:r>
          </w:p>
        </w:tc>
        <w:tc>
          <w:tcPr>
            <w:tcW w:w="680" w:type="dxa"/>
            <w:vAlign w:val="bottom"/>
          </w:tcPr>
          <w:p>
            <w:pPr>
              <w:jc w:val="right"/>
              <w:spacing w:after="0"/>
              <w:rPr>
                <w:sz w:val="20"/>
                <w:szCs w:val="20"/>
                <w:color w:val="auto"/>
              </w:rPr>
            </w:pPr>
            <w:r>
              <w:rPr>
                <w:rFonts w:ascii="Arial" w:cs="Arial" w:eastAsia="Arial" w:hAnsi="Arial"/>
                <w:sz w:val="13"/>
                <w:szCs w:val="13"/>
                <w:color w:val="auto"/>
              </w:rPr>
              <w:t>3,625,000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149,080</w:t>
            </w:r>
          </w:p>
        </w:tc>
        <w:tc>
          <w:tcPr>
            <w:tcW w:w="620" w:type="dxa"/>
            <w:vAlign w:val="bottom"/>
          </w:tcPr>
          <w:p>
            <w:pPr>
              <w:jc w:val="right"/>
              <w:spacing w:after="0"/>
              <w:rPr>
                <w:sz w:val="20"/>
                <w:szCs w:val="20"/>
                <w:color w:val="auto"/>
              </w:rPr>
            </w:pPr>
            <w:r>
              <w:rPr>
                <w:rFonts w:ascii="Arial" w:cs="Arial" w:eastAsia="Arial" w:hAnsi="Arial"/>
                <w:sz w:val="13"/>
                <w:szCs w:val="13"/>
                <w:color w:val="auto"/>
              </w:rPr>
              <w:t>41.40</w:t>
            </w:r>
          </w:p>
        </w:tc>
        <w:tc>
          <w:tcPr>
            <w:tcW w:w="840" w:type="dxa"/>
            <w:vAlign w:val="bottom"/>
          </w:tcPr>
          <w:p>
            <w:pPr>
              <w:jc w:val="right"/>
              <w:spacing w:after="0"/>
              <w:rPr>
                <w:sz w:val="20"/>
                <w:szCs w:val="20"/>
                <w:color w:val="auto"/>
              </w:rPr>
            </w:pPr>
            <w:r>
              <w:rPr>
                <w:rFonts w:ascii="Arial" w:cs="Arial" w:eastAsia="Arial" w:hAnsi="Arial"/>
                <w:sz w:val="13"/>
                <w:szCs w:val="13"/>
                <w:color w:val="auto"/>
              </w:rPr>
              <w:t>1,234,383</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PSU</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14,759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89,448</w:t>
            </w:r>
          </w:p>
        </w:tc>
        <w:tc>
          <w:tcPr>
            <w:tcW w:w="640" w:type="dxa"/>
            <w:vAlign w:val="bottom"/>
          </w:tcPr>
          <w:p>
            <w:pPr>
              <w:jc w:val="right"/>
              <w:spacing w:after="0"/>
              <w:rPr>
                <w:sz w:val="20"/>
                <w:szCs w:val="20"/>
                <w:color w:val="auto"/>
              </w:rPr>
            </w:pPr>
            <w:r>
              <w:rPr>
                <w:rFonts w:ascii="Arial" w:cs="Arial" w:eastAsia="Arial" w:hAnsi="Arial"/>
                <w:sz w:val="13"/>
                <w:szCs w:val="13"/>
                <w:color w:val="auto"/>
              </w:rPr>
              <w:t>178,896</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3,993,891</w:t>
            </w:r>
          </w:p>
        </w:tc>
        <w:tc>
          <w:tcPr>
            <w:tcW w:w="0" w:type="dxa"/>
            <w:vAlign w:val="bottom"/>
          </w:tcPr>
          <w:p>
            <w:pPr>
              <w:spacing w:after="0"/>
              <w:rPr>
                <w:sz w:val="1"/>
                <w:szCs w:val="1"/>
                <w:color w:val="auto"/>
              </w:rPr>
            </w:pPr>
          </w:p>
        </w:tc>
      </w:tr>
      <w:tr>
        <w:trPr>
          <w:trHeight w:val="29"/>
        </w:trPr>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60"/>
              <w:spacing w:after="0"/>
              <w:rPr>
                <w:sz w:val="20"/>
                <w:szCs w:val="20"/>
                <w:color w:val="auto"/>
              </w:rPr>
            </w:pPr>
            <w:r>
              <w:rPr>
                <w:rFonts w:ascii="Arial" w:cs="Arial" w:eastAsia="Arial" w:hAnsi="Arial"/>
                <w:sz w:val="13"/>
                <w:szCs w:val="13"/>
                <w:color w:val="auto"/>
              </w:rPr>
              <w:t>Mark L. Reuss</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STIP</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1/1/2018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jc w:val="right"/>
              <w:spacing w:after="0"/>
              <w:rPr>
                <w:sz w:val="20"/>
                <w:szCs w:val="20"/>
                <w:color w:val="auto"/>
              </w:rPr>
            </w:pPr>
            <w:r>
              <w:rPr>
                <w:rFonts w:ascii="Arial" w:cs="Arial" w:eastAsia="Arial" w:hAnsi="Arial"/>
                <w:sz w:val="13"/>
                <w:szCs w:val="13"/>
                <w:color w:val="auto"/>
              </w:rPr>
              <w:t>146,250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1,500,000</w:t>
            </w:r>
          </w:p>
        </w:tc>
        <w:tc>
          <w:tcPr>
            <w:tcW w:w="680" w:type="dxa"/>
            <w:vAlign w:val="bottom"/>
          </w:tcPr>
          <w:p>
            <w:pPr>
              <w:jc w:val="right"/>
              <w:spacing w:after="0"/>
              <w:rPr>
                <w:sz w:val="20"/>
                <w:szCs w:val="20"/>
                <w:color w:val="auto"/>
              </w:rPr>
            </w:pPr>
            <w:r>
              <w:rPr>
                <w:rFonts w:ascii="Arial" w:cs="Arial" w:eastAsia="Arial" w:hAnsi="Arial"/>
                <w:sz w:val="13"/>
                <w:szCs w:val="13"/>
                <w:color w:val="auto"/>
              </w:rPr>
              <w:t>3,000,000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122,283</w:t>
            </w:r>
          </w:p>
        </w:tc>
        <w:tc>
          <w:tcPr>
            <w:tcW w:w="620" w:type="dxa"/>
            <w:vAlign w:val="bottom"/>
          </w:tcPr>
          <w:p>
            <w:pPr>
              <w:jc w:val="right"/>
              <w:spacing w:after="0"/>
              <w:rPr>
                <w:sz w:val="20"/>
                <w:szCs w:val="20"/>
                <w:color w:val="auto"/>
              </w:rPr>
            </w:pPr>
            <w:r>
              <w:rPr>
                <w:rFonts w:ascii="Arial" w:cs="Arial" w:eastAsia="Arial" w:hAnsi="Arial"/>
                <w:sz w:val="13"/>
                <w:szCs w:val="13"/>
                <w:color w:val="auto"/>
              </w:rPr>
              <w:t>41.40</w:t>
            </w:r>
          </w:p>
        </w:tc>
        <w:tc>
          <w:tcPr>
            <w:tcW w:w="840" w:type="dxa"/>
            <w:vAlign w:val="bottom"/>
          </w:tcPr>
          <w:p>
            <w:pPr>
              <w:jc w:val="right"/>
              <w:spacing w:after="0"/>
              <w:rPr>
                <w:sz w:val="20"/>
                <w:szCs w:val="20"/>
                <w:color w:val="auto"/>
              </w:rPr>
            </w:pPr>
            <w:r>
              <w:rPr>
                <w:rFonts w:ascii="Arial" w:cs="Arial" w:eastAsia="Arial" w:hAnsi="Arial"/>
                <w:sz w:val="13"/>
                <w:szCs w:val="13"/>
                <w:color w:val="auto"/>
              </w:rPr>
              <w:t>1,012,504</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PSU</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12,106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73,370</w:t>
            </w:r>
          </w:p>
        </w:tc>
        <w:tc>
          <w:tcPr>
            <w:tcW w:w="640" w:type="dxa"/>
            <w:vAlign w:val="bottom"/>
          </w:tcPr>
          <w:p>
            <w:pPr>
              <w:jc w:val="right"/>
              <w:spacing w:after="0"/>
              <w:rPr>
                <w:sz w:val="20"/>
                <w:szCs w:val="20"/>
                <w:color w:val="auto"/>
              </w:rPr>
            </w:pPr>
            <w:r>
              <w:rPr>
                <w:rFonts w:ascii="Arial" w:cs="Arial" w:eastAsia="Arial" w:hAnsi="Arial"/>
                <w:sz w:val="13"/>
                <w:szCs w:val="13"/>
                <w:color w:val="auto"/>
              </w:rPr>
              <w:t>146,740</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3,276,007</w:t>
            </w:r>
          </w:p>
        </w:tc>
        <w:tc>
          <w:tcPr>
            <w:tcW w:w="0" w:type="dxa"/>
            <w:vAlign w:val="bottom"/>
          </w:tcPr>
          <w:p>
            <w:pPr>
              <w:spacing w:after="0"/>
              <w:rPr>
                <w:sz w:val="1"/>
                <w:szCs w:val="1"/>
                <w:color w:val="auto"/>
              </w:rPr>
            </w:pPr>
          </w:p>
        </w:tc>
      </w:tr>
      <w:tr>
        <w:trPr>
          <w:trHeight w:val="29"/>
        </w:trPr>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60"/>
              <w:spacing w:after="0"/>
              <w:rPr>
                <w:sz w:val="20"/>
                <w:szCs w:val="20"/>
                <w:color w:val="auto"/>
              </w:rPr>
            </w:pPr>
            <w:r>
              <w:rPr>
                <w:rFonts w:ascii="Arial" w:cs="Arial" w:eastAsia="Arial" w:hAnsi="Arial"/>
                <w:sz w:val="13"/>
                <w:szCs w:val="13"/>
                <w:color w:val="auto"/>
              </w:rPr>
              <w:t>Alan S. Batey</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STIP</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1/1/2018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jc w:val="right"/>
              <w:spacing w:after="0"/>
              <w:rPr>
                <w:sz w:val="20"/>
                <w:szCs w:val="20"/>
                <w:color w:val="auto"/>
              </w:rPr>
            </w:pPr>
            <w:r>
              <w:rPr>
                <w:rFonts w:ascii="Arial" w:cs="Arial" w:eastAsia="Arial" w:hAnsi="Arial"/>
                <w:sz w:val="13"/>
                <w:szCs w:val="13"/>
                <w:color w:val="auto"/>
              </w:rPr>
              <w:t>124,927</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1,281,300</w:t>
            </w:r>
          </w:p>
        </w:tc>
        <w:tc>
          <w:tcPr>
            <w:tcW w:w="680" w:type="dxa"/>
            <w:vAlign w:val="bottom"/>
          </w:tcPr>
          <w:p>
            <w:pPr>
              <w:jc w:val="right"/>
              <w:spacing w:after="0"/>
              <w:rPr>
                <w:sz w:val="20"/>
                <w:szCs w:val="20"/>
                <w:color w:val="auto"/>
              </w:rPr>
            </w:pPr>
            <w:r>
              <w:rPr>
                <w:rFonts w:ascii="Arial" w:cs="Arial" w:eastAsia="Arial" w:hAnsi="Arial"/>
                <w:sz w:val="13"/>
                <w:szCs w:val="13"/>
                <w:color w:val="auto"/>
              </w:rPr>
              <w:t>2,562,600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81,332</w:t>
            </w:r>
          </w:p>
        </w:tc>
        <w:tc>
          <w:tcPr>
            <w:tcW w:w="620" w:type="dxa"/>
            <w:vAlign w:val="bottom"/>
          </w:tcPr>
          <w:p>
            <w:pPr>
              <w:jc w:val="right"/>
              <w:spacing w:after="0"/>
              <w:rPr>
                <w:sz w:val="20"/>
                <w:szCs w:val="20"/>
                <w:color w:val="auto"/>
              </w:rPr>
            </w:pPr>
            <w:r>
              <w:rPr>
                <w:rFonts w:ascii="Arial" w:cs="Arial" w:eastAsia="Arial" w:hAnsi="Arial"/>
                <w:sz w:val="13"/>
                <w:szCs w:val="13"/>
                <w:color w:val="auto"/>
              </w:rPr>
              <w:t>41.40</w:t>
            </w:r>
          </w:p>
        </w:tc>
        <w:tc>
          <w:tcPr>
            <w:tcW w:w="840" w:type="dxa"/>
            <w:vAlign w:val="bottom"/>
          </w:tcPr>
          <w:p>
            <w:pPr>
              <w:jc w:val="right"/>
              <w:spacing w:after="0"/>
              <w:rPr>
                <w:sz w:val="20"/>
                <w:szCs w:val="20"/>
                <w:color w:val="auto"/>
              </w:rPr>
            </w:pPr>
            <w:r>
              <w:rPr>
                <w:rFonts w:ascii="Arial" w:cs="Arial" w:eastAsia="Arial" w:hAnsi="Arial"/>
                <w:sz w:val="13"/>
                <w:szCs w:val="13"/>
                <w:color w:val="auto"/>
              </w:rPr>
              <w:t>673,429</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PSU</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8,052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48,799</w:t>
            </w:r>
          </w:p>
        </w:tc>
        <w:tc>
          <w:tcPr>
            <w:tcW w:w="640" w:type="dxa"/>
            <w:vAlign w:val="bottom"/>
          </w:tcPr>
          <w:p>
            <w:pPr>
              <w:jc w:val="right"/>
              <w:spacing w:after="0"/>
              <w:rPr>
                <w:sz w:val="20"/>
                <w:szCs w:val="20"/>
                <w:color w:val="auto"/>
              </w:rPr>
            </w:pPr>
            <w:r>
              <w:rPr>
                <w:rFonts w:ascii="Arial" w:cs="Arial" w:eastAsia="Arial" w:hAnsi="Arial"/>
                <w:sz w:val="13"/>
                <w:szCs w:val="13"/>
                <w:color w:val="auto"/>
              </w:rPr>
              <w:t>97,598</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2,178,894</w:t>
            </w:r>
          </w:p>
        </w:tc>
        <w:tc>
          <w:tcPr>
            <w:tcW w:w="0" w:type="dxa"/>
            <w:vAlign w:val="bottom"/>
          </w:tcPr>
          <w:p>
            <w:pPr>
              <w:spacing w:after="0"/>
              <w:rPr>
                <w:sz w:val="1"/>
                <w:szCs w:val="1"/>
                <w:color w:val="auto"/>
              </w:rPr>
            </w:pPr>
          </w:p>
        </w:tc>
      </w:tr>
      <w:tr>
        <w:trPr>
          <w:trHeight w:val="29"/>
        </w:trPr>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60"/>
              <w:spacing w:after="0"/>
              <w:rPr>
                <w:sz w:val="20"/>
                <w:szCs w:val="20"/>
                <w:color w:val="auto"/>
              </w:rPr>
            </w:pPr>
            <w:r>
              <w:rPr>
                <w:rFonts w:ascii="Arial" w:cs="Arial" w:eastAsia="Arial" w:hAnsi="Arial"/>
                <w:sz w:val="13"/>
                <w:szCs w:val="13"/>
                <w:color w:val="auto"/>
              </w:rPr>
              <w:t>Charles K. Stevens, III</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STIP</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1/1/2018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jc w:val="right"/>
              <w:spacing w:after="0"/>
              <w:rPr>
                <w:sz w:val="20"/>
                <w:szCs w:val="20"/>
                <w:color w:val="auto"/>
              </w:rPr>
            </w:pPr>
            <w:r>
              <w:rPr>
                <w:rFonts w:ascii="Arial" w:cs="Arial" w:eastAsia="Arial" w:hAnsi="Arial"/>
                <w:sz w:val="13"/>
                <w:szCs w:val="13"/>
                <w:color w:val="auto"/>
              </w:rPr>
              <w:t>134,063</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1,375,000</w:t>
            </w:r>
          </w:p>
        </w:tc>
        <w:tc>
          <w:tcPr>
            <w:tcW w:w="680" w:type="dxa"/>
            <w:vAlign w:val="bottom"/>
          </w:tcPr>
          <w:p>
            <w:pPr>
              <w:jc w:val="right"/>
              <w:spacing w:after="0"/>
              <w:rPr>
                <w:sz w:val="20"/>
                <w:szCs w:val="20"/>
                <w:color w:val="auto"/>
              </w:rPr>
            </w:pPr>
            <w:r>
              <w:rPr>
                <w:rFonts w:ascii="Arial" w:cs="Arial" w:eastAsia="Arial" w:hAnsi="Arial"/>
                <w:sz w:val="13"/>
                <w:szCs w:val="13"/>
                <w:color w:val="auto"/>
              </w:rPr>
              <w:t>2,750,000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121,528</w:t>
            </w:r>
          </w:p>
        </w:tc>
        <w:tc>
          <w:tcPr>
            <w:tcW w:w="620" w:type="dxa"/>
            <w:vAlign w:val="bottom"/>
          </w:tcPr>
          <w:p>
            <w:pPr>
              <w:jc w:val="right"/>
              <w:spacing w:after="0"/>
              <w:rPr>
                <w:sz w:val="20"/>
                <w:szCs w:val="20"/>
                <w:color w:val="auto"/>
              </w:rPr>
            </w:pPr>
            <w:r>
              <w:rPr>
                <w:rFonts w:ascii="Arial" w:cs="Arial" w:eastAsia="Arial" w:hAnsi="Arial"/>
                <w:sz w:val="13"/>
                <w:szCs w:val="13"/>
                <w:color w:val="auto"/>
              </w:rPr>
              <w:t>41.40</w:t>
            </w:r>
          </w:p>
        </w:tc>
        <w:tc>
          <w:tcPr>
            <w:tcW w:w="840" w:type="dxa"/>
            <w:vAlign w:val="bottom"/>
          </w:tcPr>
          <w:p>
            <w:pPr>
              <w:jc w:val="right"/>
              <w:spacing w:after="0"/>
              <w:rPr>
                <w:sz w:val="20"/>
                <w:szCs w:val="20"/>
                <w:color w:val="auto"/>
              </w:rPr>
            </w:pPr>
            <w:r>
              <w:rPr>
                <w:rFonts w:ascii="Arial" w:cs="Arial" w:eastAsia="Arial" w:hAnsi="Arial"/>
                <w:sz w:val="13"/>
                <w:szCs w:val="13"/>
                <w:color w:val="auto"/>
              </w:rPr>
              <w:t>1,006,252</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PSU</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2/13/2018</w:t>
            </w:r>
          </w:p>
        </w:tc>
        <w:tc>
          <w:tcPr>
            <w:tcW w:w="760" w:type="dxa"/>
            <w:vAlign w:val="bottom"/>
          </w:tcPr>
          <w:p>
            <w:pPr>
              <w:jc w:val="right"/>
              <w:spacing w:after="0"/>
              <w:rPr>
                <w:sz w:val="20"/>
                <w:szCs w:val="20"/>
                <w:color w:val="auto"/>
              </w:rPr>
            </w:pPr>
            <w:r>
              <w:rPr>
                <w:rFonts w:ascii="Arial" w:cs="Arial" w:eastAsia="Arial" w:hAnsi="Arial"/>
                <w:sz w:val="13"/>
                <w:szCs w:val="13"/>
                <w:color w:val="auto"/>
              </w:rPr>
              <w:t>12/12/2017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12,031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72,917</w:t>
            </w:r>
          </w:p>
        </w:tc>
        <w:tc>
          <w:tcPr>
            <w:tcW w:w="640" w:type="dxa"/>
            <w:vAlign w:val="bottom"/>
          </w:tcPr>
          <w:p>
            <w:pPr>
              <w:jc w:val="right"/>
              <w:spacing w:after="0"/>
              <w:rPr>
                <w:sz w:val="20"/>
                <w:szCs w:val="20"/>
                <w:color w:val="auto"/>
              </w:rPr>
            </w:pPr>
            <w:r>
              <w:rPr>
                <w:rFonts w:ascii="Arial" w:cs="Arial" w:eastAsia="Arial" w:hAnsi="Arial"/>
                <w:sz w:val="13"/>
                <w:szCs w:val="13"/>
                <w:color w:val="auto"/>
              </w:rPr>
              <w:t>145,834</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3,255,775</w:t>
            </w:r>
          </w:p>
        </w:tc>
        <w:tc>
          <w:tcPr>
            <w:tcW w:w="0" w:type="dxa"/>
            <w:vAlign w:val="bottom"/>
          </w:tcPr>
          <w:p>
            <w:pPr>
              <w:spacing w:after="0"/>
              <w:rPr>
                <w:sz w:val="1"/>
                <w:szCs w:val="1"/>
                <w:color w:val="auto"/>
              </w:rPr>
            </w:pPr>
          </w:p>
        </w:tc>
      </w:tr>
      <w:tr>
        <w:trPr>
          <w:trHeight w:val="29"/>
        </w:trPr>
        <w:tc>
          <w:tcPr>
            <w:tcW w:w="1640" w:type="dxa"/>
            <w:vAlign w:val="bottom"/>
            <w:tcBorders>
              <w:bottom w:val="single" w:sz="8" w:color="0033A0"/>
            </w:tcBorders>
          </w:tcPr>
          <w:p>
            <w:pPr>
              <w:spacing w:after="0"/>
              <w:rPr>
                <w:sz w:val="2"/>
                <w:szCs w:val="2"/>
                <w:color w:val="auto"/>
              </w:rPr>
            </w:pPr>
          </w:p>
        </w:tc>
        <w:tc>
          <w:tcPr>
            <w:tcW w:w="640" w:type="dxa"/>
            <w:vAlign w:val="bottom"/>
            <w:tcBorders>
              <w:bottom w:val="single" w:sz="8" w:color="0033A0"/>
            </w:tcBorders>
          </w:tcPr>
          <w:p>
            <w:pPr>
              <w:spacing w:after="0"/>
              <w:rPr>
                <w:sz w:val="2"/>
                <w:szCs w:val="2"/>
                <w:color w:val="auto"/>
              </w:rPr>
            </w:pPr>
          </w:p>
        </w:tc>
        <w:tc>
          <w:tcPr>
            <w:tcW w:w="72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720" w:type="dxa"/>
            <w:vAlign w:val="bottom"/>
            <w:tcBorders>
              <w:bottom w:val="single" w:sz="8" w:color="0033A0"/>
            </w:tcBorders>
          </w:tcPr>
          <w:p>
            <w:pPr>
              <w:spacing w:after="0"/>
              <w:rPr>
                <w:sz w:val="2"/>
                <w:szCs w:val="2"/>
                <w:color w:val="auto"/>
              </w:rPr>
            </w:pPr>
          </w:p>
        </w:tc>
        <w:tc>
          <w:tcPr>
            <w:tcW w:w="820" w:type="dxa"/>
            <w:vAlign w:val="bottom"/>
            <w:tcBorders>
              <w:bottom w:val="single" w:sz="8" w:color="0033A0"/>
            </w:tcBorders>
          </w:tcPr>
          <w:p>
            <w:pPr>
              <w:spacing w:after="0"/>
              <w:rPr>
                <w:sz w:val="2"/>
                <w:szCs w:val="2"/>
                <w:color w:val="auto"/>
              </w:rPr>
            </w:pPr>
          </w:p>
        </w:tc>
        <w:tc>
          <w:tcPr>
            <w:tcW w:w="68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660" w:type="dxa"/>
            <w:vAlign w:val="bottom"/>
            <w:tcBorders>
              <w:bottom w:val="single" w:sz="8" w:color="0033A0"/>
            </w:tcBorders>
          </w:tcPr>
          <w:p>
            <w:pPr>
              <w:spacing w:after="0"/>
              <w:rPr>
                <w:sz w:val="2"/>
                <w:szCs w:val="2"/>
                <w:color w:val="auto"/>
              </w:rPr>
            </w:pPr>
          </w:p>
        </w:tc>
        <w:tc>
          <w:tcPr>
            <w:tcW w:w="640" w:type="dxa"/>
            <w:vAlign w:val="bottom"/>
            <w:tcBorders>
              <w:bottom w:val="single" w:sz="8" w:color="0033A0"/>
            </w:tcBorders>
          </w:tcPr>
          <w:p>
            <w:pPr>
              <w:spacing w:after="0"/>
              <w:rPr>
                <w:sz w:val="2"/>
                <w:szCs w:val="2"/>
                <w:color w:val="auto"/>
              </w:rPr>
            </w:pPr>
          </w:p>
        </w:tc>
        <w:tc>
          <w:tcPr>
            <w:tcW w:w="74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620" w:type="dxa"/>
            <w:vAlign w:val="bottom"/>
            <w:tcBorders>
              <w:bottom w:val="single" w:sz="8" w:color="0033A0"/>
            </w:tcBorders>
          </w:tcPr>
          <w:p>
            <w:pPr>
              <w:spacing w:after="0"/>
              <w:rPr>
                <w:sz w:val="2"/>
                <w:szCs w:val="2"/>
                <w:color w:val="auto"/>
              </w:rPr>
            </w:pPr>
          </w:p>
        </w:tc>
        <w:tc>
          <w:tcPr>
            <w:tcW w:w="84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40" w:hanging="330"/>
        <w:spacing w:after="0" w:line="266" w:lineRule="auto"/>
        <w:tabs>
          <w:tab w:leader="none" w:pos="540" w:val="left"/>
        </w:tabs>
        <w:numPr>
          <w:ilvl w:val="0"/>
          <w:numId w:val="117"/>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shows the aggregate grant date fair value of PSUs and Stock Options granted to the NEOs in 2018. The aggregate grant date fair value is the amount that the Company expects to expense in its financial statements over the vesting schedule. All grant date fair values have been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181610</wp:posOffset>
            </wp:positionV>
            <wp:extent cx="6852920" cy="145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60</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19" w:lineRule="exact"/>
        <w:rPr>
          <w:sz w:val="20"/>
          <w:szCs w:val="20"/>
          <w:color w:val="auto"/>
        </w:rPr>
      </w:pPr>
    </w:p>
    <w:p>
      <w:pPr>
        <w:ind w:left="640" w:hanging="430"/>
        <w:spacing w:after="0"/>
        <w:tabs>
          <w:tab w:leader="none" w:pos="640" w:val="left"/>
        </w:tabs>
        <w:numPr>
          <w:ilvl w:val="0"/>
          <w:numId w:val="118"/>
        </w:numPr>
        <w:rPr>
          <w:rFonts w:ascii="Arial" w:cs="Arial" w:eastAsia="Arial" w:hAnsi="Arial"/>
          <w:sz w:val="25"/>
          <w:szCs w:val="25"/>
          <w:color w:val="0033A0"/>
        </w:rPr>
      </w:pPr>
      <w:r>
        <w:rPr>
          <w:rFonts w:ascii="Arial" w:cs="Arial" w:eastAsia="Arial" w:hAnsi="Arial"/>
          <w:sz w:val="25"/>
          <w:szCs w:val="25"/>
          <w:color w:val="auto"/>
        </w:rPr>
        <w:t>Outstanding Equity Awards at Fiscal Year-End</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48"/>
        </w:trPr>
        <w:tc>
          <w:tcPr>
            <w:tcW w:w="1960" w:type="dxa"/>
            <w:vAlign w:val="bottom"/>
            <w:tcBorders>
              <w:top w:val="single" w:sz="8" w:color="00A1DF"/>
            </w:tcBorders>
          </w:tcPr>
          <w:p>
            <w:pPr>
              <w:spacing w:after="0"/>
              <w:rPr>
                <w:sz w:val="12"/>
                <w:szCs w:val="12"/>
                <w:color w:val="auto"/>
              </w:rPr>
            </w:pPr>
          </w:p>
        </w:tc>
        <w:tc>
          <w:tcPr>
            <w:tcW w:w="60" w:type="dxa"/>
            <w:vAlign w:val="bottom"/>
            <w:tcBorders>
              <w:top w:val="single" w:sz="8" w:color="00A1DF"/>
            </w:tcBorders>
          </w:tcPr>
          <w:p>
            <w:pPr>
              <w:spacing w:after="0"/>
              <w:rPr>
                <w:sz w:val="12"/>
                <w:szCs w:val="12"/>
                <w:color w:val="auto"/>
              </w:rPr>
            </w:pPr>
          </w:p>
        </w:tc>
        <w:tc>
          <w:tcPr>
            <w:tcW w:w="660" w:type="dxa"/>
            <w:vAlign w:val="bottom"/>
            <w:tcBorders>
              <w:top w:val="single" w:sz="8" w:color="00A1DF"/>
              <w:bottom w:val="single" w:sz="8" w:color="00A1DF"/>
            </w:tcBorders>
          </w:tcPr>
          <w:p>
            <w:pPr>
              <w:spacing w:after="0"/>
              <w:rPr>
                <w:sz w:val="12"/>
                <w:szCs w:val="12"/>
                <w:color w:val="auto"/>
              </w:rPr>
            </w:pPr>
          </w:p>
        </w:tc>
        <w:tc>
          <w:tcPr>
            <w:tcW w:w="840" w:type="dxa"/>
            <w:vAlign w:val="bottom"/>
            <w:tcBorders>
              <w:top w:val="single" w:sz="8" w:color="00A1DF"/>
              <w:bottom w:val="single" w:sz="8" w:color="00A1DF"/>
            </w:tcBorders>
          </w:tcPr>
          <w:p>
            <w:pPr>
              <w:spacing w:after="0"/>
              <w:rPr>
                <w:sz w:val="12"/>
                <w:szCs w:val="12"/>
                <w:color w:val="auto"/>
              </w:rPr>
            </w:pPr>
          </w:p>
        </w:tc>
        <w:tc>
          <w:tcPr>
            <w:tcW w:w="2120" w:type="dxa"/>
            <w:vAlign w:val="bottom"/>
            <w:tcBorders>
              <w:top w:val="single" w:sz="8" w:color="00A1DF"/>
              <w:bottom w:val="single" w:sz="8" w:color="00A1DF"/>
            </w:tcBorders>
            <w:gridSpan w:val="2"/>
          </w:tcPr>
          <w:p>
            <w:pPr>
              <w:jc w:val="right"/>
              <w:ind w:right="660"/>
              <w:spacing w:after="0" w:line="149" w:lineRule="exact"/>
              <w:rPr>
                <w:sz w:val="20"/>
                <w:szCs w:val="20"/>
                <w:color w:val="auto"/>
              </w:rPr>
            </w:pPr>
            <w:r>
              <w:rPr>
                <w:rFonts w:ascii="Arial" w:cs="Arial" w:eastAsia="Arial" w:hAnsi="Arial"/>
                <w:sz w:val="13"/>
                <w:szCs w:val="13"/>
                <w:b w:val="1"/>
                <w:bCs w:val="1"/>
                <w:color w:val="00A1DF"/>
              </w:rPr>
              <w:t>Option Awards</w:t>
            </w:r>
          </w:p>
        </w:tc>
        <w:tc>
          <w:tcPr>
            <w:tcW w:w="620" w:type="dxa"/>
            <w:vAlign w:val="bottom"/>
            <w:tcBorders>
              <w:top w:val="single" w:sz="8" w:color="00A1DF"/>
              <w:bottom w:val="single" w:sz="8" w:color="00A1DF"/>
            </w:tcBorders>
          </w:tcPr>
          <w:p>
            <w:pPr>
              <w:spacing w:after="0"/>
              <w:rPr>
                <w:sz w:val="12"/>
                <w:szCs w:val="12"/>
                <w:color w:val="auto"/>
              </w:rPr>
            </w:pPr>
          </w:p>
        </w:tc>
        <w:tc>
          <w:tcPr>
            <w:tcW w:w="700" w:type="dxa"/>
            <w:vAlign w:val="bottom"/>
            <w:tcBorders>
              <w:top w:val="single" w:sz="8" w:color="00A1DF"/>
              <w:bottom w:val="single" w:sz="8" w:color="00A1DF"/>
            </w:tcBorders>
          </w:tcPr>
          <w:p>
            <w:pPr>
              <w:spacing w:after="0"/>
              <w:rPr>
                <w:sz w:val="12"/>
                <w:szCs w:val="12"/>
                <w:color w:val="auto"/>
              </w:rPr>
            </w:pPr>
          </w:p>
        </w:tc>
        <w:tc>
          <w:tcPr>
            <w:tcW w:w="60" w:type="dxa"/>
            <w:vAlign w:val="bottom"/>
            <w:tcBorders>
              <w:top w:val="single" w:sz="8" w:color="00A1DF"/>
            </w:tcBorders>
          </w:tcPr>
          <w:p>
            <w:pPr>
              <w:spacing w:after="0"/>
              <w:rPr>
                <w:sz w:val="12"/>
                <w:szCs w:val="12"/>
                <w:color w:val="auto"/>
              </w:rPr>
            </w:pPr>
          </w:p>
        </w:tc>
        <w:tc>
          <w:tcPr>
            <w:tcW w:w="960" w:type="dxa"/>
            <w:vAlign w:val="bottom"/>
            <w:tcBorders>
              <w:top w:val="single" w:sz="8" w:color="00A1DF"/>
              <w:bottom w:val="single" w:sz="8" w:color="00A1DF"/>
            </w:tcBorders>
          </w:tcPr>
          <w:p>
            <w:pPr>
              <w:spacing w:after="0"/>
              <w:rPr>
                <w:sz w:val="12"/>
                <w:szCs w:val="12"/>
                <w:color w:val="auto"/>
              </w:rPr>
            </w:pPr>
          </w:p>
        </w:tc>
        <w:tc>
          <w:tcPr>
            <w:tcW w:w="1960" w:type="dxa"/>
            <w:vAlign w:val="bottom"/>
            <w:tcBorders>
              <w:top w:val="single" w:sz="8" w:color="00A1DF"/>
              <w:bottom w:val="single" w:sz="8" w:color="00A1DF"/>
            </w:tcBorders>
            <w:gridSpan w:val="2"/>
          </w:tcPr>
          <w:p>
            <w:pPr>
              <w:jc w:val="right"/>
              <w:ind w:right="483"/>
              <w:spacing w:after="0" w:line="149" w:lineRule="exact"/>
              <w:rPr>
                <w:sz w:val="20"/>
                <w:szCs w:val="20"/>
                <w:color w:val="auto"/>
              </w:rPr>
            </w:pPr>
            <w:r>
              <w:rPr>
                <w:rFonts w:ascii="Arial" w:cs="Arial" w:eastAsia="Arial" w:hAnsi="Arial"/>
                <w:sz w:val="13"/>
                <w:szCs w:val="13"/>
                <w:b w:val="1"/>
                <w:bCs w:val="1"/>
                <w:color w:val="00A1DF"/>
              </w:rPr>
              <w:t>Stock Awards</w:t>
            </w:r>
            <w:r>
              <w:rPr>
                <w:rFonts w:ascii="Arial" w:cs="Arial" w:eastAsia="Arial" w:hAnsi="Arial"/>
                <w:sz w:val="10"/>
                <w:szCs w:val="10"/>
                <w:b w:val="1"/>
                <w:bCs w:val="1"/>
                <w:color w:val="00A1DF"/>
              </w:rPr>
              <w:t>(1)</w:t>
            </w:r>
          </w:p>
        </w:tc>
        <w:tc>
          <w:tcPr>
            <w:tcW w:w="1060" w:type="dxa"/>
            <w:vAlign w:val="bottom"/>
            <w:tcBorders>
              <w:top w:val="single" w:sz="8" w:color="00A1DF"/>
              <w:bottom w:val="single" w:sz="8" w:color="00A1DF"/>
            </w:tcBorders>
          </w:tcPr>
          <w:p>
            <w:pPr>
              <w:spacing w:after="0"/>
              <w:rPr>
                <w:sz w:val="12"/>
                <w:szCs w:val="12"/>
                <w:color w:val="auto"/>
              </w:rPr>
            </w:pPr>
          </w:p>
        </w:tc>
      </w:tr>
      <w:tr>
        <w:trPr>
          <w:trHeight w:val="106"/>
        </w:trPr>
        <w:tc>
          <w:tcPr>
            <w:tcW w:w="1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jc w:val="right"/>
              <w:ind w:right="121"/>
              <w:spacing w:after="0" w:line="107" w:lineRule="exact"/>
              <w:rPr>
                <w:sz w:val="20"/>
                <w:szCs w:val="20"/>
                <w:color w:val="auto"/>
              </w:rPr>
            </w:pPr>
            <w:r>
              <w:rPr>
                <w:rFonts w:ascii="Arial" w:cs="Arial" w:eastAsia="Arial" w:hAnsi="Arial"/>
                <w:sz w:val="12"/>
                <w:szCs w:val="12"/>
                <w:b w:val="1"/>
                <w:bCs w:val="1"/>
                <w:color w:val="00A1DF"/>
              </w:rPr>
              <w:t>Equity</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Equity</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Incentive</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rPr>
              <w:t>Equity</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Incentive</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Plan Awards:</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rPr>
              <w:t>Incentive</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Plan Awards:</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Market or</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Number of</w:t>
            </w:r>
          </w:p>
        </w:tc>
        <w:tc>
          <w:tcPr>
            <w:tcW w:w="1100" w:type="dxa"/>
            <w:vAlign w:val="bottom"/>
          </w:tcPr>
          <w:p>
            <w:pPr>
              <w:jc w:val="right"/>
              <w:ind w:right="142"/>
              <w:spacing w:after="0" w:line="135" w:lineRule="exact"/>
              <w:rPr>
                <w:sz w:val="20"/>
                <w:szCs w:val="20"/>
                <w:color w:val="auto"/>
              </w:rPr>
            </w:pPr>
            <w:r>
              <w:rPr>
                <w:rFonts w:ascii="Arial" w:cs="Arial" w:eastAsia="Arial" w:hAnsi="Arial"/>
                <w:sz w:val="13"/>
                <w:szCs w:val="13"/>
                <w:b w:val="1"/>
                <w:bCs w:val="1"/>
                <w:color w:val="00A1DF"/>
              </w:rPr>
              <w:t>Number of</w:t>
            </w: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w w:val="99"/>
              </w:rPr>
              <w:t>Plan Awards: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Market</w:t>
            </w: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Number of</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Payout Value</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Securities</w:t>
            </w:r>
          </w:p>
        </w:tc>
        <w:tc>
          <w:tcPr>
            <w:tcW w:w="1100" w:type="dxa"/>
            <w:vAlign w:val="bottom"/>
          </w:tcPr>
          <w:p>
            <w:pPr>
              <w:jc w:val="right"/>
              <w:ind w:right="142"/>
              <w:spacing w:after="0" w:line="135" w:lineRule="exact"/>
              <w:rPr>
                <w:sz w:val="20"/>
                <w:szCs w:val="20"/>
                <w:color w:val="auto"/>
              </w:rPr>
            </w:pPr>
            <w:r>
              <w:rPr>
                <w:rFonts w:ascii="Arial" w:cs="Arial" w:eastAsia="Arial" w:hAnsi="Arial"/>
                <w:sz w:val="13"/>
                <w:szCs w:val="13"/>
                <w:b w:val="1"/>
                <w:bCs w:val="1"/>
                <w:color w:val="00A1DF"/>
              </w:rPr>
              <w:t>Securities</w:t>
            </w: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rPr>
              <w:t>Number of</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262"/>
              <w:spacing w:after="0" w:line="135" w:lineRule="exact"/>
              <w:rPr>
                <w:sz w:val="20"/>
                <w:szCs w:val="20"/>
                <w:color w:val="auto"/>
              </w:rPr>
            </w:pPr>
            <w:r>
              <w:rPr>
                <w:rFonts w:ascii="Arial" w:cs="Arial" w:eastAsia="Arial" w:hAnsi="Arial"/>
                <w:sz w:val="13"/>
                <w:szCs w:val="13"/>
                <w:b w:val="1"/>
                <w:bCs w:val="1"/>
                <w:color w:val="00A1DF"/>
              </w:rPr>
              <w:t>Number</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Value of</w:t>
            </w: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Unearned</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of Unearned</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Underlying</w:t>
            </w:r>
          </w:p>
        </w:tc>
        <w:tc>
          <w:tcPr>
            <w:tcW w:w="1100" w:type="dxa"/>
            <w:vAlign w:val="bottom"/>
          </w:tcPr>
          <w:p>
            <w:pPr>
              <w:jc w:val="right"/>
              <w:ind w:right="142"/>
              <w:spacing w:after="0" w:line="135" w:lineRule="exact"/>
              <w:rPr>
                <w:sz w:val="20"/>
                <w:szCs w:val="20"/>
                <w:color w:val="auto"/>
              </w:rPr>
            </w:pPr>
            <w:r>
              <w:rPr>
                <w:rFonts w:ascii="Arial" w:cs="Arial" w:eastAsia="Arial" w:hAnsi="Arial"/>
                <w:sz w:val="13"/>
                <w:szCs w:val="13"/>
                <w:b w:val="1"/>
                <w:bCs w:val="1"/>
                <w:color w:val="00A1DF"/>
              </w:rPr>
              <w:t>Underlying</w:t>
            </w: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rPr>
              <w:t>Securities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262"/>
              <w:spacing w:after="0" w:line="135" w:lineRule="exact"/>
              <w:rPr>
                <w:sz w:val="20"/>
                <w:szCs w:val="20"/>
                <w:color w:val="auto"/>
              </w:rPr>
            </w:pPr>
            <w:r>
              <w:rPr>
                <w:rFonts w:ascii="Arial" w:cs="Arial" w:eastAsia="Arial" w:hAnsi="Arial"/>
                <w:sz w:val="13"/>
                <w:szCs w:val="13"/>
                <w:b w:val="1"/>
                <w:bCs w:val="1"/>
                <w:color w:val="00A1DF"/>
              </w:rPr>
              <w:t>of Shares</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Shares or</w:t>
            </w: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Shares, Units,</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w w:val="99"/>
              </w:rPr>
              <w:t>Shares, Units,</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Unexercised</w:t>
            </w:r>
          </w:p>
        </w:tc>
        <w:tc>
          <w:tcPr>
            <w:tcW w:w="1100" w:type="dxa"/>
            <w:vAlign w:val="bottom"/>
          </w:tcPr>
          <w:p>
            <w:pPr>
              <w:jc w:val="right"/>
              <w:ind w:right="142"/>
              <w:spacing w:after="0" w:line="135" w:lineRule="exact"/>
              <w:rPr>
                <w:sz w:val="20"/>
                <w:szCs w:val="20"/>
                <w:color w:val="auto"/>
              </w:rPr>
            </w:pPr>
            <w:r>
              <w:rPr>
                <w:rFonts w:ascii="Arial" w:cs="Arial" w:eastAsia="Arial" w:hAnsi="Arial"/>
                <w:sz w:val="13"/>
                <w:szCs w:val="13"/>
                <w:b w:val="1"/>
                <w:bCs w:val="1"/>
                <w:color w:val="00A1DF"/>
              </w:rPr>
              <w:t>Unexercised</w:t>
            </w: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rPr>
              <w:t>Underlying</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262"/>
              <w:spacing w:after="0" w:line="135" w:lineRule="exact"/>
              <w:rPr>
                <w:sz w:val="20"/>
                <w:szCs w:val="20"/>
                <w:color w:val="auto"/>
              </w:rPr>
            </w:pPr>
            <w:r>
              <w:rPr>
                <w:rFonts w:ascii="Arial" w:cs="Arial" w:eastAsia="Arial" w:hAnsi="Arial"/>
                <w:sz w:val="13"/>
                <w:szCs w:val="13"/>
                <w:b w:val="1"/>
                <w:bCs w:val="1"/>
                <w:color w:val="00A1DF"/>
                <w:w w:val="95"/>
              </w:rPr>
              <w:t>or Units of</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Units of</w:t>
            </w: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or Other</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or Other</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Options</w:t>
            </w:r>
          </w:p>
        </w:tc>
        <w:tc>
          <w:tcPr>
            <w:tcW w:w="1100" w:type="dxa"/>
            <w:vAlign w:val="bottom"/>
          </w:tcPr>
          <w:p>
            <w:pPr>
              <w:jc w:val="right"/>
              <w:ind w:right="142"/>
              <w:spacing w:after="0" w:line="135" w:lineRule="exact"/>
              <w:rPr>
                <w:sz w:val="20"/>
                <w:szCs w:val="20"/>
                <w:color w:val="auto"/>
              </w:rPr>
            </w:pPr>
            <w:r>
              <w:rPr>
                <w:rFonts w:ascii="Arial" w:cs="Arial" w:eastAsia="Arial" w:hAnsi="Arial"/>
                <w:sz w:val="13"/>
                <w:szCs w:val="13"/>
                <w:b w:val="1"/>
                <w:bCs w:val="1"/>
                <w:color w:val="00A1DF"/>
              </w:rPr>
              <w:t>Options</w:t>
            </w: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rPr>
              <w:t>Unexercised</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Option</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00A1DF"/>
              </w:rPr>
              <w:t>Option</w:t>
            </w:r>
          </w:p>
        </w:tc>
        <w:tc>
          <w:tcPr>
            <w:tcW w:w="960" w:type="dxa"/>
            <w:vAlign w:val="bottom"/>
          </w:tcPr>
          <w:p>
            <w:pPr>
              <w:jc w:val="right"/>
              <w:ind w:right="262"/>
              <w:spacing w:after="0" w:line="135" w:lineRule="exact"/>
              <w:rPr>
                <w:sz w:val="20"/>
                <w:szCs w:val="20"/>
                <w:color w:val="auto"/>
              </w:rPr>
            </w:pPr>
            <w:r>
              <w:rPr>
                <w:rFonts w:ascii="Arial" w:cs="Arial" w:eastAsia="Arial" w:hAnsi="Arial"/>
                <w:sz w:val="13"/>
                <w:szCs w:val="13"/>
                <w:b w:val="1"/>
                <w:bCs w:val="1"/>
                <w:color w:val="00A1DF"/>
                <w:w w:val="93"/>
              </w:rPr>
              <w:t>Stock That</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Stock That</w:t>
            </w: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Rights That</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Rights That</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Grant</w:t>
            </w: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Exercisable</w:t>
            </w:r>
          </w:p>
        </w:tc>
        <w:tc>
          <w:tcPr>
            <w:tcW w:w="1100" w:type="dxa"/>
            <w:vAlign w:val="bottom"/>
          </w:tcPr>
          <w:p>
            <w:pPr>
              <w:jc w:val="right"/>
              <w:ind w:right="142"/>
              <w:spacing w:after="0" w:line="135" w:lineRule="exact"/>
              <w:rPr>
                <w:sz w:val="20"/>
                <w:szCs w:val="20"/>
                <w:color w:val="auto"/>
              </w:rPr>
            </w:pPr>
            <w:r>
              <w:rPr>
                <w:rFonts w:ascii="Arial" w:cs="Arial" w:eastAsia="Arial" w:hAnsi="Arial"/>
                <w:sz w:val="13"/>
                <w:szCs w:val="13"/>
                <w:b w:val="1"/>
                <w:bCs w:val="1"/>
                <w:color w:val="00A1DF"/>
                <w:w w:val="99"/>
              </w:rPr>
              <w:t>Unexercisable</w:t>
            </w:r>
          </w:p>
        </w:tc>
        <w:tc>
          <w:tcPr>
            <w:tcW w:w="102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00A1DF"/>
              </w:rPr>
              <w:t>Unearned</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Exercise</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00A1DF"/>
              </w:rPr>
              <w:t>Expiration</w:t>
            </w:r>
          </w:p>
        </w:tc>
        <w:tc>
          <w:tcPr>
            <w:tcW w:w="960" w:type="dxa"/>
            <w:vAlign w:val="bottom"/>
          </w:tcPr>
          <w:p>
            <w:pPr>
              <w:jc w:val="right"/>
              <w:ind w:right="262"/>
              <w:spacing w:after="0" w:line="135" w:lineRule="exact"/>
              <w:rPr>
                <w:sz w:val="20"/>
                <w:szCs w:val="20"/>
                <w:color w:val="auto"/>
              </w:rPr>
            </w:pPr>
            <w:r>
              <w:rPr>
                <w:rFonts w:ascii="Arial" w:cs="Arial" w:eastAsia="Arial" w:hAnsi="Arial"/>
                <w:sz w:val="13"/>
                <w:szCs w:val="13"/>
                <w:b w:val="1"/>
                <w:bCs w:val="1"/>
                <w:color w:val="00A1DF"/>
              </w:rPr>
              <w:t>Have Not</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Have Not</w:t>
            </w:r>
          </w:p>
        </w:tc>
        <w:tc>
          <w:tcPr>
            <w:tcW w:w="12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00A1DF"/>
              </w:rPr>
              <w:t>Have Not</w:t>
            </w:r>
          </w:p>
        </w:tc>
        <w:tc>
          <w:tcPr>
            <w:tcW w:w="106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00A1DF"/>
              </w:rPr>
              <w:t>Have Not</w:t>
            </w:r>
          </w:p>
        </w:tc>
      </w:tr>
      <w:tr>
        <w:trPr>
          <w:trHeight w:val="170"/>
        </w:trPr>
        <w:tc>
          <w:tcPr>
            <w:tcW w:w="1960" w:type="dxa"/>
            <w:vAlign w:val="bottom"/>
            <w:tcBorders>
              <w:bottom w:val="single" w:sz="8" w:color="00A1DF"/>
            </w:tcBorders>
          </w:tcPr>
          <w:p>
            <w:pPr>
              <w:spacing w:after="0"/>
              <w:rPr>
                <w:sz w:val="20"/>
                <w:szCs w:val="20"/>
                <w:color w:val="auto"/>
              </w:rPr>
            </w:pPr>
            <w:r>
              <w:rPr>
                <w:rFonts w:ascii="Arial" w:cs="Arial" w:eastAsia="Arial" w:hAnsi="Arial"/>
                <w:sz w:val="13"/>
                <w:szCs w:val="13"/>
                <w:b w:val="1"/>
                <w:bCs w:val="1"/>
                <w:color w:val="00A1DF"/>
              </w:rPr>
              <w:t>Name</w:t>
            </w:r>
          </w:p>
        </w:tc>
        <w:tc>
          <w:tcPr>
            <w:tcW w:w="60" w:type="dxa"/>
            <w:vAlign w:val="bottom"/>
            <w:tcBorders>
              <w:bottom w:val="single" w:sz="8" w:color="00A1DF"/>
            </w:tcBorders>
          </w:tcPr>
          <w:p>
            <w:pPr>
              <w:spacing w:after="0"/>
              <w:rPr>
                <w:sz w:val="14"/>
                <w:szCs w:val="14"/>
                <w:color w:val="auto"/>
              </w:rPr>
            </w:pPr>
          </w:p>
        </w:tc>
        <w:tc>
          <w:tcPr>
            <w:tcW w:w="66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Date</w:t>
            </w:r>
          </w:p>
        </w:tc>
        <w:tc>
          <w:tcPr>
            <w:tcW w:w="84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w:t>
            </w:r>
          </w:p>
        </w:tc>
        <w:tc>
          <w:tcPr>
            <w:tcW w:w="1100" w:type="dxa"/>
            <w:vAlign w:val="bottom"/>
            <w:tcBorders>
              <w:bottom w:val="single" w:sz="8" w:color="00A1DF"/>
            </w:tcBorders>
          </w:tcPr>
          <w:p>
            <w:pPr>
              <w:jc w:val="right"/>
              <w:ind w:right="142"/>
              <w:spacing w:after="0"/>
              <w:rPr>
                <w:sz w:val="20"/>
                <w:szCs w:val="20"/>
                <w:color w:val="auto"/>
              </w:rPr>
            </w:pPr>
            <w:r>
              <w:rPr>
                <w:rFonts w:ascii="Arial" w:cs="Arial" w:eastAsia="Arial" w:hAnsi="Arial"/>
                <w:sz w:val="13"/>
                <w:szCs w:val="13"/>
                <w:b w:val="1"/>
                <w:bCs w:val="1"/>
                <w:color w:val="00A1DF"/>
              </w:rPr>
              <w:t>(#)</w:t>
            </w:r>
          </w:p>
        </w:tc>
        <w:tc>
          <w:tcPr>
            <w:tcW w:w="1020" w:type="dxa"/>
            <w:vAlign w:val="bottom"/>
            <w:tcBorders>
              <w:bottom w:val="single" w:sz="8" w:color="00A1DF"/>
            </w:tcBorders>
          </w:tcPr>
          <w:p>
            <w:pPr>
              <w:jc w:val="right"/>
              <w:ind w:right="120"/>
              <w:spacing w:after="0"/>
              <w:rPr>
                <w:sz w:val="20"/>
                <w:szCs w:val="20"/>
                <w:color w:val="auto"/>
              </w:rPr>
            </w:pPr>
            <w:r>
              <w:rPr>
                <w:rFonts w:ascii="Arial" w:cs="Arial" w:eastAsia="Arial" w:hAnsi="Arial"/>
                <w:sz w:val="13"/>
                <w:szCs w:val="13"/>
                <w:b w:val="1"/>
                <w:bCs w:val="1"/>
                <w:color w:val="00A1DF"/>
              </w:rPr>
              <w:t>Options (#)</w:t>
            </w:r>
          </w:p>
        </w:tc>
        <w:tc>
          <w:tcPr>
            <w:tcW w:w="62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Price ($)</w:t>
            </w:r>
          </w:p>
        </w:tc>
        <w:tc>
          <w:tcPr>
            <w:tcW w:w="760" w:type="dxa"/>
            <w:vAlign w:val="bottom"/>
            <w:tcBorders>
              <w:bottom w:val="single" w:sz="8" w:color="00A1DF"/>
            </w:tcBorders>
            <w:gridSpan w:val="2"/>
          </w:tcPr>
          <w:p>
            <w:pPr>
              <w:jc w:val="right"/>
              <w:ind w:right="100"/>
              <w:spacing w:after="0"/>
              <w:rPr>
                <w:sz w:val="20"/>
                <w:szCs w:val="20"/>
                <w:color w:val="auto"/>
              </w:rPr>
            </w:pPr>
            <w:r>
              <w:rPr>
                <w:rFonts w:ascii="Arial" w:cs="Arial" w:eastAsia="Arial" w:hAnsi="Arial"/>
                <w:sz w:val="13"/>
                <w:szCs w:val="13"/>
                <w:b w:val="1"/>
                <w:bCs w:val="1"/>
                <w:color w:val="00A1DF"/>
              </w:rPr>
              <w:t>Date</w:t>
            </w:r>
          </w:p>
        </w:tc>
        <w:tc>
          <w:tcPr>
            <w:tcW w:w="960" w:type="dxa"/>
            <w:vAlign w:val="bottom"/>
            <w:tcBorders>
              <w:bottom w:val="single" w:sz="8" w:color="00A1DF"/>
            </w:tcBorders>
          </w:tcPr>
          <w:p>
            <w:pPr>
              <w:jc w:val="right"/>
              <w:ind w:right="262"/>
              <w:spacing w:after="0"/>
              <w:rPr>
                <w:sz w:val="20"/>
                <w:szCs w:val="20"/>
                <w:color w:val="auto"/>
              </w:rPr>
            </w:pPr>
            <w:r>
              <w:rPr>
                <w:rFonts w:ascii="Arial" w:cs="Arial" w:eastAsia="Arial" w:hAnsi="Arial"/>
                <w:sz w:val="13"/>
                <w:szCs w:val="13"/>
                <w:b w:val="1"/>
                <w:bCs w:val="1"/>
                <w:color w:val="00A1DF"/>
                <w:w w:val="99"/>
              </w:rPr>
              <w:t>Vested (#)</w:t>
            </w:r>
          </w:p>
        </w:tc>
        <w:tc>
          <w:tcPr>
            <w:tcW w:w="76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Vested ($)</w:t>
            </w:r>
          </w:p>
        </w:tc>
        <w:tc>
          <w:tcPr>
            <w:tcW w:w="1200" w:type="dxa"/>
            <w:vAlign w:val="bottom"/>
            <w:tcBorders>
              <w:bottom w:val="single" w:sz="8" w:color="00A1DF"/>
            </w:tcBorders>
          </w:tcPr>
          <w:p>
            <w:pPr>
              <w:jc w:val="right"/>
              <w:ind w:right="243"/>
              <w:spacing w:after="0"/>
              <w:rPr>
                <w:sz w:val="20"/>
                <w:szCs w:val="20"/>
                <w:color w:val="auto"/>
              </w:rPr>
            </w:pPr>
            <w:r>
              <w:rPr>
                <w:rFonts w:ascii="Arial" w:cs="Arial" w:eastAsia="Arial" w:hAnsi="Arial"/>
                <w:sz w:val="13"/>
                <w:szCs w:val="13"/>
                <w:b w:val="1"/>
                <w:bCs w:val="1"/>
                <w:color w:val="00A1DF"/>
              </w:rPr>
              <w:t>Vested (#)</w:t>
            </w:r>
          </w:p>
        </w:tc>
        <w:tc>
          <w:tcPr>
            <w:tcW w:w="1060" w:type="dxa"/>
            <w:vAlign w:val="bottom"/>
            <w:tcBorders>
              <w:bottom w:val="single" w:sz="8" w:color="00A1DF"/>
            </w:tcBorders>
          </w:tcPr>
          <w:p>
            <w:pPr>
              <w:jc w:val="right"/>
              <w:ind w:right="121"/>
              <w:spacing w:after="0"/>
              <w:rPr>
                <w:sz w:val="20"/>
                <w:szCs w:val="20"/>
                <w:color w:val="auto"/>
              </w:rPr>
            </w:pPr>
            <w:r>
              <w:rPr>
                <w:rFonts w:ascii="Arial" w:cs="Arial" w:eastAsia="Arial" w:hAnsi="Arial"/>
                <w:sz w:val="13"/>
                <w:szCs w:val="13"/>
                <w:b w:val="1"/>
                <w:bCs w:val="1"/>
                <w:color w:val="00A1DF"/>
              </w:rPr>
              <w:t>Vested ($)</w:t>
            </w:r>
          </w:p>
        </w:tc>
      </w:tr>
      <w:tr>
        <w:trPr>
          <w:trHeight w:val="155"/>
        </w:trPr>
        <w:tc>
          <w:tcPr>
            <w:tcW w:w="1960" w:type="dxa"/>
            <w:vAlign w:val="bottom"/>
          </w:tcPr>
          <w:p>
            <w:pPr>
              <w:ind w:left="60"/>
              <w:spacing w:after="0"/>
              <w:rPr>
                <w:sz w:val="20"/>
                <w:szCs w:val="20"/>
                <w:color w:val="auto"/>
              </w:rPr>
            </w:pPr>
            <w:r>
              <w:rPr>
                <w:rFonts w:ascii="Arial" w:cs="Arial" w:eastAsia="Arial" w:hAnsi="Arial"/>
                <w:sz w:val="13"/>
                <w:szCs w:val="13"/>
                <w:color w:val="auto"/>
              </w:rPr>
              <w:t>Mary T. Barra</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413,648</w:t>
            </w:r>
            <w:r>
              <w:rPr>
                <w:rFonts w:ascii="Arial" w:cs="Arial" w:eastAsia="Arial" w:hAnsi="Arial"/>
                <w:sz w:val="18"/>
                <w:szCs w:val="18"/>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2/11/2028</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248,189</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8,301,922</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6/7/2017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217,537</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435,074</w:t>
            </w:r>
            <w:r>
              <w:rPr>
                <w:rFonts w:ascii="Arial" w:cs="Arial" w:eastAsia="Arial" w:hAnsi="Arial"/>
                <w:sz w:val="18"/>
                <w:szCs w:val="18"/>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6/7/2027</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261,816</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8,757,745</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623,181</w:t>
            </w:r>
            <w:r>
              <w:rPr>
                <w:rFonts w:ascii="Arial" w:cs="Arial" w:eastAsia="Arial" w:hAnsi="Arial"/>
                <w:sz w:val="18"/>
                <w:szCs w:val="18"/>
                <w:color w:val="auto"/>
                <w:vertAlign w:val="superscript"/>
              </w:rPr>
              <w:t>(6)(7)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20,845,404</w:t>
            </w: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1,561,823</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520,607</w:t>
            </w:r>
            <w:r>
              <w:rPr>
                <w:rFonts w:ascii="Arial" w:cs="Arial" w:eastAsia="Arial" w:hAnsi="Arial"/>
                <w:sz w:val="18"/>
                <w:szCs w:val="18"/>
                <w:color w:val="auto"/>
                <w:vertAlign w:val="superscript"/>
              </w:rPr>
              <w:t>(4)</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520,607</w:t>
            </w:r>
            <w:r>
              <w:rPr>
                <w:rFonts w:ascii="Arial" w:cs="Arial" w:eastAsia="Arial" w:hAnsi="Arial"/>
                <w:sz w:val="18"/>
                <w:szCs w:val="18"/>
                <w:color w:val="auto"/>
                <w:vertAlign w:val="superscript"/>
              </w:rPr>
              <w:t>(5)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ind w:left="60"/>
              <w:spacing w:after="0"/>
              <w:rPr>
                <w:sz w:val="20"/>
                <w:szCs w:val="20"/>
                <w:color w:val="auto"/>
              </w:rPr>
            </w:pPr>
            <w:r>
              <w:rPr>
                <w:rFonts w:ascii="Arial" w:cs="Arial" w:eastAsia="Arial" w:hAnsi="Arial"/>
                <w:sz w:val="13"/>
                <w:szCs w:val="13"/>
                <w:color w:val="auto"/>
              </w:rPr>
              <w:t>Dhivya Suryadevara</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10/1/2018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99,594</w:t>
            </w:r>
            <w:r>
              <w:rPr>
                <w:rFonts w:ascii="Arial" w:cs="Arial" w:eastAsia="Arial" w:hAnsi="Arial"/>
                <w:sz w:val="18"/>
                <w:szCs w:val="18"/>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2/11/2028</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53,729</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1,797,235</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22,193</w:t>
            </w:r>
            <w:r>
              <w:rPr>
                <w:rFonts w:ascii="Arial" w:cs="Arial" w:eastAsia="Arial" w:hAnsi="Arial"/>
                <w:sz w:val="18"/>
                <w:szCs w:val="18"/>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2/11/2028</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13,316</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445,420</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6/7/2017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12,299</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24,599</w:t>
            </w:r>
            <w:r>
              <w:rPr>
                <w:rFonts w:ascii="Arial" w:cs="Arial" w:eastAsia="Arial" w:hAnsi="Arial"/>
                <w:sz w:val="18"/>
                <w:szCs w:val="18"/>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6/7/2027</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14,803</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495,160</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8"/>
                <w:szCs w:val="18"/>
                <w:color w:val="auto"/>
                <w:vertAlign w:val="subscript"/>
              </w:rPr>
              <w:t>35,235</w:t>
            </w:r>
            <w:r>
              <w:rPr>
                <w:rFonts w:ascii="Arial" w:cs="Arial" w:eastAsia="Arial" w:hAnsi="Arial"/>
                <w:sz w:val="9"/>
                <w:szCs w:val="9"/>
                <w:color w:val="auto"/>
              </w:rPr>
              <w:t>(6)(7)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1,178,611</w:t>
            </w: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68,331</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22,776</w:t>
            </w:r>
            <w:r>
              <w:rPr>
                <w:rFonts w:ascii="Arial" w:cs="Arial" w:eastAsia="Arial" w:hAnsi="Arial"/>
                <w:sz w:val="18"/>
                <w:szCs w:val="18"/>
                <w:color w:val="auto"/>
                <w:vertAlign w:val="superscript"/>
              </w:rPr>
              <w:t>(4)</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22,776</w:t>
            </w:r>
            <w:r>
              <w:rPr>
                <w:rFonts w:ascii="Arial" w:cs="Arial" w:eastAsia="Arial" w:hAnsi="Arial"/>
                <w:sz w:val="18"/>
                <w:szCs w:val="18"/>
                <w:color w:val="auto"/>
                <w:vertAlign w:val="superscript"/>
              </w:rPr>
              <w:t>(5)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ind w:left="60"/>
              <w:spacing w:after="0"/>
              <w:rPr>
                <w:sz w:val="20"/>
                <w:szCs w:val="20"/>
                <w:color w:val="auto"/>
              </w:rPr>
            </w:pPr>
            <w:r>
              <w:rPr>
                <w:rFonts w:ascii="Arial" w:cs="Arial" w:eastAsia="Arial" w:hAnsi="Arial"/>
                <w:sz w:val="13"/>
                <w:szCs w:val="13"/>
                <w:color w:val="auto"/>
              </w:rPr>
              <w:t>Daniel Ammann</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149,080</w:t>
            </w:r>
            <w:r>
              <w:rPr>
                <w:rFonts w:ascii="Arial" w:cs="Arial" w:eastAsia="Arial" w:hAnsi="Arial"/>
                <w:sz w:val="18"/>
                <w:szCs w:val="18"/>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2/11/2028</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89,448</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2,992,036</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6/7/2017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82,622</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165,245</w:t>
            </w:r>
            <w:r>
              <w:rPr>
                <w:rFonts w:ascii="Arial" w:cs="Arial" w:eastAsia="Arial" w:hAnsi="Arial"/>
                <w:sz w:val="18"/>
                <w:szCs w:val="18"/>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6/7/2027</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99,440</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3,326,268</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225,305</w:t>
            </w:r>
            <w:r>
              <w:rPr>
                <w:rFonts w:ascii="Arial" w:cs="Arial" w:eastAsia="Arial" w:hAnsi="Arial"/>
                <w:sz w:val="18"/>
                <w:szCs w:val="18"/>
                <w:color w:val="auto"/>
                <w:vertAlign w:val="superscript"/>
              </w:rPr>
              <w:t>(6)(7)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7,536,452</w:t>
            </w: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585,684</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195,228</w:t>
            </w:r>
            <w:r>
              <w:rPr>
                <w:rFonts w:ascii="Arial" w:cs="Arial" w:eastAsia="Arial" w:hAnsi="Arial"/>
                <w:sz w:val="18"/>
                <w:szCs w:val="18"/>
                <w:color w:val="auto"/>
                <w:vertAlign w:val="superscript"/>
              </w:rPr>
              <w:t>(4)</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195,227</w:t>
            </w:r>
            <w:r>
              <w:rPr>
                <w:rFonts w:ascii="Arial" w:cs="Arial" w:eastAsia="Arial" w:hAnsi="Arial"/>
                <w:sz w:val="18"/>
                <w:szCs w:val="18"/>
                <w:color w:val="auto"/>
                <w:vertAlign w:val="superscript"/>
              </w:rPr>
              <w:t>(5)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ind w:left="60"/>
              <w:spacing w:after="0"/>
              <w:rPr>
                <w:sz w:val="20"/>
                <w:szCs w:val="20"/>
                <w:color w:val="auto"/>
              </w:rPr>
            </w:pPr>
            <w:r>
              <w:rPr>
                <w:rFonts w:ascii="Arial" w:cs="Arial" w:eastAsia="Arial" w:hAnsi="Arial"/>
                <w:sz w:val="13"/>
                <w:szCs w:val="13"/>
                <w:color w:val="auto"/>
              </w:rPr>
              <w:t>Mark L. Reuss</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122,283</w:t>
            </w:r>
            <w:r>
              <w:rPr>
                <w:rFonts w:ascii="Arial" w:cs="Arial" w:eastAsia="Arial" w:hAnsi="Arial"/>
                <w:sz w:val="18"/>
                <w:szCs w:val="18"/>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2/11/2028</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color w:val="auto"/>
                <w:vertAlign w:val="subscript"/>
              </w:rPr>
              <w:t>73,370</w:t>
            </w:r>
            <w:r>
              <w:rPr>
                <w:rFonts w:ascii="Arial" w:cs="Arial" w:eastAsia="Arial" w:hAnsi="Arial"/>
                <w:sz w:val="9"/>
                <w:szCs w:val="9"/>
                <w:color w:val="auto"/>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2,454,227</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6/7/2017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67,771</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135,543</w:t>
            </w:r>
            <w:r>
              <w:rPr>
                <w:rFonts w:ascii="Arial" w:cs="Arial" w:eastAsia="Arial" w:hAnsi="Arial"/>
                <w:sz w:val="18"/>
                <w:szCs w:val="18"/>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6/7/2027</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81,566</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2,728,383</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186,955</w:t>
            </w:r>
            <w:r>
              <w:rPr>
                <w:rFonts w:ascii="Arial" w:cs="Arial" w:eastAsia="Arial" w:hAnsi="Arial"/>
                <w:sz w:val="18"/>
                <w:szCs w:val="18"/>
                <w:color w:val="auto"/>
                <w:vertAlign w:val="superscript"/>
              </w:rPr>
              <w:t>(6)(7)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6,253,645</w:t>
            </w: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165,944</w:t>
            </w:r>
            <w:r>
              <w:rPr>
                <w:rFonts w:ascii="Arial" w:cs="Arial" w:eastAsia="Arial" w:hAnsi="Arial"/>
                <w:sz w:val="18"/>
                <w:szCs w:val="18"/>
                <w:color w:val="auto"/>
                <w:vertAlign w:val="superscript"/>
              </w:rPr>
              <w:t>(4)</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165,943</w:t>
            </w:r>
            <w:r>
              <w:rPr>
                <w:rFonts w:ascii="Arial" w:cs="Arial" w:eastAsia="Arial" w:hAnsi="Arial"/>
                <w:sz w:val="18"/>
                <w:szCs w:val="18"/>
                <w:color w:val="auto"/>
                <w:vertAlign w:val="superscript"/>
              </w:rPr>
              <w:t>(5)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ind w:left="60"/>
              <w:spacing w:after="0"/>
              <w:rPr>
                <w:sz w:val="20"/>
                <w:szCs w:val="20"/>
                <w:color w:val="auto"/>
              </w:rPr>
            </w:pPr>
            <w:r>
              <w:rPr>
                <w:rFonts w:ascii="Arial" w:cs="Arial" w:eastAsia="Arial" w:hAnsi="Arial"/>
                <w:sz w:val="13"/>
                <w:szCs w:val="13"/>
                <w:color w:val="auto"/>
              </w:rPr>
              <w:t>Alan S. Batey</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81,332</w:t>
            </w:r>
            <w:r>
              <w:rPr>
                <w:rFonts w:ascii="Arial" w:cs="Arial" w:eastAsia="Arial" w:hAnsi="Arial"/>
                <w:sz w:val="18"/>
                <w:szCs w:val="18"/>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2/11/2028</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color w:val="auto"/>
                <w:vertAlign w:val="subscript"/>
              </w:rPr>
              <w:t>48,799</w:t>
            </w:r>
            <w:r>
              <w:rPr>
                <w:rFonts w:ascii="Arial" w:cs="Arial" w:eastAsia="Arial" w:hAnsi="Arial"/>
                <w:sz w:val="9"/>
                <w:szCs w:val="9"/>
                <w:color w:val="auto"/>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1,632,327</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6/7/2017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90,151</w:t>
            </w:r>
            <w:r>
              <w:rPr>
                <w:rFonts w:ascii="Arial" w:cs="Arial" w:eastAsia="Arial" w:hAnsi="Arial"/>
                <w:sz w:val="18"/>
                <w:szCs w:val="18"/>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6/7/2027</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54,251</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1,814,696</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129,432</w:t>
            </w:r>
            <w:r>
              <w:rPr>
                <w:rFonts w:ascii="Arial" w:cs="Arial" w:eastAsia="Arial" w:hAnsi="Arial"/>
                <w:sz w:val="18"/>
                <w:szCs w:val="18"/>
                <w:color w:val="auto"/>
                <w:vertAlign w:val="superscript"/>
              </w:rPr>
              <w:t>(6)(7)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4,329,500</w:t>
            </w: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117,137</w:t>
            </w:r>
            <w:r>
              <w:rPr>
                <w:rFonts w:ascii="Arial" w:cs="Arial" w:eastAsia="Arial" w:hAnsi="Arial"/>
                <w:sz w:val="18"/>
                <w:szCs w:val="18"/>
                <w:color w:val="auto"/>
                <w:vertAlign w:val="superscript"/>
              </w:rPr>
              <w:t>(4)</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117,136</w:t>
            </w:r>
            <w:r>
              <w:rPr>
                <w:rFonts w:ascii="Arial" w:cs="Arial" w:eastAsia="Arial" w:hAnsi="Arial"/>
                <w:sz w:val="18"/>
                <w:szCs w:val="18"/>
                <w:color w:val="auto"/>
                <w:vertAlign w:val="superscript"/>
              </w:rPr>
              <w:t>(5)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ind w:left="60"/>
              <w:spacing w:after="0"/>
              <w:rPr>
                <w:sz w:val="20"/>
                <w:szCs w:val="20"/>
                <w:color w:val="auto"/>
              </w:rPr>
            </w:pPr>
            <w:r>
              <w:rPr>
                <w:rFonts w:ascii="Arial" w:cs="Arial" w:eastAsia="Arial" w:hAnsi="Arial"/>
                <w:sz w:val="13"/>
                <w:szCs w:val="13"/>
                <w:color w:val="auto"/>
              </w:rPr>
              <w:t>Charles K. Stevens, III</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121,528</w:t>
            </w:r>
            <w:r>
              <w:rPr>
                <w:rFonts w:ascii="Arial" w:cs="Arial" w:eastAsia="Arial" w:hAnsi="Arial"/>
                <w:sz w:val="18"/>
                <w:szCs w:val="18"/>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2/11/2028</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color w:val="auto"/>
                <w:vertAlign w:val="subscript"/>
              </w:rPr>
              <w:t>72,917</w:t>
            </w:r>
            <w:r>
              <w:rPr>
                <w:rFonts w:ascii="Arial" w:cs="Arial" w:eastAsia="Arial" w:hAnsi="Arial"/>
                <w:sz w:val="9"/>
                <w:szCs w:val="9"/>
                <w:color w:val="auto"/>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2,439,074</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6/7/2017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62,333</w:t>
            </w:r>
          </w:p>
        </w:tc>
        <w:tc>
          <w:tcPr>
            <w:tcW w:w="110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124,665</w:t>
            </w:r>
            <w:r>
              <w:rPr>
                <w:rFonts w:ascii="Arial" w:cs="Arial" w:eastAsia="Arial" w:hAnsi="Arial"/>
                <w:sz w:val="18"/>
                <w:szCs w:val="18"/>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6/7/2027</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75,021</w:t>
            </w:r>
            <w:r>
              <w:rPr>
                <w:rFonts w:ascii="Arial" w:cs="Arial" w:eastAsia="Arial" w:hAnsi="Arial"/>
                <w:sz w:val="18"/>
                <w:szCs w:val="18"/>
                <w:color w:val="auto"/>
                <w:vertAlign w:val="superscript"/>
              </w:rPr>
              <w:t>(7)(8)</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1"/>
                <w:szCs w:val="11"/>
                <w:color w:val="auto"/>
              </w:rPr>
              <w:t>2,509,452</w:t>
            </w:r>
            <w:r>
              <w:rPr>
                <w:rFonts w:ascii="Arial" w:cs="Arial" w:eastAsia="Arial" w:hAnsi="Arial"/>
                <w:sz w:val="18"/>
                <w:szCs w:val="18"/>
                <w:color w:val="auto"/>
                <w:vertAlign w:val="superscript"/>
              </w:rPr>
              <w:t>(8)</w:t>
            </w:r>
          </w:p>
        </w:tc>
      </w:tr>
      <w:tr>
        <w:trPr>
          <w:trHeight w:val="155"/>
        </w:trPr>
        <w:tc>
          <w:tcPr>
            <w:tcW w:w="19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line="156" w:lineRule="exact"/>
              <w:rPr>
                <w:sz w:val="20"/>
                <w:szCs w:val="20"/>
                <w:color w:val="auto"/>
              </w:rPr>
            </w:pPr>
            <w:r>
              <w:rPr>
                <w:rFonts w:ascii="Arial" w:cs="Arial" w:eastAsia="Arial" w:hAnsi="Arial"/>
                <w:sz w:val="11"/>
                <w:szCs w:val="11"/>
                <w:color w:val="auto"/>
              </w:rPr>
              <w:t>165,383</w:t>
            </w:r>
            <w:r>
              <w:rPr>
                <w:rFonts w:ascii="Arial" w:cs="Arial" w:eastAsia="Arial" w:hAnsi="Arial"/>
                <w:sz w:val="18"/>
                <w:szCs w:val="18"/>
                <w:color w:val="auto"/>
                <w:vertAlign w:val="superscript"/>
              </w:rPr>
              <w:t>(6)(7)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5,532,061</w:t>
            </w: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1960" w:type="dxa"/>
            <w:vAlign w:val="bottom"/>
            <w:tcBorders>
              <w:bottom w:val="single" w:sz="8" w:color="0033A0"/>
            </w:tcBorders>
          </w:tcPr>
          <w:p>
            <w:pPr>
              <w:spacing w:after="0"/>
              <w:rPr>
                <w:sz w:val="13"/>
                <w:szCs w:val="13"/>
                <w:color w:val="auto"/>
              </w:rPr>
            </w:pPr>
          </w:p>
        </w:tc>
        <w:tc>
          <w:tcPr>
            <w:tcW w:w="720" w:type="dxa"/>
            <w:vAlign w:val="bottom"/>
            <w:tcBorders>
              <w:bottom w:val="single" w:sz="8" w:color="0033A0"/>
            </w:tcBorders>
            <w:gridSpan w:val="2"/>
          </w:tcPr>
          <w:p>
            <w:pPr>
              <w:jc w:val="right"/>
              <w:spacing w:after="0"/>
              <w:rPr>
                <w:sz w:val="20"/>
                <w:szCs w:val="20"/>
                <w:color w:val="auto"/>
              </w:rPr>
            </w:pPr>
            <w:r>
              <w:rPr>
                <w:rFonts w:ascii="Arial" w:cs="Arial" w:eastAsia="Arial" w:hAnsi="Arial"/>
                <w:sz w:val="13"/>
                <w:szCs w:val="13"/>
                <w:color w:val="auto"/>
              </w:rPr>
              <w:t>7/28/2015</w:t>
            </w:r>
          </w:p>
        </w:tc>
        <w:tc>
          <w:tcPr>
            <w:tcW w:w="840" w:type="dxa"/>
            <w:vAlign w:val="bottom"/>
            <w:tcBorders>
              <w:bottom w:val="single" w:sz="8" w:color="0033A0"/>
            </w:tcBorders>
          </w:tcPr>
          <w:p>
            <w:pPr>
              <w:jc w:val="right"/>
              <w:spacing w:after="0"/>
              <w:rPr>
                <w:sz w:val="20"/>
                <w:szCs w:val="20"/>
                <w:color w:val="auto"/>
              </w:rPr>
            </w:pPr>
            <w:r>
              <w:rPr>
                <w:rFonts w:ascii="Arial" w:cs="Arial" w:eastAsia="Arial" w:hAnsi="Arial"/>
                <w:sz w:val="13"/>
                <w:szCs w:val="13"/>
                <w:color w:val="auto"/>
              </w:rPr>
              <w:t>124,729</w:t>
            </w:r>
          </w:p>
        </w:tc>
        <w:tc>
          <w:tcPr>
            <w:tcW w:w="1100" w:type="dxa"/>
            <w:vAlign w:val="bottom"/>
            <w:tcBorders>
              <w:bottom w:val="single" w:sz="8" w:color="0033A0"/>
            </w:tcBorders>
          </w:tcPr>
          <w:p>
            <w:pPr>
              <w:jc w:val="right"/>
              <w:ind w:right="2"/>
              <w:spacing w:after="0" w:line="156" w:lineRule="exact"/>
              <w:rPr>
                <w:sz w:val="20"/>
                <w:szCs w:val="20"/>
                <w:color w:val="auto"/>
              </w:rPr>
            </w:pPr>
            <w:r>
              <w:rPr>
                <w:rFonts w:ascii="Arial" w:cs="Arial" w:eastAsia="Arial" w:hAnsi="Arial"/>
                <w:sz w:val="11"/>
                <w:szCs w:val="11"/>
                <w:color w:val="auto"/>
              </w:rPr>
              <w:t>124,729</w:t>
            </w:r>
            <w:r>
              <w:rPr>
                <w:rFonts w:ascii="Arial" w:cs="Arial" w:eastAsia="Arial" w:hAnsi="Arial"/>
                <w:sz w:val="18"/>
                <w:szCs w:val="18"/>
                <w:color w:val="auto"/>
                <w:vertAlign w:val="superscript"/>
              </w:rPr>
              <w:t>(4)</w:t>
            </w:r>
          </w:p>
        </w:tc>
        <w:tc>
          <w:tcPr>
            <w:tcW w:w="1020" w:type="dxa"/>
            <w:vAlign w:val="bottom"/>
            <w:tcBorders>
              <w:bottom w:val="single" w:sz="8" w:color="0033A0"/>
            </w:tcBorders>
          </w:tcPr>
          <w:p>
            <w:pPr>
              <w:jc w:val="right"/>
              <w:spacing w:after="0" w:line="156" w:lineRule="exact"/>
              <w:rPr>
                <w:sz w:val="20"/>
                <w:szCs w:val="20"/>
                <w:color w:val="auto"/>
              </w:rPr>
            </w:pPr>
            <w:r>
              <w:rPr>
                <w:rFonts w:ascii="Arial" w:cs="Arial" w:eastAsia="Arial" w:hAnsi="Arial"/>
                <w:sz w:val="11"/>
                <w:szCs w:val="11"/>
                <w:color w:val="auto"/>
              </w:rPr>
              <w:t>124,729</w:t>
            </w:r>
            <w:r>
              <w:rPr>
                <w:rFonts w:ascii="Arial" w:cs="Arial" w:eastAsia="Arial" w:hAnsi="Arial"/>
                <w:sz w:val="18"/>
                <w:szCs w:val="18"/>
                <w:color w:val="auto"/>
                <w:vertAlign w:val="superscript"/>
              </w:rPr>
              <w:t>(5)</w:t>
            </w:r>
          </w:p>
        </w:tc>
        <w:tc>
          <w:tcPr>
            <w:tcW w:w="620" w:type="dxa"/>
            <w:vAlign w:val="bottom"/>
            <w:tcBorders>
              <w:bottom w:val="single" w:sz="8" w:color="0033A0"/>
            </w:tcBorders>
          </w:tcPr>
          <w:p>
            <w:pPr>
              <w:jc w:val="right"/>
              <w:spacing w:after="0"/>
              <w:rPr>
                <w:sz w:val="20"/>
                <w:szCs w:val="20"/>
                <w:color w:val="auto"/>
              </w:rPr>
            </w:pPr>
            <w:r>
              <w:rPr>
                <w:rFonts w:ascii="Arial" w:cs="Arial" w:eastAsia="Arial" w:hAnsi="Arial"/>
                <w:sz w:val="13"/>
                <w:szCs w:val="13"/>
                <w:color w:val="auto"/>
              </w:rPr>
              <w:t>31.32</w:t>
            </w:r>
          </w:p>
        </w:tc>
        <w:tc>
          <w:tcPr>
            <w:tcW w:w="700" w:type="dxa"/>
            <w:vAlign w:val="bottom"/>
            <w:tcBorders>
              <w:bottom w:val="single" w:sz="8" w:color="0033A0"/>
            </w:tcBorders>
          </w:tcPr>
          <w:p>
            <w:pPr>
              <w:jc w:val="right"/>
              <w:spacing w:after="0"/>
              <w:rPr>
                <w:sz w:val="20"/>
                <w:szCs w:val="20"/>
                <w:color w:val="auto"/>
              </w:rPr>
            </w:pPr>
            <w:r>
              <w:rPr>
                <w:rFonts w:ascii="Arial" w:cs="Arial" w:eastAsia="Arial" w:hAnsi="Arial"/>
                <w:sz w:val="13"/>
                <w:szCs w:val="13"/>
                <w:color w:val="auto"/>
              </w:rPr>
              <w:t>7/28/2025</w:t>
            </w:r>
          </w:p>
        </w:tc>
        <w:tc>
          <w:tcPr>
            <w:tcW w:w="60" w:type="dxa"/>
            <w:vAlign w:val="bottom"/>
            <w:tcBorders>
              <w:bottom w:val="single" w:sz="8" w:color="0033A0"/>
            </w:tcBorders>
          </w:tcPr>
          <w:p>
            <w:pPr>
              <w:spacing w:after="0"/>
              <w:rPr>
                <w:sz w:val="13"/>
                <w:szCs w:val="13"/>
                <w:color w:val="auto"/>
              </w:rPr>
            </w:pPr>
          </w:p>
        </w:tc>
        <w:tc>
          <w:tcPr>
            <w:tcW w:w="960" w:type="dxa"/>
            <w:vAlign w:val="bottom"/>
            <w:tcBorders>
              <w:bottom w:val="single" w:sz="8" w:color="0033A0"/>
            </w:tcBorders>
          </w:tcPr>
          <w:p>
            <w:pPr>
              <w:spacing w:after="0"/>
              <w:rPr>
                <w:sz w:val="13"/>
                <w:szCs w:val="13"/>
                <w:color w:val="auto"/>
              </w:rPr>
            </w:pPr>
          </w:p>
        </w:tc>
        <w:tc>
          <w:tcPr>
            <w:tcW w:w="760" w:type="dxa"/>
            <w:vAlign w:val="bottom"/>
            <w:tcBorders>
              <w:bottom w:val="single" w:sz="8" w:color="0033A0"/>
            </w:tcBorders>
          </w:tcPr>
          <w:p>
            <w:pPr>
              <w:spacing w:after="0"/>
              <w:rPr>
                <w:sz w:val="13"/>
                <w:szCs w:val="13"/>
                <w:color w:val="auto"/>
              </w:rPr>
            </w:pPr>
          </w:p>
        </w:tc>
        <w:tc>
          <w:tcPr>
            <w:tcW w:w="1200" w:type="dxa"/>
            <w:vAlign w:val="bottom"/>
            <w:tcBorders>
              <w:bottom w:val="single" w:sz="8" w:color="0033A0"/>
            </w:tcBorders>
          </w:tcPr>
          <w:p>
            <w:pPr>
              <w:spacing w:after="0"/>
              <w:rPr>
                <w:sz w:val="13"/>
                <w:szCs w:val="13"/>
                <w:color w:val="auto"/>
              </w:rPr>
            </w:pPr>
          </w:p>
        </w:tc>
        <w:tc>
          <w:tcPr>
            <w:tcW w:w="1060" w:type="dxa"/>
            <w:vAlign w:val="bottom"/>
            <w:tcBorders>
              <w:bottom w:val="single" w:sz="8" w:color="0033A0"/>
            </w:tcBorders>
          </w:tcPr>
          <w:p>
            <w:pPr>
              <w:spacing w:after="0"/>
              <w:rPr>
                <w:sz w:val="13"/>
                <w:szCs w:val="13"/>
                <w:color w:val="auto"/>
              </w:rPr>
            </w:pPr>
          </w:p>
        </w:tc>
      </w:tr>
    </w:tbl>
    <w:p>
      <w:pPr>
        <w:spacing w:after="0" w:line="58" w:lineRule="exact"/>
        <w:rPr>
          <w:sz w:val="20"/>
          <w:szCs w:val="20"/>
          <w:color w:val="auto"/>
        </w:rPr>
      </w:pPr>
    </w:p>
    <w:p>
      <w:pPr>
        <w:ind w:left="540" w:hanging="330"/>
        <w:spacing w:after="0"/>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The awards are valued based on the closing price of common stock on the NYSE on December 31, 2018 which was $33.45.</w:t>
      </w:r>
    </w:p>
    <w:p>
      <w:pPr>
        <w:spacing w:after="0" w:line="68" w:lineRule="exact"/>
        <w:rPr>
          <w:rFonts w:ascii="Arial" w:cs="Arial" w:eastAsia="Arial" w:hAnsi="Arial"/>
          <w:sz w:val="14"/>
          <w:szCs w:val="14"/>
          <w:i w:val="1"/>
          <w:iCs w:val="1"/>
          <w:color w:val="auto"/>
        </w:rPr>
      </w:pPr>
    </w:p>
    <w:p>
      <w:pPr>
        <w:ind w:left="540" w:hanging="330"/>
        <w:spacing w:after="0"/>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on February 13, 2018, and October 1, 2018, vest ratably each February 13 of 2019, 2020, and 2021.</w:t>
      </w:r>
    </w:p>
    <w:p>
      <w:pPr>
        <w:spacing w:after="0" w:line="68" w:lineRule="exact"/>
        <w:rPr>
          <w:rFonts w:ascii="Arial" w:cs="Arial" w:eastAsia="Arial" w:hAnsi="Arial"/>
          <w:sz w:val="14"/>
          <w:szCs w:val="14"/>
          <w:i w:val="1"/>
          <w:iCs w:val="1"/>
          <w:color w:val="auto"/>
        </w:rPr>
      </w:pPr>
    </w:p>
    <w:p>
      <w:pPr>
        <w:ind w:left="540" w:hanging="330"/>
        <w:spacing w:after="0"/>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on June 7, 2017, vest ratably each February 14 of 2018, 2019, and 2020.</w:t>
      </w:r>
    </w:p>
    <w:p>
      <w:pPr>
        <w:spacing w:after="0" w:line="68" w:lineRule="exact"/>
        <w:rPr>
          <w:rFonts w:ascii="Arial" w:cs="Arial" w:eastAsia="Arial" w:hAnsi="Arial"/>
          <w:sz w:val="14"/>
          <w:szCs w:val="14"/>
          <w:i w:val="1"/>
          <w:iCs w:val="1"/>
          <w:color w:val="auto"/>
        </w:rPr>
      </w:pPr>
    </w:p>
    <w:p>
      <w:pPr>
        <w:ind w:left="540" w:right="20" w:hanging="330"/>
        <w:spacing w:after="0" w:line="278" w:lineRule="auto"/>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This portion represents the 20% of the award that features performance-based vesting and vested on February 15, 2019, for the performance period ending December 31, 2018.</w:t>
      </w:r>
    </w:p>
    <w:p>
      <w:pPr>
        <w:spacing w:after="0" w:line="18" w:lineRule="exact"/>
        <w:rPr>
          <w:rFonts w:ascii="Arial" w:cs="Arial" w:eastAsia="Arial" w:hAnsi="Arial"/>
          <w:sz w:val="14"/>
          <w:szCs w:val="14"/>
          <w:i w:val="1"/>
          <w:iCs w:val="1"/>
          <w:color w:val="auto"/>
        </w:rPr>
      </w:pPr>
    </w:p>
    <w:p>
      <w:pPr>
        <w:ind w:left="540" w:hanging="330"/>
        <w:spacing w:after="0" w:line="278" w:lineRule="auto"/>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This portion represents the unearned 20% of the award that features performance-based vesting and vests on February 15, 2020, for the performance period ending December 31, 2019.</w:t>
      </w:r>
    </w:p>
    <w:p>
      <w:pPr>
        <w:spacing w:after="0" w:line="18" w:lineRule="exact"/>
        <w:rPr>
          <w:rFonts w:ascii="Arial" w:cs="Arial" w:eastAsia="Arial" w:hAnsi="Arial"/>
          <w:sz w:val="14"/>
          <w:szCs w:val="14"/>
          <w:i w:val="1"/>
          <w:iCs w:val="1"/>
          <w:color w:val="auto"/>
        </w:rPr>
      </w:pPr>
    </w:p>
    <w:p>
      <w:pPr>
        <w:ind w:left="540" w:hanging="330"/>
        <w:spacing w:after="0"/>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RSU awards granted on February 10, 2016, vest ratably each February 10 of 2017, 2018, and 2019.</w:t>
      </w:r>
    </w:p>
    <w:p>
      <w:pPr>
        <w:spacing w:after="0" w:line="68" w:lineRule="exact"/>
        <w:rPr>
          <w:rFonts w:ascii="Arial" w:cs="Arial" w:eastAsia="Arial" w:hAnsi="Arial"/>
          <w:sz w:val="14"/>
          <w:szCs w:val="14"/>
          <w:i w:val="1"/>
          <w:iCs w:val="1"/>
          <w:color w:val="auto"/>
        </w:rPr>
      </w:pPr>
    </w:p>
    <w:p>
      <w:pPr>
        <w:jc w:val="both"/>
        <w:ind w:left="540" w:hanging="330"/>
        <w:spacing w:after="0" w:line="253" w:lineRule="auto"/>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2018 PSU awards granted on February 13, 2018, cliff-vest on February 13, 2021, upon completion of results for the performance period January 1, 2018–December 31, 2020. 2017 PSU awards granted on February 14, 2017, cliff-vest on February 14, 2020, upon completion of results for the performance period January 1, 2017– December 31, 2019. 2016 PSU awards granted on February 10, 2016, cliff-vested on February 10, 2019, upon completion of results for the performance period January 1, 2016–December 31, 2018. The final performance for the 2016–2018 PSU was 166% and is discussed on page 47.</w:t>
      </w:r>
    </w:p>
    <w:p>
      <w:pPr>
        <w:spacing w:after="0" w:line="36" w:lineRule="exact"/>
        <w:rPr>
          <w:rFonts w:ascii="Arial" w:cs="Arial" w:eastAsia="Arial" w:hAnsi="Arial"/>
          <w:sz w:val="14"/>
          <w:szCs w:val="14"/>
          <w:i w:val="1"/>
          <w:iCs w:val="1"/>
          <w:color w:val="auto"/>
        </w:rPr>
      </w:pPr>
    </w:p>
    <w:p>
      <w:pPr>
        <w:jc w:val="both"/>
        <w:ind w:left="540" w:hanging="330"/>
        <w:spacing w:after="0" w:line="260" w:lineRule="auto"/>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Assumes target-level payout of PSU awards. If maximum-level payout of PSU awards, the number of shares (and market value of such shares) with respect to unvested 2017–2019 PSUs and 2018–2020 PSUs outstanding as of December 31, 2018, was for Ms. Barra 523,632 ($17,515,490) and 496,378 ($16,603,844); for Mr. Ammann 198,880 ($6,652,536) and 178,896 ($5,984,071); for Mr. Reuss 163,132 ($5,456,765) and 146,740 ($4,908,453); for Mr. Batey 108,502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76200</wp:posOffset>
            </wp:positionV>
            <wp:extent cx="6758305" cy="1282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05"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61</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87" w:lineRule="exact"/>
        <w:rPr>
          <w:sz w:val="20"/>
          <w:szCs w:val="20"/>
          <w:color w:val="auto"/>
        </w:rPr>
      </w:pPr>
    </w:p>
    <w:p>
      <w:pPr>
        <w:jc w:val="both"/>
        <w:ind w:left="540"/>
        <w:spacing w:after="0" w:line="255" w:lineRule="auto"/>
        <w:rPr>
          <w:sz w:val="20"/>
          <w:szCs w:val="20"/>
          <w:color w:val="auto"/>
        </w:rPr>
      </w:pPr>
      <w:r>
        <w:rPr>
          <w:rFonts w:ascii="Arial" w:cs="Arial" w:eastAsia="Arial" w:hAnsi="Arial"/>
          <w:sz w:val="14"/>
          <w:szCs w:val="14"/>
          <w:i w:val="1"/>
          <w:iCs w:val="1"/>
          <w:color w:val="auto"/>
        </w:rPr>
        <w:t>($3,629,392) and 97,598 ($3,264,653); and for Mr. Stevens 150,042 ($5,018,905) and 145,834 ($4,878,147), respectively. For Ms. Suryadevara, the number of shares (and market value of such shares) for maximum-level payout with respect to unvested 2017–2019 PSUs and 2018–2020 PSUs granted on February 13, 2018, and 2018–2020 PSUs granted on October 1, 2018, outstanding as of December 31, 2018, was 29,606 ($990,321), 26,632 ($890,840), and 107,458 ($3,594,470), respectively.</w:t>
      </w:r>
    </w:p>
    <w:p>
      <w:pPr>
        <w:spacing w:after="0" w:line="200" w:lineRule="exact"/>
        <w:rPr>
          <w:sz w:val="20"/>
          <w:szCs w:val="20"/>
          <w:color w:val="auto"/>
        </w:rPr>
      </w:pPr>
    </w:p>
    <w:p>
      <w:pPr>
        <w:spacing w:after="0" w:line="282" w:lineRule="exact"/>
        <w:rPr>
          <w:sz w:val="20"/>
          <w:szCs w:val="20"/>
          <w:color w:val="auto"/>
        </w:rPr>
      </w:pPr>
    </w:p>
    <w:p>
      <w:pPr>
        <w:ind w:left="640" w:hanging="430"/>
        <w:spacing w:after="0"/>
        <w:tabs>
          <w:tab w:leader="none" w:pos="640" w:val="left"/>
        </w:tabs>
        <w:numPr>
          <w:ilvl w:val="0"/>
          <w:numId w:val="120"/>
        </w:numPr>
        <w:rPr>
          <w:rFonts w:ascii="Arial" w:cs="Arial" w:eastAsia="Arial" w:hAnsi="Arial"/>
          <w:sz w:val="25"/>
          <w:szCs w:val="25"/>
          <w:color w:val="0033A0"/>
        </w:rPr>
      </w:pPr>
      <w:r>
        <w:rPr>
          <w:rFonts w:ascii="Arial" w:cs="Arial" w:eastAsia="Arial" w:hAnsi="Arial"/>
          <w:sz w:val="25"/>
          <w:szCs w:val="25"/>
          <w:color w:val="auto"/>
        </w:rPr>
        <w:t>Option Exercises and Stock Vested</w:t>
      </w:r>
    </w:p>
    <w:p>
      <w:pPr>
        <w:spacing w:after="0" w:line="82"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4840" w:type="dxa"/>
            <w:vAlign w:val="bottom"/>
            <w:shd w:val="clear" w:color="auto" w:fill="00A1DF"/>
          </w:tcPr>
          <w:p>
            <w:pPr>
              <w:spacing w:after="0"/>
              <w:rPr>
                <w:sz w:val="14"/>
                <w:szCs w:val="14"/>
                <w:color w:val="auto"/>
              </w:rPr>
            </w:pPr>
          </w:p>
        </w:tc>
        <w:tc>
          <w:tcPr>
            <w:tcW w:w="3060" w:type="dxa"/>
            <w:vAlign w:val="bottom"/>
            <w:gridSpan w:val="3"/>
            <w:shd w:val="clear" w:color="auto" w:fill="00A1DF"/>
          </w:tcPr>
          <w:p>
            <w:pPr>
              <w:ind w:left="800"/>
              <w:spacing w:after="0"/>
              <w:rPr>
                <w:sz w:val="20"/>
                <w:szCs w:val="20"/>
                <w:color w:val="auto"/>
              </w:rPr>
            </w:pPr>
            <w:r>
              <w:rPr>
                <w:rFonts w:ascii="Arial" w:cs="Arial" w:eastAsia="Arial" w:hAnsi="Arial"/>
                <w:sz w:val="15"/>
                <w:szCs w:val="15"/>
                <w:b w:val="1"/>
                <w:bCs w:val="1"/>
                <w:color w:val="00A1DF"/>
              </w:rPr>
              <w:t>Option Awards</w:t>
            </w:r>
          </w:p>
        </w:tc>
        <w:tc>
          <w:tcPr>
            <w:tcW w:w="3100" w:type="dxa"/>
            <w:vAlign w:val="bottom"/>
            <w:gridSpan w:val="2"/>
            <w:shd w:val="clear" w:color="auto" w:fill="00A1DF"/>
          </w:tcPr>
          <w:p>
            <w:pPr>
              <w:jc w:val="right"/>
              <w:ind w:right="1085"/>
              <w:spacing w:after="0"/>
              <w:rPr>
                <w:sz w:val="20"/>
                <w:szCs w:val="20"/>
                <w:color w:val="auto"/>
              </w:rPr>
            </w:pPr>
            <w:r>
              <w:rPr>
                <w:rFonts w:ascii="Arial" w:cs="Arial" w:eastAsia="Arial" w:hAnsi="Arial"/>
                <w:sz w:val="15"/>
                <w:szCs w:val="15"/>
                <w:b w:val="1"/>
                <w:bCs w:val="1"/>
                <w:color w:val="00A1DF"/>
              </w:rPr>
              <w:t>Stock Awards</w:t>
            </w:r>
          </w:p>
        </w:tc>
      </w:tr>
      <w:tr>
        <w:trPr>
          <w:trHeight w:val="158"/>
        </w:trPr>
        <w:tc>
          <w:tcPr>
            <w:tcW w:w="4840" w:type="dxa"/>
            <w:vAlign w:val="bottom"/>
          </w:tcPr>
          <w:p>
            <w:pPr>
              <w:spacing w:after="0"/>
              <w:rPr>
                <w:sz w:val="13"/>
                <w:szCs w:val="13"/>
                <w:color w:val="auto"/>
              </w:rPr>
            </w:pPr>
          </w:p>
        </w:tc>
        <w:tc>
          <w:tcPr>
            <w:tcW w:w="1440" w:type="dxa"/>
            <w:vAlign w:val="bottom"/>
            <w:tcBorders>
              <w:bottom w:val="single" w:sz="8" w:color="00A1DF"/>
            </w:tcBorders>
          </w:tcPr>
          <w:p>
            <w:pPr>
              <w:spacing w:after="0"/>
              <w:rPr>
                <w:sz w:val="13"/>
                <w:szCs w:val="13"/>
                <w:color w:val="auto"/>
              </w:rPr>
            </w:pPr>
          </w:p>
        </w:tc>
        <w:tc>
          <w:tcPr>
            <w:tcW w:w="1460" w:type="dxa"/>
            <w:vAlign w:val="bottom"/>
            <w:tcBorders>
              <w:bottom w:val="single" w:sz="8" w:color="00A1DF"/>
            </w:tcBorders>
          </w:tcPr>
          <w:p>
            <w:pPr>
              <w:jc w:val="right"/>
              <w:ind w:right="785"/>
              <w:spacing w:after="0"/>
              <w:rPr>
                <w:sz w:val="20"/>
                <w:szCs w:val="20"/>
                <w:color w:val="auto"/>
              </w:rPr>
            </w:pPr>
            <w:r>
              <w:rPr>
                <w:rFonts w:ascii="Arial" w:cs="Arial" w:eastAsia="Arial" w:hAnsi="Arial"/>
                <w:sz w:val="13"/>
                <w:szCs w:val="13"/>
                <w:b w:val="1"/>
                <w:bCs w:val="1"/>
                <w:color w:val="00A1DF"/>
              </w:rPr>
              <w:t>(1)</w:t>
            </w:r>
          </w:p>
        </w:tc>
        <w:tc>
          <w:tcPr>
            <w:tcW w:w="160" w:type="dxa"/>
            <w:vAlign w:val="bottom"/>
          </w:tcPr>
          <w:p>
            <w:pPr>
              <w:spacing w:after="0"/>
              <w:rPr>
                <w:sz w:val="13"/>
                <w:szCs w:val="13"/>
                <w:color w:val="auto"/>
              </w:rPr>
            </w:pPr>
          </w:p>
        </w:tc>
        <w:tc>
          <w:tcPr>
            <w:tcW w:w="1600" w:type="dxa"/>
            <w:vAlign w:val="bottom"/>
            <w:tcBorders>
              <w:bottom w:val="single" w:sz="8" w:color="00A1DF"/>
            </w:tcBorders>
          </w:tcPr>
          <w:p>
            <w:pPr>
              <w:spacing w:after="0"/>
              <w:rPr>
                <w:sz w:val="13"/>
                <w:szCs w:val="13"/>
                <w:color w:val="auto"/>
              </w:rPr>
            </w:pPr>
          </w:p>
        </w:tc>
        <w:tc>
          <w:tcPr>
            <w:tcW w:w="1500" w:type="dxa"/>
            <w:vAlign w:val="bottom"/>
            <w:tcBorders>
              <w:bottom w:val="single" w:sz="8" w:color="00A1DF"/>
            </w:tcBorders>
          </w:tcPr>
          <w:p>
            <w:pPr>
              <w:jc w:val="right"/>
              <w:ind w:right="925"/>
              <w:spacing w:after="0"/>
              <w:rPr>
                <w:sz w:val="20"/>
                <w:szCs w:val="20"/>
                <w:color w:val="auto"/>
              </w:rPr>
            </w:pPr>
            <w:r>
              <w:rPr>
                <w:rFonts w:ascii="Arial" w:cs="Arial" w:eastAsia="Arial" w:hAnsi="Arial"/>
                <w:sz w:val="13"/>
                <w:szCs w:val="13"/>
                <w:b w:val="1"/>
                <w:bCs w:val="1"/>
                <w:color w:val="00A1DF"/>
              </w:rPr>
              <w:t>(2)</w:t>
            </w:r>
          </w:p>
        </w:tc>
      </w:tr>
      <w:tr>
        <w:trPr>
          <w:trHeight w:val="134"/>
        </w:trPr>
        <w:tc>
          <w:tcPr>
            <w:tcW w:w="4840" w:type="dxa"/>
            <w:vAlign w:val="bottom"/>
          </w:tcPr>
          <w:p>
            <w:pPr>
              <w:spacing w:after="0"/>
              <w:rPr>
                <w:sz w:val="11"/>
                <w:szCs w:val="11"/>
                <w:color w:val="auto"/>
              </w:rPr>
            </w:pPr>
          </w:p>
        </w:tc>
        <w:tc>
          <w:tcPr>
            <w:tcW w:w="1440" w:type="dxa"/>
            <w:vAlign w:val="bottom"/>
          </w:tcPr>
          <w:p>
            <w:pPr>
              <w:jc w:val="right"/>
              <w:ind w:right="44"/>
              <w:spacing w:after="0" w:line="134" w:lineRule="exact"/>
              <w:rPr>
                <w:sz w:val="20"/>
                <w:szCs w:val="20"/>
                <w:color w:val="auto"/>
              </w:rPr>
            </w:pPr>
            <w:r>
              <w:rPr>
                <w:rFonts w:ascii="Arial" w:cs="Arial" w:eastAsia="Arial" w:hAnsi="Arial"/>
                <w:sz w:val="15"/>
                <w:szCs w:val="15"/>
                <w:b w:val="1"/>
                <w:bCs w:val="1"/>
                <w:color w:val="00A1DF"/>
              </w:rPr>
              <w:t>Number of Shares</w:t>
            </w:r>
          </w:p>
        </w:tc>
        <w:tc>
          <w:tcPr>
            <w:tcW w:w="146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Value Realized on</w:t>
            </w:r>
          </w:p>
        </w:tc>
        <w:tc>
          <w:tcPr>
            <w:tcW w:w="160" w:type="dxa"/>
            <w:vAlign w:val="bottom"/>
          </w:tcPr>
          <w:p>
            <w:pPr>
              <w:spacing w:after="0"/>
              <w:rPr>
                <w:sz w:val="11"/>
                <w:szCs w:val="11"/>
                <w:color w:val="auto"/>
              </w:rPr>
            </w:pPr>
          </w:p>
        </w:tc>
        <w:tc>
          <w:tcPr>
            <w:tcW w:w="1600" w:type="dxa"/>
            <w:vAlign w:val="bottom"/>
          </w:tcPr>
          <w:p>
            <w:pPr>
              <w:jc w:val="right"/>
              <w:ind w:right="24"/>
              <w:spacing w:after="0" w:line="134" w:lineRule="exact"/>
              <w:rPr>
                <w:sz w:val="20"/>
                <w:szCs w:val="20"/>
                <w:color w:val="auto"/>
              </w:rPr>
            </w:pPr>
            <w:r>
              <w:rPr>
                <w:rFonts w:ascii="Arial" w:cs="Arial" w:eastAsia="Arial" w:hAnsi="Arial"/>
                <w:sz w:val="15"/>
                <w:szCs w:val="15"/>
                <w:b w:val="1"/>
                <w:bCs w:val="1"/>
                <w:color w:val="00A1DF"/>
              </w:rPr>
              <w:t>Number of Shares</w:t>
            </w:r>
          </w:p>
        </w:tc>
        <w:tc>
          <w:tcPr>
            <w:tcW w:w="1500" w:type="dxa"/>
            <w:vAlign w:val="bottom"/>
          </w:tcPr>
          <w:p>
            <w:pPr>
              <w:jc w:val="right"/>
              <w:ind w:right="5"/>
              <w:spacing w:after="0" w:line="134" w:lineRule="exact"/>
              <w:rPr>
                <w:sz w:val="20"/>
                <w:szCs w:val="20"/>
                <w:color w:val="auto"/>
              </w:rPr>
            </w:pPr>
            <w:r>
              <w:rPr>
                <w:rFonts w:ascii="Arial" w:cs="Arial" w:eastAsia="Arial" w:hAnsi="Arial"/>
                <w:sz w:val="15"/>
                <w:szCs w:val="15"/>
                <w:b w:val="1"/>
                <w:bCs w:val="1"/>
                <w:color w:val="00A1DF"/>
              </w:rPr>
              <w:t>Value Realized on</w:t>
            </w:r>
          </w:p>
        </w:tc>
      </w:tr>
      <w:tr>
        <w:trPr>
          <w:trHeight w:val="162"/>
        </w:trPr>
        <w:tc>
          <w:tcPr>
            <w:tcW w:w="484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Acquired on</w:t>
            </w:r>
          </w:p>
        </w:tc>
        <w:tc>
          <w:tcPr>
            <w:tcW w:w="162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00A1DF"/>
              </w:rPr>
              <w:t>Exercise</w:t>
            </w:r>
          </w:p>
        </w:tc>
        <w:tc>
          <w:tcPr>
            <w:tcW w:w="160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00A1DF"/>
              </w:rPr>
              <w:t>Acquired on Vesting</w:t>
            </w:r>
          </w:p>
        </w:tc>
        <w:tc>
          <w:tcPr>
            <w:tcW w:w="1500" w:type="dxa"/>
            <w:vAlign w:val="bottom"/>
          </w:tcPr>
          <w:p>
            <w:pPr>
              <w:jc w:val="right"/>
              <w:ind w:right="5"/>
              <w:spacing w:after="0" w:line="162" w:lineRule="exact"/>
              <w:rPr>
                <w:sz w:val="20"/>
                <w:szCs w:val="20"/>
                <w:color w:val="auto"/>
              </w:rPr>
            </w:pPr>
            <w:r>
              <w:rPr>
                <w:rFonts w:ascii="Arial" w:cs="Arial" w:eastAsia="Arial" w:hAnsi="Arial"/>
                <w:sz w:val="15"/>
                <w:szCs w:val="15"/>
                <w:b w:val="1"/>
                <w:bCs w:val="1"/>
                <w:color w:val="00A1DF"/>
              </w:rPr>
              <w:t>Vesting</w:t>
            </w:r>
          </w:p>
        </w:tc>
      </w:tr>
      <w:tr>
        <w:trPr>
          <w:trHeight w:val="202"/>
        </w:trPr>
        <w:tc>
          <w:tcPr>
            <w:tcW w:w="4840" w:type="dxa"/>
            <w:vAlign w:val="bottom"/>
          </w:tcPr>
          <w:p>
            <w:pPr>
              <w:ind w:left="80"/>
              <w:spacing w:after="0"/>
              <w:rPr>
                <w:sz w:val="20"/>
                <w:szCs w:val="20"/>
                <w:color w:val="auto"/>
              </w:rPr>
            </w:pPr>
            <w:r>
              <w:rPr>
                <w:rFonts w:ascii="Arial" w:cs="Arial" w:eastAsia="Arial" w:hAnsi="Arial"/>
                <w:sz w:val="15"/>
                <w:szCs w:val="15"/>
                <w:b w:val="1"/>
                <w:bCs w:val="1"/>
                <w:color w:val="00A1DF"/>
              </w:rPr>
              <w:t>Name</w:t>
            </w:r>
          </w:p>
        </w:tc>
        <w:tc>
          <w:tcPr>
            <w:tcW w:w="1440" w:type="dxa"/>
            <w:vAlign w:val="bottom"/>
          </w:tcPr>
          <w:p>
            <w:pPr>
              <w:jc w:val="right"/>
              <w:ind w:right="44"/>
              <w:spacing w:after="0"/>
              <w:rPr>
                <w:sz w:val="20"/>
                <w:szCs w:val="20"/>
                <w:color w:val="auto"/>
              </w:rPr>
            </w:pPr>
            <w:r>
              <w:rPr>
                <w:rFonts w:ascii="Arial" w:cs="Arial" w:eastAsia="Arial" w:hAnsi="Arial"/>
                <w:sz w:val="15"/>
                <w:szCs w:val="15"/>
                <w:b w:val="1"/>
                <w:bCs w:val="1"/>
                <w:color w:val="00A1DF"/>
              </w:rPr>
              <w:t>Exercise (#)</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00A1DF"/>
              </w:rPr>
              <w:t>($)</w:t>
            </w:r>
          </w:p>
        </w:tc>
        <w:tc>
          <w:tcPr>
            <w:tcW w:w="160" w:type="dxa"/>
            <w:vAlign w:val="bottom"/>
          </w:tcPr>
          <w:p>
            <w:pPr>
              <w:spacing w:after="0"/>
              <w:rPr>
                <w:sz w:val="17"/>
                <w:szCs w:val="17"/>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b w:val="1"/>
                <w:bCs w:val="1"/>
                <w:color w:val="00A1DF"/>
              </w:rPr>
              <w:t>(#)</w:t>
            </w:r>
          </w:p>
        </w:tc>
        <w:tc>
          <w:tcPr>
            <w:tcW w:w="1500" w:type="dxa"/>
            <w:vAlign w:val="bottom"/>
          </w:tcPr>
          <w:p>
            <w:pPr>
              <w:jc w:val="right"/>
              <w:ind w:right="5"/>
              <w:spacing w:after="0"/>
              <w:rPr>
                <w:sz w:val="20"/>
                <w:szCs w:val="20"/>
                <w:color w:val="auto"/>
              </w:rPr>
            </w:pPr>
            <w:r>
              <w:rPr>
                <w:rFonts w:ascii="Arial" w:cs="Arial" w:eastAsia="Arial" w:hAnsi="Arial"/>
                <w:sz w:val="15"/>
                <w:szCs w:val="15"/>
                <w:b w:val="1"/>
                <w:bCs w:val="1"/>
                <w:color w:val="00A1DF"/>
              </w:rPr>
              <w:t>($)</w:t>
            </w:r>
          </w:p>
        </w:tc>
      </w:tr>
      <w:tr>
        <w:trPr>
          <w:trHeight w:val="35"/>
        </w:trPr>
        <w:tc>
          <w:tcPr>
            <w:tcW w:w="4840" w:type="dxa"/>
            <w:vAlign w:val="bottom"/>
            <w:tcBorders>
              <w:bottom w:val="single" w:sz="8" w:color="00A1DF"/>
            </w:tcBorders>
          </w:tcPr>
          <w:p>
            <w:pPr>
              <w:spacing w:after="0"/>
              <w:rPr>
                <w:sz w:val="3"/>
                <w:szCs w:val="3"/>
                <w:color w:val="auto"/>
              </w:rPr>
            </w:pPr>
          </w:p>
        </w:tc>
        <w:tc>
          <w:tcPr>
            <w:tcW w:w="1440" w:type="dxa"/>
            <w:vAlign w:val="bottom"/>
            <w:tcBorders>
              <w:bottom w:val="single" w:sz="8" w:color="00A1DF"/>
            </w:tcBorders>
          </w:tcPr>
          <w:p>
            <w:pPr>
              <w:spacing w:after="0"/>
              <w:rPr>
                <w:sz w:val="3"/>
                <w:szCs w:val="3"/>
                <w:color w:val="auto"/>
              </w:rPr>
            </w:pPr>
          </w:p>
        </w:tc>
        <w:tc>
          <w:tcPr>
            <w:tcW w:w="1460" w:type="dxa"/>
            <w:vAlign w:val="bottom"/>
            <w:tcBorders>
              <w:bottom w:val="single" w:sz="8" w:color="00A1DF"/>
            </w:tcBorders>
          </w:tcPr>
          <w:p>
            <w:pPr>
              <w:spacing w:after="0"/>
              <w:rPr>
                <w:sz w:val="3"/>
                <w:szCs w:val="3"/>
                <w:color w:val="auto"/>
              </w:rPr>
            </w:pPr>
          </w:p>
        </w:tc>
        <w:tc>
          <w:tcPr>
            <w:tcW w:w="160" w:type="dxa"/>
            <w:vAlign w:val="bottom"/>
            <w:tcBorders>
              <w:bottom w:val="single" w:sz="8" w:color="00A1DF"/>
            </w:tcBorders>
          </w:tcPr>
          <w:p>
            <w:pPr>
              <w:spacing w:after="0"/>
              <w:rPr>
                <w:sz w:val="3"/>
                <w:szCs w:val="3"/>
                <w:color w:val="auto"/>
              </w:rPr>
            </w:pPr>
          </w:p>
        </w:tc>
        <w:tc>
          <w:tcPr>
            <w:tcW w:w="1600" w:type="dxa"/>
            <w:vAlign w:val="bottom"/>
            <w:tcBorders>
              <w:bottom w:val="single" w:sz="8" w:color="00A1DF"/>
            </w:tcBorders>
          </w:tcPr>
          <w:p>
            <w:pPr>
              <w:spacing w:after="0"/>
              <w:rPr>
                <w:sz w:val="3"/>
                <w:szCs w:val="3"/>
                <w:color w:val="auto"/>
              </w:rPr>
            </w:pPr>
          </w:p>
        </w:tc>
        <w:tc>
          <w:tcPr>
            <w:tcW w:w="1500" w:type="dxa"/>
            <w:vAlign w:val="bottom"/>
            <w:tcBorders>
              <w:bottom w:val="single" w:sz="8" w:color="00A1DF"/>
            </w:tcBorders>
          </w:tcPr>
          <w:p>
            <w:pPr>
              <w:spacing w:after="0"/>
              <w:rPr>
                <w:sz w:val="3"/>
                <w:szCs w:val="3"/>
                <w:color w:val="auto"/>
              </w:rPr>
            </w:pPr>
          </w:p>
        </w:tc>
      </w:tr>
      <w:tr>
        <w:trPr>
          <w:trHeight w:val="178"/>
        </w:trPr>
        <w:tc>
          <w:tcPr>
            <w:tcW w:w="4840" w:type="dxa"/>
            <w:vAlign w:val="bottom"/>
          </w:tcPr>
          <w:p>
            <w:pPr>
              <w:ind w:left="60"/>
              <w:spacing w:after="0"/>
              <w:rPr>
                <w:sz w:val="20"/>
                <w:szCs w:val="20"/>
                <w:color w:val="auto"/>
              </w:rPr>
            </w:pPr>
            <w:r>
              <w:rPr>
                <w:rFonts w:ascii="Arial" w:cs="Arial" w:eastAsia="Arial" w:hAnsi="Arial"/>
                <w:sz w:val="15"/>
                <w:szCs w:val="15"/>
                <w:color w:val="auto"/>
              </w:rPr>
              <w:t>Mary T. Barra</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543,476</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22,532,515</w:t>
            </w:r>
          </w:p>
        </w:tc>
      </w:tr>
      <w:tr>
        <w:trPr>
          <w:trHeight w:val="32"/>
        </w:trPr>
        <w:tc>
          <w:tcPr>
            <w:tcW w:w="4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8"/>
        </w:trPr>
        <w:tc>
          <w:tcPr>
            <w:tcW w:w="4840" w:type="dxa"/>
            <w:vAlign w:val="bottom"/>
          </w:tcPr>
          <w:p>
            <w:pPr>
              <w:ind w:left="60"/>
              <w:spacing w:after="0"/>
              <w:rPr>
                <w:sz w:val="20"/>
                <w:szCs w:val="20"/>
                <w:color w:val="auto"/>
              </w:rPr>
            </w:pPr>
            <w:r>
              <w:rPr>
                <w:rFonts w:ascii="Arial" w:cs="Arial" w:eastAsia="Arial" w:hAnsi="Arial"/>
                <w:sz w:val="15"/>
                <w:szCs w:val="15"/>
                <w:color w:val="auto"/>
              </w:rPr>
              <w:t>Dhivya Suryadevara</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14,820</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614,437</w:t>
            </w:r>
          </w:p>
        </w:tc>
      </w:tr>
      <w:tr>
        <w:trPr>
          <w:trHeight w:val="32"/>
        </w:trPr>
        <w:tc>
          <w:tcPr>
            <w:tcW w:w="4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8"/>
        </w:trPr>
        <w:tc>
          <w:tcPr>
            <w:tcW w:w="4840" w:type="dxa"/>
            <w:vAlign w:val="bottom"/>
          </w:tcPr>
          <w:p>
            <w:pPr>
              <w:ind w:left="60"/>
              <w:spacing w:after="0"/>
              <w:rPr>
                <w:sz w:val="20"/>
                <w:szCs w:val="20"/>
                <w:color w:val="auto"/>
              </w:rPr>
            </w:pPr>
            <w:r>
              <w:rPr>
                <w:rFonts w:ascii="Arial" w:cs="Arial" w:eastAsia="Arial" w:hAnsi="Arial"/>
                <w:sz w:val="15"/>
                <w:szCs w:val="15"/>
                <w:color w:val="auto"/>
              </w:rPr>
              <w:t>Daniel Ammann</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203,278</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8,427,906</w:t>
            </w:r>
          </w:p>
        </w:tc>
      </w:tr>
      <w:tr>
        <w:trPr>
          <w:trHeight w:val="32"/>
        </w:trPr>
        <w:tc>
          <w:tcPr>
            <w:tcW w:w="4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8"/>
        </w:trPr>
        <w:tc>
          <w:tcPr>
            <w:tcW w:w="4840" w:type="dxa"/>
            <w:vAlign w:val="bottom"/>
          </w:tcPr>
          <w:p>
            <w:pPr>
              <w:ind w:left="60"/>
              <w:spacing w:after="0"/>
              <w:rPr>
                <w:sz w:val="20"/>
                <w:szCs w:val="20"/>
                <w:color w:val="auto"/>
              </w:rPr>
            </w:pPr>
            <w:r>
              <w:rPr>
                <w:rFonts w:ascii="Arial" w:cs="Arial" w:eastAsia="Arial" w:hAnsi="Arial"/>
                <w:sz w:val="15"/>
                <w:szCs w:val="15"/>
                <w:color w:val="auto"/>
              </w:rPr>
              <w:t>Mark L. Reuss</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165,944</w:t>
            </w:r>
          </w:p>
        </w:tc>
        <w:tc>
          <w:tcPr>
            <w:tcW w:w="1460" w:type="dxa"/>
            <w:vAlign w:val="bottom"/>
          </w:tcPr>
          <w:p>
            <w:pPr>
              <w:jc w:val="right"/>
              <w:spacing w:after="0"/>
              <w:rPr>
                <w:sz w:val="20"/>
                <w:szCs w:val="20"/>
                <w:color w:val="auto"/>
              </w:rPr>
            </w:pPr>
            <w:r>
              <w:rPr>
                <w:rFonts w:ascii="Arial" w:cs="Arial" w:eastAsia="Arial" w:hAnsi="Arial"/>
                <w:sz w:val="15"/>
                <w:szCs w:val="15"/>
                <w:color w:val="auto"/>
              </w:rPr>
              <w:t>1,746,760</w:t>
            </w:r>
          </w:p>
        </w:tc>
        <w:tc>
          <w:tcPr>
            <w:tcW w:w="160" w:type="dxa"/>
            <w:vAlign w:val="bottom"/>
          </w:tcPr>
          <w:p>
            <w:pPr>
              <w:spacing w:after="0"/>
              <w:rPr>
                <w:sz w:val="15"/>
                <w:szCs w:val="15"/>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172,500</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7,151,850</w:t>
            </w:r>
          </w:p>
        </w:tc>
      </w:tr>
      <w:tr>
        <w:trPr>
          <w:trHeight w:val="32"/>
        </w:trPr>
        <w:tc>
          <w:tcPr>
            <w:tcW w:w="4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8"/>
        </w:trPr>
        <w:tc>
          <w:tcPr>
            <w:tcW w:w="4840" w:type="dxa"/>
            <w:vAlign w:val="bottom"/>
          </w:tcPr>
          <w:p>
            <w:pPr>
              <w:ind w:left="60"/>
              <w:spacing w:after="0"/>
              <w:rPr>
                <w:sz w:val="20"/>
                <w:szCs w:val="20"/>
                <w:color w:val="auto"/>
              </w:rPr>
            </w:pPr>
            <w:r>
              <w:rPr>
                <w:rFonts w:ascii="Arial" w:cs="Arial" w:eastAsia="Arial" w:hAnsi="Arial"/>
                <w:sz w:val="15"/>
                <w:szCs w:val="15"/>
                <w:color w:val="auto"/>
              </w:rPr>
              <w:t>Alan S. Batey</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162,212</w:t>
            </w:r>
          </w:p>
        </w:tc>
        <w:tc>
          <w:tcPr>
            <w:tcW w:w="1460" w:type="dxa"/>
            <w:vAlign w:val="bottom"/>
          </w:tcPr>
          <w:p>
            <w:pPr>
              <w:jc w:val="right"/>
              <w:spacing w:after="0"/>
              <w:rPr>
                <w:sz w:val="20"/>
                <w:szCs w:val="20"/>
                <w:color w:val="auto"/>
              </w:rPr>
            </w:pPr>
            <w:r>
              <w:rPr>
                <w:rFonts w:ascii="Arial" w:cs="Arial" w:eastAsia="Arial" w:hAnsi="Arial"/>
                <w:sz w:val="15"/>
                <w:szCs w:val="15"/>
                <w:color w:val="auto"/>
              </w:rPr>
              <w:t>1,760,604</w:t>
            </w:r>
          </w:p>
        </w:tc>
        <w:tc>
          <w:tcPr>
            <w:tcW w:w="160" w:type="dxa"/>
            <w:vAlign w:val="bottom"/>
          </w:tcPr>
          <w:p>
            <w:pPr>
              <w:spacing w:after="0"/>
              <w:rPr>
                <w:sz w:val="15"/>
                <w:szCs w:val="15"/>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121,607</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5,041,826</w:t>
            </w:r>
          </w:p>
        </w:tc>
      </w:tr>
      <w:tr>
        <w:trPr>
          <w:trHeight w:val="32"/>
        </w:trPr>
        <w:tc>
          <w:tcPr>
            <w:tcW w:w="4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9"/>
        </w:trPr>
        <w:tc>
          <w:tcPr>
            <w:tcW w:w="4840" w:type="dxa"/>
            <w:vAlign w:val="bottom"/>
            <w:tcBorders>
              <w:bottom w:val="single" w:sz="8" w:color="0033A0"/>
            </w:tcBorders>
          </w:tcPr>
          <w:p>
            <w:pPr>
              <w:ind w:left="60"/>
              <w:spacing w:after="0" w:line="169" w:lineRule="exact"/>
              <w:rPr>
                <w:sz w:val="20"/>
                <w:szCs w:val="20"/>
                <w:color w:val="auto"/>
              </w:rPr>
            </w:pPr>
            <w:r>
              <w:rPr>
                <w:rFonts w:ascii="Arial" w:cs="Arial" w:eastAsia="Arial" w:hAnsi="Arial"/>
                <w:sz w:val="15"/>
                <w:szCs w:val="15"/>
                <w:color w:val="auto"/>
              </w:rPr>
              <w:t>Charles K. Stevens, III</w:t>
            </w:r>
          </w:p>
        </w:tc>
        <w:tc>
          <w:tcPr>
            <w:tcW w:w="1440" w:type="dxa"/>
            <w:vAlign w:val="bottom"/>
            <w:tcBorders>
              <w:bottom w:val="single" w:sz="8" w:color="0033A0"/>
            </w:tcBorders>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1620" w:type="dxa"/>
            <w:vAlign w:val="bottom"/>
            <w:tcBorders>
              <w:bottom w:val="single" w:sz="8" w:color="0033A0"/>
            </w:tcBorders>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600" w:type="dxa"/>
            <w:vAlign w:val="bottom"/>
            <w:tcBorders>
              <w:bottom w:val="single" w:sz="8" w:color="0033A0"/>
            </w:tcBorders>
          </w:tcPr>
          <w:p>
            <w:pPr>
              <w:jc w:val="right"/>
              <w:ind w:right="24"/>
              <w:spacing w:after="0" w:line="169" w:lineRule="exact"/>
              <w:rPr>
                <w:sz w:val="20"/>
                <w:szCs w:val="20"/>
                <w:color w:val="auto"/>
              </w:rPr>
            </w:pPr>
            <w:r>
              <w:rPr>
                <w:rFonts w:ascii="Arial" w:cs="Arial" w:eastAsia="Arial" w:hAnsi="Arial"/>
                <w:sz w:val="15"/>
                <w:szCs w:val="15"/>
                <w:color w:val="auto"/>
              </w:rPr>
              <w:t>131,217</w:t>
            </w:r>
          </w:p>
        </w:tc>
        <w:tc>
          <w:tcPr>
            <w:tcW w:w="1500" w:type="dxa"/>
            <w:vAlign w:val="bottom"/>
            <w:tcBorders>
              <w:bottom w:val="single" w:sz="8" w:color="0033A0"/>
            </w:tcBorders>
          </w:tcPr>
          <w:p>
            <w:pPr>
              <w:jc w:val="right"/>
              <w:ind w:right="5"/>
              <w:spacing w:after="0" w:line="169" w:lineRule="exact"/>
              <w:rPr>
                <w:sz w:val="20"/>
                <w:szCs w:val="20"/>
                <w:color w:val="auto"/>
              </w:rPr>
            </w:pPr>
            <w:r>
              <w:rPr>
                <w:rFonts w:ascii="Arial" w:cs="Arial" w:eastAsia="Arial" w:hAnsi="Arial"/>
                <w:sz w:val="15"/>
                <w:szCs w:val="15"/>
                <w:color w:val="auto"/>
              </w:rPr>
              <w:t>5,440,257</w:t>
            </w:r>
          </w:p>
        </w:tc>
      </w:tr>
    </w:tbl>
    <w:p>
      <w:pPr>
        <w:spacing w:after="0" w:line="58" w:lineRule="exact"/>
        <w:rPr>
          <w:sz w:val="20"/>
          <w:szCs w:val="20"/>
          <w:color w:val="auto"/>
        </w:rPr>
      </w:pPr>
    </w:p>
    <w:p>
      <w:pPr>
        <w:ind w:left="540" w:hanging="330"/>
        <w:spacing w:after="0" w:line="278" w:lineRule="auto"/>
        <w:tabs>
          <w:tab w:leader="none" w:pos="54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dollar value realized upon exercise is computed by multiplying the number of shares at exercise by the difference between the market price of common stock and the exercise price of the options.</w:t>
      </w:r>
    </w:p>
    <w:p>
      <w:pPr>
        <w:spacing w:after="0" w:line="18" w:lineRule="exact"/>
        <w:rPr>
          <w:rFonts w:ascii="Arial" w:cs="Arial" w:eastAsia="Arial" w:hAnsi="Arial"/>
          <w:sz w:val="14"/>
          <w:szCs w:val="14"/>
          <w:i w:val="1"/>
          <w:iCs w:val="1"/>
          <w:color w:val="auto"/>
        </w:rPr>
      </w:pPr>
    </w:p>
    <w:p>
      <w:pPr>
        <w:ind w:left="540" w:hanging="330"/>
        <w:spacing w:after="0"/>
        <w:tabs>
          <w:tab w:leader="none" w:pos="54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dollar value realized upon vesting is computed by multiplying the number of shares vested by the closing stock price on the vesting date.</w:t>
      </w:r>
    </w:p>
    <w:p>
      <w:pPr>
        <w:spacing w:after="0" w:line="349" w:lineRule="exact"/>
        <w:rPr>
          <w:sz w:val="20"/>
          <w:szCs w:val="20"/>
          <w:color w:val="auto"/>
        </w:rPr>
      </w:pPr>
    </w:p>
    <w:p>
      <w:pPr>
        <w:ind w:left="640" w:hanging="430"/>
        <w:spacing w:after="0"/>
        <w:tabs>
          <w:tab w:leader="none" w:pos="640" w:val="left"/>
        </w:tabs>
        <w:numPr>
          <w:ilvl w:val="0"/>
          <w:numId w:val="122"/>
        </w:numPr>
        <w:rPr>
          <w:rFonts w:ascii="Arial" w:cs="Arial" w:eastAsia="Arial" w:hAnsi="Arial"/>
          <w:sz w:val="25"/>
          <w:szCs w:val="25"/>
          <w:color w:val="0033A0"/>
        </w:rPr>
      </w:pPr>
      <w:r>
        <w:rPr>
          <w:rFonts w:ascii="Arial" w:cs="Arial" w:eastAsia="Arial" w:hAnsi="Arial"/>
          <w:sz w:val="25"/>
          <w:szCs w:val="25"/>
          <w:color w:val="auto"/>
        </w:rPr>
        <w:t>Pension Benefits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1DF"/>
        </w:rPr>
        <w:t>GM Salaried Retirement Plan</w:t>
      </w:r>
    </w:p>
    <w:p>
      <w:pPr>
        <w:spacing w:after="0" w:line="184" w:lineRule="exact"/>
        <w:rPr>
          <w:sz w:val="20"/>
          <w:szCs w:val="20"/>
          <w:color w:val="auto"/>
        </w:rPr>
      </w:pPr>
    </w:p>
    <w:p>
      <w:pPr>
        <w:jc w:val="both"/>
        <w:ind w:left="220"/>
        <w:spacing w:after="0" w:line="259"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GM Salaried Retirement Plan (“SRP”) is a funded, tax-qualified retirement program that covers eligible employees hired prior</w:t>
      </w:r>
      <w:r>
        <w:rPr>
          <w:rFonts w:ascii="Arial" w:cs="Arial" w:eastAsia="Arial" w:hAnsi="Arial"/>
          <w:sz w:val="16"/>
          <w:szCs w:val="16"/>
          <w:b w:val="1"/>
          <w:bCs w:val="1"/>
          <w:color w:val="0033A0"/>
        </w:rPr>
        <w:t xml:space="preserve"> </w:t>
      </w:r>
      <w:r>
        <w:rPr>
          <w:rFonts w:ascii="Arial" w:cs="Arial" w:eastAsia="Arial" w:hAnsi="Arial"/>
          <w:sz w:val="16"/>
          <w:szCs w:val="16"/>
          <w:color w:val="000000"/>
        </w:rPr>
        <w:t>to January 1, 2007. Employees who commenced service on or after January 1, 2007 are eligible to participate only in defined contribution plans. Employees are vested in the SRP after five years of qualifying service. The plan permitted employee contributions, which vested immediately, until December 31, 2006. All Defined Benefit accruals were frozen on September 30, 2012 with service continuing towards eligibility to retire.</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Benefit Formula:</w:t>
      </w:r>
    </w:p>
    <w:p>
      <w:pPr>
        <w:spacing w:after="0" w:line="180" w:lineRule="exact"/>
        <w:rPr>
          <w:sz w:val="20"/>
          <w:szCs w:val="20"/>
          <w:color w:val="auto"/>
        </w:rPr>
      </w:pPr>
    </w:p>
    <w:p>
      <w:pPr>
        <w:jc w:val="both"/>
        <w:ind w:left="220"/>
        <w:spacing w:after="0" w:line="259" w:lineRule="auto"/>
        <w:rPr>
          <w:sz w:val="20"/>
          <w:szCs w:val="20"/>
          <w:color w:val="auto"/>
        </w:rPr>
      </w:pPr>
      <w:r>
        <w:rPr>
          <w:rFonts w:ascii="Arial" w:cs="Arial" w:eastAsia="Arial" w:hAnsi="Arial"/>
          <w:sz w:val="16"/>
          <w:szCs w:val="16"/>
          <w:b w:val="1"/>
          <w:bCs w:val="1"/>
          <w:color w:val="0033A0"/>
        </w:rPr>
        <w:t xml:space="preserve">Service Prior to January 1, 2001: </w:t>
      </w:r>
      <w:r>
        <w:rPr>
          <w:rFonts w:ascii="Arial" w:cs="Arial" w:eastAsia="Arial" w:hAnsi="Arial"/>
          <w:sz w:val="16"/>
          <w:szCs w:val="16"/>
          <w:color w:val="000000"/>
        </w:rPr>
        <w:t>The plan provided benefits on both a contributory and noncontributory formula. The contributory formula factors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contributions of the employee and earnings for each fiscal year. The formulas were frozen effective December 31, 2006, and effective January 1, 2007, employees continued to participate in the SRP under a new formula that provided a pension accrual equal to 1.25% of the employee’s eligible earnings up to the IRS-prescribed limits for tax-qualified plans. The 1.25% accruals were frozen September 30, 2012.</w:t>
      </w:r>
    </w:p>
    <w:p>
      <w:pPr>
        <w:spacing w:after="0" w:line="69" w:lineRule="exact"/>
        <w:rPr>
          <w:sz w:val="20"/>
          <w:szCs w:val="20"/>
          <w:color w:val="auto"/>
        </w:rPr>
      </w:pPr>
    </w:p>
    <w:p>
      <w:pPr>
        <w:jc w:val="both"/>
        <w:ind w:left="220" w:right="20"/>
        <w:spacing w:after="0" w:line="286" w:lineRule="auto"/>
        <w:rPr>
          <w:sz w:val="20"/>
          <w:szCs w:val="20"/>
          <w:color w:val="auto"/>
        </w:rPr>
      </w:pPr>
      <w:r>
        <w:rPr>
          <w:rFonts w:ascii="Arial" w:cs="Arial" w:eastAsia="Arial" w:hAnsi="Arial"/>
          <w:sz w:val="16"/>
          <w:szCs w:val="16"/>
          <w:b w:val="1"/>
          <w:bCs w:val="1"/>
          <w:color w:val="0033A0"/>
        </w:rPr>
        <w:t xml:space="preserve">Service from January 1, 2001, to December 31, 2006: </w:t>
      </w:r>
      <w:r>
        <w:rPr>
          <w:rFonts w:ascii="Arial" w:cs="Arial" w:eastAsia="Arial" w:hAnsi="Arial"/>
          <w:sz w:val="16"/>
          <w:szCs w:val="16"/>
          <w:color w:val="000000"/>
        </w:rPr>
        <w:t>The plan provided benefits under a cash balance formula with pay credits based on age through</w:t>
      </w:r>
      <w:r>
        <w:rPr>
          <w:rFonts w:ascii="Arial" w:cs="Arial" w:eastAsia="Arial" w:hAnsi="Arial"/>
          <w:sz w:val="16"/>
          <w:szCs w:val="16"/>
          <w:b w:val="1"/>
          <w:bCs w:val="1"/>
          <w:color w:val="0033A0"/>
        </w:rPr>
        <w:t xml:space="preserve"> </w:t>
      </w:r>
      <w:r>
        <w:rPr>
          <w:rFonts w:ascii="Arial" w:cs="Arial" w:eastAsia="Arial" w:hAnsi="Arial"/>
          <w:sz w:val="16"/>
          <w:szCs w:val="16"/>
          <w:color w:val="000000"/>
        </w:rPr>
        <w:t>December 31, 2006, when the formula was frozen, with balances continuing to earn interest credits thereafter.</w:t>
      </w:r>
    </w:p>
    <w:p>
      <w:pPr>
        <w:spacing w:after="0" w:line="47"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For employees hired prior to January 1, 2001, the accumulated benefit an employee earns over his or her career with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The plan also provides Social Security supplements for those hired prior to 1988. Additionally, for employees hired on or after January 1, 1988, and prior to December 31, 2000, Social Security supplements are not payable, and age-reduction factors are greater for retirements prior to age 62. The plan provides a single-life annuity, a spousal joint and survivor annuity, contingent annuitant optional form of payment, or 100% lump sum option. For employees hired from January 1, 2001, to December 31, 2006, the plan provides a single-life annuity, contingent annuitant optional form of payment, or a 100% lump sum option.</w:t>
      </w:r>
    </w:p>
    <w:p>
      <w:pPr>
        <w:spacing w:after="0" w:line="73" w:lineRule="exact"/>
        <w:rPr>
          <w:sz w:val="20"/>
          <w:szCs w:val="20"/>
          <w:color w:val="auto"/>
        </w:rPr>
      </w:pPr>
    </w:p>
    <w:p>
      <w:pPr>
        <w:jc w:val="both"/>
        <w:ind w:left="220"/>
        <w:spacing w:after="0" w:line="266" w:lineRule="auto"/>
        <w:rPr>
          <w:sz w:val="20"/>
          <w:szCs w:val="20"/>
          <w:color w:val="auto"/>
        </w:rPr>
      </w:pPr>
      <w:r>
        <w:rPr>
          <w:rFonts w:ascii="Arial" w:cs="Arial" w:eastAsia="Arial" w:hAnsi="Arial"/>
          <w:sz w:val="16"/>
          <w:szCs w:val="16"/>
          <w:b w:val="1"/>
          <w:bCs w:val="1"/>
          <w:color w:val="0033A0"/>
        </w:rPr>
        <w:t xml:space="preserve">Tax Code Limitations on Benefits: </w:t>
      </w:r>
      <w:r>
        <w:rPr>
          <w:rFonts w:ascii="Arial" w:cs="Arial" w:eastAsia="Arial" w:hAnsi="Arial"/>
          <w:sz w:val="16"/>
          <w:szCs w:val="16"/>
          <w:color w:val="000000"/>
        </w:rPr>
        <w:t>Section 415 of the IRC limits the benefits payable under the GM SRP. For 2018, the maximum single life annuity a</w:t>
      </w:r>
      <w:r>
        <w:rPr>
          <w:rFonts w:ascii="Arial" w:cs="Arial" w:eastAsia="Arial" w:hAnsi="Arial"/>
          <w:sz w:val="16"/>
          <w:szCs w:val="16"/>
          <w:b w:val="1"/>
          <w:bCs w:val="1"/>
          <w:color w:val="0033A0"/>
        </w:rPr>
        <w:t xml:space="preserve"> </w:t>
      </w:r>
      <w:r>
        <w:rPr>
          <w:rFonts w:ascii="Arial" w:cs="Arial" w:eastAsia="Arial" w:hAnsi="Arial"/>
          <w:sz w:val="16"/>
          <w:szCs w:val="16"/>
          <w:color w:val="000000"/>
        </w:rPr>
        <w:t>NEO could have received under these limits was $220,000 per year. This ceiling is actuarially adjusted in accordance with IRS rules to reflect employee contributions, actual forms of distribution, and actual retirement dates.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62 </w:t>
      </w:r>
      <w:r>
        <w:rPr>
          <w:sz w:val="1"/>
          <w:szCs w:val="1"/>
          <w:color w:val="auto"/>
        </w:rPr>
        <w:drawing>
          <wp:inline distT="0" distB="0" distL="0" distR="0">
            <wp:extent cx="6852920" cy="14541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1DF"/>
        </w:rPr>
        <w:t>GM Executive Retirement Plan</w:t>
      </w:r>
    </w:p>
    <w:p>
      <w:pPr>
        <w:spacing w:after="0" w:line="171" w:lineRule="exact"/>
        <w:rPr>
          <w:sz w:val="20"/>
          <w:szCs w:val="20"/>
          <w:color w:val="auto"/>
        </w:rPr>
      </w:pPr>
    </w:p>
    <w:p>
      <w:pPr>
        <w:jc w:val="both"/>
        <w:ind w:left="220"/>
        <w:spacing w:after="0" w:line="286"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GM Executive Retirement Plan (“DB ERP”) is an unfunded, non-tax-qualified retirement program that covers eligible</w:t>
      </w:r>
      <w:r>
        <w:rPr>
          <w:rFonts w:ascii="Arial" w:cs="Arial" w:eastAsia="Arial" w:hAnsi="Arial"/>
          <w:sz w:val="16"/>
          <w:szCs w:val="16"/>
          <w:b w:val="1"/>
          <w:bCs w:val="1"/>
          <w:color w:val="0033A0"/>
        </w:rPr>
        <w:t xml:space="preserve"> </w:t>
      </w:r>
      <w:r>
        <w:rPr>
          <w:rFonts w:ascii="Arial" w:cs="Arial" w:eastAsia="Arial" w:hAnsi="Arial"/>
          <w:sz w:val="16"/>
          <w:szCs w:val="16"/>
          <w:color w:val="000000"/>
        </w:rPr>
        <w:t>executives to provide retirement benefits above amounts available under our other pension programs.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Benefit Formula:</w:t>
      </w:r>
    </w:p>
    <w:p>
      <w:pPr>
        <w:spacing w:after="0" w:line="180"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b w:val="1"/>
          <w:bCs w:val="1"/>
          <w:color w:val="0033A0"/>
        </w:rPr>
        <w:t xml:space="preserve">Service Prior to January 1, 2007: </w:t>
      </w:r>
      <w:r>
        <w:rPr>
          <w:rFonts w:ascii="Arial" w:cs="Arial" w:eastAsia="Arial" w:hAnsi="Arial"/>
          <w:sz w:val="16"/>
          <w:szCs w:val="16"/>
          <w:color w:val="000000"/>
        </w:rPr>
        <w:t>The supplemental pension will equal the greater of (a) 2% of the average monthly base salary multiplied by all years</w:t>
      </w:r>
      <w:r>
        <w:rPr>
          <w:rFonts w:ascii="Arial" w:cs="Arial" w:eastAsia="Arial" w:hAnsi="Arial"/>
          <w:sz w:val="16"/>
          <w:szCs w:val="16"/>
          <w:b w:val="1"/>
          <w:bCs w:val="1"/>
          <w:color w:val="0033A0"/>
        </w:rPr>
        <w:t xml:space="preserve"> </w:t>
      </w:r>
      <w:r>
        <w:rPr>
          <w:rFonts w:ascii="Arial" w:cs="Arial" w:eastAsia="Arial" w:hAnsi="Arial"/>
          <w:sz w:val="16"/>
          <w:szCs w:val="16"/>
          <w:color w:val="000000"/>
        </w:rPr>
        <w:t>of contributory service less the sum of all benefits payable under the GM SRP plus the maximum Social Security benefit as of January 2007 multiplied by all years of contributory service or (b) 1.5% of the average monthly base salary plus annual incentive plan compensation multiplied by all years of contributory service, up to a maximum of 35 years, less the sum of all benefits payable under the GM SRP plus 100% of the maximum Social Security benefit as of January 2007. In both cases, the base salary and annual incentive plan payments are determined using the highest 60 months out of the last 120 months prior to retirement.</w:t>
      </w:r>
    </w:p>
    <w:p>
      <w:pPr>
        <w:spacing w:after="0" w:line="73" w:lineRule="exact"/>
        <w:rPr>
          <w:sz w:val="20"/>
          <w:szCs w:val="20"/>
          <w:color w:val="auto"/>
        </w:rPr>
      </w:pPr>
    </w:p>
    <w:p>
      <w:pPr>
        <w:jc w:val="both"/>
        <w:ind w:left="220"/>
        <w:spacing w:after="0" w:line="266" w:lineRule="auto"/>
        <w:rPr>
          <w:sz w:val="20"/>
          <w:szCs w:val="20"/>
          <w:color w:val="auto"/>
        </w:rPr>
      </w:pPr>
      <w:r>
        <w:rPr>
          <w:rFonts w:ascii="Arial" w:cs="Arial" w:eastAsia="Arial" w:hAnsi="Arial"/>
          <w:sz w:val="16"/>
          <w:szCs w:val="16"/>
          <w:b w:val="1"/>
          <w:bCs w:val="1"/>
          <w:color w:val="0033A0"/>
        </w:rPr>
        <w:t xml:space="preserve">Service from January 1, 2007, to September 30, 2012: </w:t>
      </w:r>
      <w:r>
        <w:rPr>
          <w:rFonts w:ascii="Arial" w:cs="Arial" w:eastAsia="Arial" w:hAnsi="Arial"/>
          <w:sz w:val="16"/>
          <w:szCs w:val="16"/>
          <w:color w:val="000000"/>
        </w:rPr>
        <w:t>For employees hired prior to January 1, 2001, the supplemental pension will equal 1.25%</w:t>
      </w:r>
      <w:r>
        <w:rPr>
          <w:rFonts w:ascii="Arial" w:cs="Arial" w:eastAsia="Arial" w:hAnsi="Arial"/>
          <w:sz w:val="16"/>
          <w:szCs w:val="16"/>
          <w:b w:val="1"/>
          <w:bCs w:val="1"/>
          <w:color w:val="0033A0"/>
        </w:rPr>
        <w:t xml:space="preserve"> </w:t>
      </w:r>
      <w:r>
        <w:rPr>
          <w:rFonts w:ascii="Arial" w:cs="Arial" w:eastAsia="Arial" w:hAnsi="Arial"/>
          <w:sz w:val="16"/>
          <w:szCs w:val="16"/>
          <w:color w:val="000000"/>
        </w:rPr>
        <w:t>multiplied by their annual base salary plus short-term incentive payments and is applicable to amounts in excess of the IRS-prescribed limit applicable to tax-qualified plans.</w:t>
      </w:r>
    </w:p>
    <w:p>
      <w:pPr>
        <w:spacing w:after="0" w:line="63" w:lineRule="exact"/>
        <w:rPr>
          <w:sz w:val="20"/>
          <w:szCs w:val="20"/>
          <w:color w:val="auto"/>
        </w:rPr>
      </w:pPr>
    </w:p>
    <w:p>
      <w:pPr>
        <w:jc w:val="both"/>
        <w:ind w:left="220"/>
        <w:spacing w:after="0" w:line="259"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Normal retirement age under the plan is age 65; however, employees who commenced service prior to January 1, 2007,</w:t>
      </w:r>
      <w:r>
        <w:rPr>
          <w:rFonts w:ascii="Arial" w:cs="Arial" w:eastAsia="Arial" w:hAnsi="Arial"/>
          <w:sz w:val="16"/>
          <w:szCs w:val="16"/>
          <w:b w:val="1"/>
          <w:bCs w:val="1"/>
          <w:color w:val="0033A0"/>
        </w:rPr>
        <w:t xml:space="preserve"> </w:t>
      </w:r>
      <w:r>
        <w:rPr>
          <w:rFonts w:ascii="Arial" w:cs="Arial" w:eastAsia="Arial" w:hAnsi="Arial"/>
          <w:sz w:val="16"/>
          <w:szCs w:val="16"/>
          <w:color w:val="000000"/>
        </w:rPr>
        <w:t>may retire at age 60 with 10 or more years of service without any reduction in benefits. Employees may also retire at age 55 with 10 or more years of service with benefits reduced using the same factors as are utilized for early retirement under the GM SRP. The GM DB ERP is payable as a five-year certain annuity, with payments starting upon the retirement of the executive and continuing for 60 months.</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1DF"/>
        </w:rPr>
        <w:t>VML Pension Plan</w:t>
      </w:r>
    </w:p>
    <w:p>
      <w:pPr>
        <w:spacing w:after="0" w:line="184" w:lineRule="exact"/>
        <w:rPr>
          <w:sz w:val="20"/>
          <w:szCs w:val="20"/>
          <w:color w:val="auto"/>
        </w:rPr>
      </w:pPr>
    </w:p>
    <w:p>
      <w:pPr>
        <w:jc w:val="both"/>
        <w:ind w:left="220"/>
        <w:spacing w:after="0" w:line="286"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Vauxhall Motors (“VML”) Pension Plan is a funded defined benefit plan open to all GM United Kingdom employees prior to</w:t>
      </w:r>
      <w:r>
        <w:rPr>
          <w:rFonts w:ascii="Arial" w:cs="Arial" w:eastAsia="Arial" w:hAnsi="Arial"/>
          <w:sz w:val="16"/>
          <w:szCs w:val="16"/>
          <w:b w:val="1"/>
          <w:bCs w:val="1"/>
          <w:color w:val="0033A0"/>
        </w:rPr>
        <w:t xml:space="preserve"> </w:t>
      </w:r>
      <w:r>
        <w:rPr>
          <w:rFonts w:ascii="Arial" w:cs="Arial" w:eastAsia="Arial" w:hAnsi="Arial"/>
          <w:sz w:val="16"/>
          <w:szCs w:val="16"/>
          <w:color w:val="000000"/>
        </w:rPr>
        <w:t>October 2012, when it closed to new entrants.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Benefit Formula:</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A0"/>
        </w:rPr>
        <w:t xml:space="preserve">Service Prior to May 31, 2009: </w:t>
      </w:r>
      <w:r>
        <w:rPr>
          <w:rFonts w:ascii="Arial" w:cs="Arial" w:eastAsia="Arial" w:hAnsi="Arial"/>
          <w:sz w:val="16"/>
          <w:szCs w:val="16"/>
          <w:color w:val="000000"/>
        </w:rPr>
        <w:t>The VML Pension Plan gave an annual pension equal to 1/55th times pensionable service times Final Pensionable Pay.</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Pensionable Pay is defined as basic pay less the lower earnings limit.</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A0"/>
        </w:rPr>
        <w:t xml:space="preserve">Service from June 1, 2009: </w:t>
      </w:r>
      <w:r>
        <w:rPr>
          <w:rFonts w:ascii="Arial" w:cs="Arial" w:eastAsia="Arial" w:hAnsi="Arial"/>
          <w:sz w:val="16"/>
          <w:szCs w:val="16"/>
          <w:color w:val="000000"/>
        </w:rPr>
        <w:t>The VML Pension plan gave an annual pension equal to 1/60th times pensionable service times Final Pensionable Pay.</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in pensionable pay are limited to the annual rate of Retail Price Index inflation other than for one-off increases due to promotions.</w:t>
      </w:r>
    </w:p>
    <w:p>
      <w:pPr>
        <w:spacing w:after="0" w:line="93" w:lineRule="exact"/>
        <w:rPr>
          <w:sz w:val="20"/>
          <w:szCs w:val="20"/>
          <w:color w:val="auto"/>
        </w:rPr>
      </w:pPr>
    </w:p>
    <w:p>
      <w:pPr>
        <w:jc w:val="both"/>
        <w:ind w:left="220" w:right="20"/>
        <w:spacing w:after="0" w:line="286"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Normal retirement age under the plan is age 65. Deferred members can take their pension from age 55 subject to a</w:t>
      </w:r>
      <w:r>
        <w:rPr>
          <w:rFonts w:ascii="Arial" w:cs="Arial" w:eastAsia="Arial" w:hAnsi="Arial"/>
          <w:sz w:val="16"/>
          <w:szCs w:val="16"/>
          <w:b w:val="1"/>
          <w:bCs w:val="1"/>
          <w:color w:val="0033A0"/>
        </w:rPr>
        <w:t xml:space="preserve"> </w:t>
      </w:r>
      <w:r>
        <w:rPr>
          <w:rFonts w:ascii="Arial" w:cs="Arial" w:eastAsia="Arial" w:hAnsi="Arial"/>
          <w:sz w:val="16"/>
          <w:szCs w:val="16"/>
          <w:color w:val="000000"/>
        </w:rPr>
        <w:t>reduction, using the plans early retirement factors.</w:t>
      </w: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3360" w:type="dxa"/>
            <w:vAlign w:val="bottom"/>
            <w:tcBorders>
              <w:top w:val="single" w:sz="8" w:color="00A1DF"/>
            </w:tcBorders>
          </w:tcPr>
          <w:p>
            <w:pPr>
              <w:spacing w:after="0"/>
              <w:rPr>
                <w:sz w:val="14"/>
                <w:szCs w:val="14"/>
                <w:color w:val="auto"/>
              </w:rPr>
            </w:pPr>
          </w:p>
        </w:tc>
        <w:tc>
          <w:tcPr>
            <w:tcW w:w="3140" w:type="dxa"/>
            <w:vAlign w:val="bottom"/>
            <w:tcBorders>
              <w:top w:val="single" w:sz="8" w:color="00A1DF"/>
            </w:tcBorders>
          </w:tcPr>
          <w:p>
            <w:pPr>
              <w:spacing w:after="0"/>
              <w:rPr>
                <w:sz w:val="14"/>
                <w:szCs w:val="14"/>
                <w:color w:val="auto"/>
              </w:rPr>
            </w:pPr>
          </w:p>
        </w:tc>
        <w:tc>
          <w:tcPr>
            <w:tcW w:w="1660" w:type="dxa"/>
            <w:vAlign w:val="bottom"/>
            <w:tcBorders>
              <w:top w:val="single" w:sz="8" w:color="00A1DF"/>
            </w:tcBorders>
          </w:tcPr>
          <w:p>
            <w:pPr>
              <w:jc w:val="right"/>
              <w:ind w:right="77"/>
              <w:spacing w:after="0" w:line="167" w:lineRule="exact"/>
              <w:rPr>
                <w:sz w:val="20"/>
                <w:szCs w:val="20"/>
                <w:color w:val="auto"/>
              </w:rPr>
            </w:pPr>
            <w:r>
              <w:rPr>
                <w:rFonts w:ascii="Arial" w:cs="Arial" w:eastAsia="Arial" w:hAnsi="Arial"/>
                <w:sz w:val="15"/>
                <w:szCs w:val="15"/>
                <w:b w:val="1"/>
                <w:bCs w:val="1"/>
                <w:color w:val="00A1DF"/>
              </w:rPr>
              <w:t>Number of Years</w:t>
            </w:r>
          </w:p>
        </w:tc>
        <w:tc>
          <w:tcPr>
            <w:tcW w:w="1380" w:type="dxa"/>
            <w:vAlign w:val="bottom"/>
            <w:tcBorders>
              <w:top w:val="single" w:sz="8" w:color="00A1DF"/>
            </w:tcBorders>
          </w:tcPr>
          <w:p>
            <w:pPr>
              <w:spacing w:after="0"/>
              <w:rPr>
                <w:sz w:val="14"/>
                <w:szCs w:val="14"/>
                <w:color w:val="auto"/>
              </w:rPr>
            </w:pPr>
          </w:p>
        </w:tc>
        <w:tc>
          <w:tcPr>
            <w:tcW w:w="1460" w:type="dxa"/>
            <w:vAlign w:val="bottom"/>
            <w:tcBorders>
              <w:top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tcPr>
          <w:p>
            <w:pPr>
              <w:jc w:val="right"/>
              <w:ind w:right="77"/>
              <w:spacing w:after="0" w:line="162" w:lineRule="exact"/>
              <w:rPr>
                <w:sz w:val="20"/>
                <w:szCs w:val="20"/>
                <w:color w:val="auto"/>
              </w:rPr>
            </w:pPr>
            <w:r>
              <w:rPr>
                <w:rFonts w:ascii="Arial" w:cs="Arial" w:eastAsia="Arial" w:hAnsi="Arial"/>
                <w:sz w:val="15"/>
                <w:szCs w:val="15"/>
                <w:b w:val="1"/>
                <w:bCs w:val="1"/>
                <w:color w:val="00A1DF"/>
              </w:rPr>
              <w:t>of Eligible Credited</w:t>
            </w:r>
          </w:p>
        </w:tc>
        <w:tc>
          <w:tcPr>
            <w:tcW w:w="1380" w:type="dxa"/>
            <w:vAlign w:val="bottom"/>
          </w:tcPr>
          <w:p>
            <w:pPr>
              <w:jc w:val="right"/>
              <w:ind w:right="42"/>
              <w:spacing w:after="0" w:line="162" w:lineRule="exact"/>
              <w:rPr>
                <w:sz w:val="20"/>
                <w:szCs w:val="20"/>
                <w:color w:val="auto"/>
              </w:rPr>
            </w:pPr>
            <w:r>
              <w:rPr>
                <w:rFonts w:ascii="Arial" w:cs="Arial" w:eastAsia="Arial" w:hAnsi="Arial"/>
                <w:sz w:val="15"/>
                <w:szCs w:val="15"/>
                <w:b w:val="1"/>
                <w:bCs w:val="1"/>
                <w:color w:val="00A1DF"/>
              </w:rPr>
              <w:t>Present Value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tcPr>
          <w:p>
            <w:pPr>
              <w:jc w:val="right"/>
              <w:ind w:right="77"/>
              <w:spacing w:after="0" w:line="162" w:lineRule="exact"/>
              <w:rPr>
                <w:sz w:val="20"/>
                <w:szCs w:val="20"/>
                <w:color w:val="auto"/>
              </w:rPr>
            </w:pPr>
            <w:r>
              <w:rPr>
                <w:rFonts w:ascii="Arial" w:cs="Arial" w:eastAsia="Arial" w:hAnsi="Arial"/>
                <w:sz w:val="15"/>
                <w:szCs w:val="15"/>
                <w:b w:val="1"/>
                <w:bCs w:val="1"/>
                <w:color w:val="00A1DF"/>
              </w:rPr>
              <w:t>Service as of</w:t>
            </w:r>
          </w:p>
        </w:tc>
        <w:tc>
          <w:tcPr>
            <w:tcW w:w="1380" w:type="dxa"/>
            <w:vAlign w:val="bottom"/>
          </w:tcPr>
          <w:p>
            <w:pPr>
              <w:jc w:val="right"/>
              <w:ind w:right="42"/>
              <w:spacing w:after="0" w:line="162" w:lineRule="exact"/>
              <w:rPr>
                <w:sz w:val="20"/>
                <w:szCs w:val="20"/>
                <w:color w:val="auto"/>
              </w:rPr>
            </w:pPr>
            <w:r>
              <w:rPr>
                <w:rFonts w:ascii="Arial" w:cs="Arial" w:eastAsia="Arial" w:hAnsi="Arial"/>
                <w:sz w:val="15"/>
                <w:szCs w:val="15"/>
                <w:b w:val="1"/>
                <w:bCs w:val="1"/>
                <w:color w:val="00A1DF"/>
              </w:rPr>
              <w:t>of Accumulated</w:t>
            </w:r>
          </w:p>
        </w:tc>
        <w:tc>
          <w:tcPr>
            <w:tcW w:w="1460" w:type="dxa"/>
            <w:vAlign w:val="bottom"/>
          </w:tcPr>
          <w:p>
            <w:pPr>
              <w:jc w:val="right"/>
              <w:ind w:right="19"/>
              <w:spacing w:after="0" w:line="162" w:lineRule="exact"/>
              <w:rPr>
                <w:sz w:val="20"/>
                <w:szCs w:val="20"/>
                <w:color w:val="auto"/>
              </w:rPr>
            </w:pPr>
            <w:r>
              <w:rPr>
                <w:rFonts w:ascii="Arial" w:cs="Arial" w:eastAsia="Arial" w:hAnsi="Arial"/>
                <w:sz w:val="15"/>
                <w:szCs w:val="15"/>
                <w:b w:val="1"/>
                <w:bCs w:val="1"/>
                <w:color w:val="00A1DF"/>
              </w:rPr>
              <w:t>Payments During</w:t>
            </w:r>
          </w:p>
        </w:tc>
        <w:tc>
          <w:tcPr>
            <w:tcW w:w="0" w:type="dxa"/>
            <w:vAlign w:val="bottom"/>
          </w:tcPr>
          <w:p>
            <w:pPr>
              <w:spacing w:after="0"/>
              <w:rPr>
                <w:sz w:val="1"/>
                <w:szCs w:val="1"/>
                <w:color w:val="auto"/>
              </w:rPr>
            </w:pPr>
          </w:p>
        </w:tc>
      </w:tr>
      <w:tr>
        <w:trPr>
          <w:trHeight w:val="25"/>
        </w:trPr>
        <w:tc>
          <w:tcPr>
            <w:tcW w:w="3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60" w:type="dxa"/>
            <w:vAlign w:val="bottom"/>
          </w:tcPr>
          <w:p>
            <w:pPr>
              <w:jc w:val="right"/>
              <w:ind w:right="77"/>
              <w:spacing w:after="0"/>
              <w:rPr>
                <w:sz w:val="20"/>
                <w:szCs w:val="20"/>
                <w:color w:val="auto"/>
              </w:rPr>
            </w:pPr>
            <w:r>
              <w:rPr>
                <w:rFonts w:ascii="Arial" w:cs="Arial" w:eastAsia="Arial" w:hAnsi="Arial"/>
                <w:sz w:val="2"/>
                <w:szCs w:val="2"/>
                <w:b w:val="1"/>
                <w:bCs w:val="1"/>
                <w:color w:val="00A1DF"/>
              </w:rPr>
              <w:t>December 31,</w:t>
            </w:r>
          </w:p>
        </w:tc>
        <w:tc>
          <w:tcPr>
            <w:tcW w:w="1380" w:type="dxa"/>
            <w:vAlign w:val="bottom"/>
          </w:tcPr>
          <w:p>
            <w:pPr>
              <w:jc w:val="right"/>
              <w:ind w:right="202"/>
              <w:spacing w:after="0"/>
              <w:rPr>
                <w:sz w:val="20"/>
                <w:szCs w:val="20"/>
                <w:color w:val="auto"/>
              </w:rPr>
            </w:pPr>
            <w:r>
              <w:rPr>
                <w:rFonts w:ascii="Arial" w:cs="Arial" w:eastAsia="Arial" w:hAnsi="Arial"/>
                <w:sz w:val="2"/>
                <w:szCs w:val="2"/>
                <w:b w:val="1"/>
                <w:bCs w:val="1"/>
                <w:color w:val="00A1DF"/>
              </w:rPr>
              <w:t>Benefits</w:t>
            </w:r>
          </w:p>
        </w:tc>
        <w:tc>
          <w:tcPr>
            <w:tcW w:w="1460" w:type="dxa"/>
            <w:vAlign w:val="bottom"/>
          </w:tcPr>
          <w:p>
            <w:pPr>
              <w:jc w:val="right"/>
              <w:ind w:right="19"/>
              <w:spacing w:after="0"/>
              <w:rPr>
                <w:sz w:val="20"/>
                <w:szCs w:val="20"/>
                <w:color w:val="auto"/>
              </w:rPr>
            </w:pPr>
            <w:r>
              <w:rPr>
                <w:rFonts w:ascii="Arial" w:cs="Arial" w:eastAsia="Arial" w:hAnsi="Arial"/>
                <w:sz w:val="2"/>
                <w:szCs w:val="2"/>
                <w:b w:val="1"/>
                <w:bCs w:val="1"/>
                <w:color w:val="00A1DF"/>
              </w:rPr>
              <w:t>Last Fiscal Year</w:t>
            </w:r>
          </w:p>
        </w:tc>
        <w:tc>
          <w:tcPr>
            <w:tcW w:w="0" w:type="dxa"/>
            <w:vAlign w:val="bottom"/>
          </w:tcPr>
          <w:p>
            <w:pPr>
              <w:spacing w:after="0" w:line="20" w:lineRule="exact"/>
              <w:rPr>
                <w:sz w:val="1"/>
                <w:szCs w:val="1"/>
                <w:color w:val="auto"/>
              </w:rPr>
            </w:pPr>
          </w:p>
        </w:tc>
      </w:tr>
      <w:tr>
        <w:trPr>
          <w:trHeight w:val="137"/>
        </w:trPr>
        <w:tc>
          <w:tcPr>
            <w:tcW w:w="3360" w:type="dxa"/>
            <w:vAlign w:val="bottom"/>
            <w:vMerge w:val="restart"/>
          </w:tcPr>
          <w:p>
            <w:pPr>
              <w:ind w:left="80"/>
              <w:spacing w:after="0" w:line="162" w:lineRule="exact"/>
              <w:rPr>
                <w:sz w:val="20"/>
                <w:szCs w:val="20"/>
                <w:color w:val="auto"/>
              </w:rPr>
            </w:pPr>
            <w:r>
              <w:rPr>
                <w:rFonts w:ascii="Arial" w:cs="Arial" w:eastAsia="Arial" w:hAnsi="Arial"/>
                <w:sz w:val="15"/>
                <w:szCs w:val="15"/>
                <w:b w:val="1"/>
                <w:bCs w:val="1"/>
                <w:color w:val="00A1DF"/>
              </w:rPr>
              <w:t>Name</w:t>
            </w:r>
          </w:p>
        </w:tc>
        <w:tc>
          <w:tcPr>
            <w:tcW w:w="3140" w:type="dxa"/>
            <w:vAlign w:val="bottom"/>
            <w:vMerge w:val="restart"/>
          </w:tcPr>
          <w:p>
            <w:pPr>
              <w:ind w:left="1780"/>
              <w:spacing w:after="0" w:line="162" w:lineRule="exact"/>
              <w:rPr>
                <w:sz w:val="20"/>
                <w:szCs w:val="20"/>
                <w:color w:val="auto"/>
              </w:rPr>
            </w:pPr>
            <w:r>
              <w:rPr>
                <w:rFonts w:ascii="Arial" w:cs="Arial" w:eastAsia="Arial" w:hAnsi="Arial"/>
                <w:sz w:val="15"/>
                <w:szCs w:val="15"/>
                <w:b w:val="1"/>
                <w:bCs w:val="1"/>
                <w:color w:val="00A1DF"/>
              </w:rPr>
              <w:t>Plan Name</w:t>
            </w:r>
          </w:p>
        </w:tc>
        <w:tc>
          <w:tcPr>
            <w:tcW w:w="1660" w:type="dxa"/>
            <w:vAlign w:val="bottom"/>
            <w:vMerge w:val="restart"/>
          </w:tcPr>
          <w:p>
            <w:pPr>
              <w:jc w:val="right"/>
              <w:ind w:right="237"/>
              <w:spacing w:after="0" w:line="162" w:lineRule="exact"/>
              <w:rPr>
                <w:sz w:val="20"/>
                <w:szCs w:val="20"/>
                <w:color w:val="auto"/>
              </w:rPr>
            </w:pPr>
            <w:r>
              <w:rPr>
                <w:rFonts w:ascii="Arial" w:cs="Arial" w:eastAsia="Arial" w:hAnsi="Arial"/>
                <w:sz w:val="15"/>
                <w:szCs w:val="15"/>
                <w:b w:val="1"/>
                <w:bCs w:val="1"/>
                <w:color w:val="00A1DF"/>
              </w:rPr>
              <w:t>2018</w:t>
            </w:r>
          </w:p>
        </w:tc>
        <w:tc>
          <w:tcPr>
            <w:tcW w:w="1380" w:type="dxa"/>
            <w:vAlign w:val="bottom"/>
          </w:tcPr>
          <w:p>
            <w:pPr>
              <w:jc w:val="right"/>
              <w:ind w:right="42"/>
              <w:spacing w:after="0" w:line="137" w:lineRule="exact"/>
              <w:rPr>
                <w:sz w:val="20"/>
                <w:szCs w:val="20"/>
                <w:color w:val="auto"/>
              </w:rPr>
            </w:pPr>
            <w:r>
              <w:rPr>
                <w:rFonts w:ascii="Arial" w:cs="Arial" w:eastAsia="Arial" w:hAnsi="Arial"/>
                <w:sz w:val="13"/>
                <w:szCs w:val="13"/>
                <w:b w:val="1"/>
                <w:bCs w:val="1"/>
                <w:color w:val="00A1DF"/>
              </w:rPr>
              <w:t>(2)</w:t>
            </w:r>
          </w:p>
        </w:tc>
        <w:tc>
          <w:tcPr>
            <w:tcW w:w="1460" w:type="dxa"/>
            <w:vAlign w:val="bottom"/>
            <w:vMerge w:val="restart"/>
          </w:tcPr>
          <w:p>
            <w:pPr>
              <w:jc w:val="right"/>
              <w:ind w:right="19"/>
              <w:spacing w:after="0" w:line="162" w:lineRule="exact"/>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25"/>
        </w:trPr>
        <w:tc>
          <w:tcPr>
            <w:tcW w:w="3360" w:type="dxa"/>
            <w:vAlign w:val="bottom"/>
            <w:vMerge w:val="continue"/>
          </w:tcPr>
          <w:p>
            <w:pPr>
              <w:spacing w:after="0"/>
              <w:rPr>
                <w:sz w:val="2"/>
                <w:szCs w:val="2"/>
                <w:color w:val="auto"/>
              </w:rPr>
            </w:pPr>
          </w:p>
        </w:tc>
        <w:tc>
          <w:tcPr>
            <w:tcW w:w="314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1380" w:type="dxa"/>
            <w:vAlign w:val="bottom"/>
          </w:tcPr>
          <w:p>
            <w:pPr>
              <w:jc w:val="right"/>
              <w:ind w:right="42"/>
              <w:spacing w:after="0"/>
              <w:rPr>
                <w:sz w:val="20"/>
                <w:szCs w:val="20"/>
                <w:color w:val="auto"/>
              </w:rPr>
            </w:pPr>
            <w:r>
              <w:rPr>
                <w:rFonts w:ascii="Arial" w:cs="Arial" w:eastAsia="Arial" w:hAnsi="Arial"/>
                <w:sz w:val="2"/>
                <w:szCs w:val="2"/>
                <w:b w:val="1"/>
                <w:bCs w:val="1"/>
                <w:color w:val="00A1DF"/>
              </w:rPr>
              <w:t>($)</w:t>
            </w: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tcBorders>
              <w:bottom w:val="single" w:sz="8" w:color="00A1DF"/>
            </w:tcBorders>
          </w:tcPr>
          <w:p>
            <w:pPr>
              <w:spacing w:after="0"/>
              <w:rPr>
                <w:sz w:val="14"/>
                <w:szCs w:val="14"/>
                <w:color w:val="auto"/>
              </w:rPr>
            </w:pPr>
          </w:p>
        </w:tc>
        <w:tc>
          <w:tcPr>
            <w:tcW w:w="3140" w:type="dxa"/>
            <w:vAlign w:val="bottom"/>
            <w:tcBorders>
              <w:bottom w:val="single" w:sz="8" w:color="00A1DF"/>
            </w:tcBorders>
          </w:tcPr>
          <w:p>
            <w:pPr>
              <w:spacing w:after="0"/>
              <w:rPr>
                <w:sz w:val="14"/>
                <w:szCs w:val="14"/>
                <w:color w:val="auto"/>
              </w:rPr>
            </w:pPr>
          </w:p>
        </w:tc>
        <w:tc>
          <w:tcPr>
            <w:tcW w:w="1660" w:type="dxa"/>
            <w:vAlign w:val="bottom"/>
            <w:tcBorders>
              <w:bottom w:val="single" w:sz="8" w:color="00A1DF"/>
            </w:tcBorders>
          </w:tcPr>
          <w:p>
            <w:pPr>
              <w:jc w:val="right"/>
              <w:ind w:right="77"/>
              <w:spacing w:after="0"/>
              <w:rPr>
                <w:sz w:val="20"/>
                <w:szCs w:val="20"/>
                <w:color w:val="auto"/>
              </w:rPr>
            </w:pPr>
            <w:r>
              <w:rPr>
                <w:rFonts w:ascii="Arial" w:cs="Arial" w:eastAsia="Arial" w:hAnsi="Arial"/>
                <w:sz w:val="13"/>
                <w:szCs w:val="13"/>
                <w:b w:val="1"/>
                <w:bCs w:val="1"/>
                <w:color w:val="00A1DF"/>
              </w:rPr>
              <w:t>(1)</w:t>
            </w:r>
          </w:p>
        </w:tc>
        <w:tc>
          <w:tcPr>
            <w:tcW w:w="1380" w:type="dxa"/>
            <w:vAlign w:val="bottom"/>
            <w:tcBorders>
              <w:bottom w:val="single" w:sz="8" w:color="00A1DF"/>
            </w:tcBorders>
          </w:tcPr>
          <w:p>
            <w:pPr>
              <w:spacing w:after="0"/>
              <w:rPr>
                <w:sz w:val="14"/>
                <w:szCs w:val="14"/>
                <w:color w:val="auto"/>
              </w:rPr>
            </w:pPr>
          </w:p>
        </w:tc>
        <w:tc>
          <w:tcPr>
            <w:tcW w:w="1460" w:type="dxa"/>
            <w:vAlign w:val="bottom"/>
            <w:tcBorders>
              <w:bottom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60" w:type="dxa"/>
            <w:vAlign w:val="bottom"/>
          </w:tcPr>
          <w:p>
            <w:pPr>
              <w:ind w:left="60"/>
              <w:spacing w:after="0" w:line="166" w:lineRule="exact"/>
              <w:rPr>
                <w:sz w:val="20"/>
                <w:szCs w:val="20"/>
                <w:color w:val="auto"/>
              </w:rPr>
            </w:pPr>
            <w:r>
              <w:rPr>
                <w:rFonts w:ascii="Arial" w:cs="Arial" w:eastAsia="Arial" w:hAnsi="Arial"/>
                <w:sz w:val="15"/>
                <w:szCs w:val="15"/>
                <w:color w:val="auto"/>
              </w:rPr>
              <w:t>Mary T. Barra</w:t>
            </w:r>
          </w:p>
        </w:tc>
        <w:tc>
          <w:tcPr>
            <w:tcW w:w="3140" w:type="dxa"/>
            <w:vAlign w:val="bottom"/>
          </w:tcPr>
          <w:p>
            <w:pPr>
              <w:ind w:left="1780"/>
              <w:spacing w:after="0" w:line="166" w:lineRule="exact"/>
              <w:rPr>
                <w:sz w:val="20"/>
                <w:szCs w:val="20"/>
                <w:color w:val="auto"/>
              </w:rPr>
            </w:pPr>
            <w:r>
              <w:rPr>
                <w:rFonts w:ascii="Arial" w:cs="Arial" w:eastAsia="Arial" w:hAnsi="Arial"/>
                <w:sz w:val="15"/>
                <w:szCs w:val="15"/>
                <w:color w:val="auto"/>
              </w:rPr>
              <w:t>SRP</w:t>
            </w:r>
          </w:p>
        </w:tc>
        <w:tc>
          <w:tcPr>
            <w:tcW w:w="1660" w:type="dxa"/>
            <w:vAlign w:val="bottom"/>
          </w:tcPr>
          <w:p>
            <w:pPr>
              <w:jc w:val="right"/>
              <w:ind w:right="77"/>
              <w:spacing w:after="0" w:line="166" w:lineRule="exact"/>
              <w:rPr>
                <w:sz w:val="20"/>
                <w:szCs w:val="20"/>
                <w:color w:val="auto"/>
              </w:rPr>
            </w:pPr>
            <w:r>
              <w:rPr>
                <w:rFonts w:ascii="Arial" w:cs="Arial" w:eastAsia="Arial" w:hAnsi="Arial"/>
                <w:sz w:val="15"/>
                <w:szCs w:val="15"/>
                <w:color w:val="auto"/>
              </w:rPr>
              <w:t>36.3</w:t>
            </w:r>
          </w:p>
        </w:tc>
        <w:tc>
          <w:tcPr>
            <w:tcW w:w="1380" w:type="dxa"/>
            <w:vAlign w:val="bottom"/>
          </w:tcPr>
          <w:p>
            <w:pPr>
              <w:jc w:val="right"/>
              <w:ind w:right="42"/>
              <w:spacing w:after="0" w:line="166" w:lineRule="exact"/>
              <w:rPr>
                <w:sz w:val="20"/>
                <w:szCs w:val="20"/>
                <w:color w:val="auto"/>
              </w:rPr>
            </w:pPr>
            <w:r>
              <w:rPr>
                <w:rFonts w:ascii="Arial" w:cs="Arial" w:eastAsia="Arial" w:hAnsi="Arial"/>
                <w:sz w:val="15"/>
                <w:szCs w:val="15"/>
                <w:color w:val="auto"/>
              </w:rPr>
              <w:t>1,061,151</w:t>
            </w:r>
          </w:p>
        </w:tc>
        <w:tc>
          <w:tcPr>
            <w:tcW w:w="1460" w:type="dxa"/>
            <w:vAlign w:val="bottom"/>
          </w:tcPr>
          <w:p>
            <w:pPr>
              <w:jc w:val="right"/>
              <w:ind w:right="19"/>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3140" w:type="dxa"/>
            <w:vAlign w:val="bottom"/>
          </w:tcPr>
          <w:p>
            <w:pPr>
              <w:ind w:left="1780"/>
              <w:spacing w:after="0"/>
              <w:rPr>
                <w:sz w:val="20"/>
                <w:szCs w:val="20"/>
                <w:color w:val="auto"/>
              </w:rPr>
            </w:pPr>
            <w:r>
              <w:rPr>
                <w:rFonts w:ascii="Arial" w:cs="Arial" w:eastAsia="Arial" w:hAnsi="Arial"/>
                <w:sz w:val="15"/>
                <w:szCs w:val="15"/>
                <w:color w:val="auto"/>
              </w:rPr>
              <w:t>DB ERP</w:t>
            </w:r>
          </w:p>
        </w:tc>
        <w:tc>
          <w:tcPr>
            <w:tcW w:w="1660" w:type="dxa"/>
            <w:vAlign w:val="bottom"/>
          </w:tcPr>
          <w:p>
            <w:pPr>
              <w:jc w:val="right"/>
              <w:ind w:right="77"/>
              <w:spacing w:after="0"/>
              <w:rPr>
                <w:sz w:val="20"/>
                <w:szCs w:val="20"/>
                <w:color w:val="auto"/>
              </w:rPr>
            </w:pPr>
            <w:r>
              <w:rPr>
                <w:rFonts w:ascii="Arial" w:cs="Arial" w:eastAsia="Arial" w:hAnsi="Arial"/>
                <w:sz w:val="15"/>
                <w:szCs w:val="15"/>
                <w:color w:val="auto"/>
              </w:rPr>
              <w:t>36.3</w:t>
            </w:r>
          </w:p>
        </w:tc>
        <w:tc>
          <w:tcPr>
            <w:tcW w:w="1380" w:type="dxa"/>
            <w:vAlign w:val="bottom"/>
          </w:tcPr>
          <w:p>
            <w:pPr>
              <w:jc w:val="right"/>
              <w:ind w:right="42"/>
              <w:spacing w:after="0"/>
              <w:rPr>
                <w:sz w:val="20"/>
                <w:szCs w:val="20"/>
                <w:color w:val="auto"/>
              </w:rPr>
            </w:pPr>
            <w:r>
              <w:rPr>
                <w:rFonts w:ascii="Arial" w:cs="Arial" w:eastAsia="Arial" w:hAnsi="Arial"/>
                <w:sz w:val="15"/>
                <w:szCs w:val="15"/>
                <w:color w:val="auto"/>
              </w:rPr>
              <w:t>943,710</w:t>
            </w:r>
          </w:p>
        </w:tc>
        <w:tc>
          <w:tcPr>
            <w:tcW w:w="1460" w:type="dxa"/>
            <w:vAlign w:val="bottom"/>
          </w:tcPr>
          <w:p>
            <w:pPr>
              <w:jc w:val="right"/>
              <w:ind w:right="1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36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60"/>
              <w:spacing w:after="0"/>
              <w:rPr>
                <w:sz w:val="20"/>
                <w:szCs w:val="20"/>
                <w:color w:val="auto"/>
              </w:rPr>
            </w:pPr>
            <w:r>
              <w:rPr>
                <w:rFonts w:ascii="Arial" w:cs="Arial" w:eastAsia="Arial" w:hAnsi="Arial"/>
                <w:sz w:val="15"/>
                <w:szCs w:val="15"/>
                <w:color w:val="auto"/>
              </w:rPr>
              <w:t>Dhivya Suryadevara</w:t>
            </w:r>
          </w:p>
        </w:tc>
        <w:tc>
          <w:tcPr>
            <w:tcW w:w="3140" w:type="dxa"/>
            <w:vAlign w:val="bottom"/>
          </w:tcPr>
          <w:p>
            <w:pPr>
              <w:ind w:left="1780"/>
              <w:spacing w:after="0"/>
              <w:rPr>
                <w:sz w:val="20"/>
                <w:szCs w:val="20"/>
                <w:color w:val="auto"/>
              </w:rPr>
            </w:pPr>
            <w:r>
              <w:rPr>
                <w:rFonts w:ascii="Arial" w:cs="Arial" w:eastAsia="Arial" w:hAnsi="Arial"/>
                <w:sz w:val="15"/>
                <w:szCs w:val="15"/>
                <w:color w:val="auto"/>
              </w:rPr>
              <w:t>SRP</w:t>
            </w:r>
          </w:p>
        </w:tc>
        <w:tc>
          <w:tcPr>
            <w:tcW w:w="1660" w:type="dxa"/>
            <w:vAlign w:val="bottom"/>
          </w:tcPr>
          <w:p>
            <w:pPr>
              <w:jc w:val="right"/>
              <w:ind w:right="77"/>
              <w:spacing w:after="0"/>
              <w:rPr>
                <w:sz w:val="20"/>
                <w:szCs w:val="20"/>
                <w:color w:val="auto"/>
              </w:rPr>
            </w:pPr>
            <w:r>
              <w:rPr>
                <w:rFonts w:ascii="Arial" w:cs="Arial" w:eastAsia="Arial" w:hAnsi="Arial"/>
                <w:sz w:val="15"/>
                <w:szCs w:val="15"/>
                <w:color w:val="auto"/>
              </w:rPr>
              <w:t>14.3</w:t>
            </w:r>
          </w:p>
        </w:tc>
        <w:tc>
          <w:tcPr>
            <w:tcW w:w="1380" w:type="dxa"/>
            <w:vAlign w:val="bottom"/>
          </w:tcPr>
          <w:p>
            <w:pPr>
              <w:jc w:val="right"/>
              <w:ind w:right="42"/>
              <w:spacing w:after="0"/>
              <w:rPr>
                <w:sz w:val="20"/>
                <w:szCs w:val="20"/>
                <w:color w:val="auto"/>
              </w:rPr>
            </w:pPr>
            <w:r>
              <w:rPr>
                <w:rFonts w:ascii="Arial" w:cs="Arial" w:eastAsia="Arial" w:hAnsi="Arial"/>
                <w:sz w:val="15"/>
                <w:szCs w:val="15"/>
                <w:color w:val="auto"/>
              </w:rPr>
              <w:t>9,572</w:t>
            </w:r>
          </w:p>
        </w:tc>
        <w:tc>
          <w:tcPr>
            <w:tcW w:w="1460" w:type="dxa"/>
            <w:vAlign w:val="bottom"/>
          </w:tcPr>
          <w:p>
            <w:pPr>
              <w:jc w:val="right"/>
              <w:ind w:right="1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2"/>
        </w:trPr>
        <w:tc>
          <w:tcPr>
            <w:tcW w:w="3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
        </w:trPr>
        <w:tc>
          <w:tcPr>
            <w:tcW w:w="3360" w:type="dxa"/>
            <w:vAlign w:val="bottom"/>
            <w:shd w:val="clear" w:color="auto" w:fill="000000"/>
          </w:tcPr>
          <w:p>
            <w:pPr>
              <w:ind w:left="60"/>
              <w:spacing w:after="0" w:line="18" w:lineRule="exact"/>
              <w:rPr>
                <w:sz w:val="20"/>
                <w:szCs w:val="20"/>
                <w:color w:val="auto"/>
              </w:rPr>
            </w:pPr>
            <w:r>
              <w:rPr>
                <w:rFonts w:ascii="Arial" w:cs="Arial" w:eastAsia="Arial" w:hAnsi="Arial"/>
                <w:sz w:val="2"/>
                <w:szCs w:val="2"/>
                <w:color w:val="auto"/>
              </w:rPr>
              <w:t>Daniel Ammann</w:t>
            </w:r>
          </w:p>
        </w:tc>
        <w:tc>
          <w:tcPr>
            <w:tcW w:w="3140" w:type="dxa"/>
            <w:vAlign w:val="bottom"/>
            <w:shd w:val="clear" w:color="auto" w:fill="000000"/>
          </w:tcPr>
          <w:p>
            <w:pPr>
              <w:ind w:left="1780"/>
              <w:spacing w:after="0" w:line="18" w:lineRule="exact"/>
              <w:rPr>
                <w:sz w:val="20"/>
                <w:szCs w:val="20"/>
                <w:color w:val="auto"/>
              </w:rPr>
            </w:pPr>
            <w:r>
              <w:rPr>
                <w:rFonts w:ascii="Arial" w:cs="Arial" w:eastAsia="Arial" w:hAnsi="Arial"/>
                <w:sz w:val="2"/>
                <w:szCs w:val="2"/>
                <w:color w:val="auto"/>
              </w:rPr>
              <w:t>—</w:t>
            </w:r>
          </w:p>
        </w:tc>
        <w:tc>
          <w:tcPr>
            <w:tcW w:w="1660" w:type="dxa"/>
            <w:vAlign w:val="bottom"/>
            <w:shd w:val="clear" w:color="auto" w:fill="000000"/>
          </w:tcPr>
          <w:p>
            <w:pPr>
              <w:jc w:val="right"/>
              <w:ind w:right="77"/>
              <w:spacing w:after="0" w:line="18" w:lineRule="exact"/>
              <w:rPr>
                <w:sz w:val="20"/>
                <w:szCs w:val="20"/>
                <w:color w:val="auto"/>
              </w:rPr>
            </w:pPr>
            <w:r>
              <w:rPr>
                <w:rFonts w:ascii="Arial" w:cs="Arial" w:eastAsia="Arial" w:hAnsi="Arial"/>
                <w:sz w:val="2"/>
                <w:szCs w:val="2"/>
                <w:color w:val="auto"/>
              </w:rPr>
              <w:t>—</w:t>
            </w:r>
          </w:p>
        </w:tc>
        <w:tc>
          <w:tcPr>
            <w:tcW w:w="1380" w:type="dxa"/>
            <w:vAlign w:val="bottom"/>
            <w:shd w:val="clear" w:color="auto" w:fill="000000"/>
          </w:tcPr>
          <w:p>
            <w:pPr>
              <w:jc w:val="right"/>
              <w:ind w:right="42"/>
              <w:spacing w:after="0" w:line="18" w:lineRule="exact"/>
              <w:rPr>
                <w:sz w:val="20"/>
                <w:szCs w:val="20"/>
                <w:color w:val="auto"/>
              </w:rPr>
            </w:pPr>
            <w:r>
              <w:rPr>
                <w:rFonts w:ascii="Arial" w:cs="Arial" w:eastAsia="Arial" w:hAnsi="Arial"/>
                <w:sz w:val="2"/>
                <w:szCs w:val="2"/>
                <w:color w:val="auto"/>
              </w:rPr>
              <w:t>—</w:t>
            </w:r>
          </w:p>
        </w:tc>
        <w:tc>
          <w:tcPr>
            <w:tcW w:w="1460" w:type="dxa"/>
            <w:vAlign w:val="bottom"/>
            <w:shd w:val="clear" w:color="auto" w:fill="000000"/>
          </w:tcPr>
          <w:p>
            <w:pPr>
              <w:jc w:val="right"/>
              <w:ind w:right="19"/>
              <w:spacing w:after="0" w:line="18"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56"/>
        </w:trPr>
        <w:tc>
          <w:tcPr>
            <w:tcW w:w="3360" w:type="dxa"/>
            <w:vAlign w:val="bottom"/>
          </w:tcPr>
          <w:p>
            <w:pPr>
              <w:ind w:left="1140"/>
              <w:spacing w:after="0"/>
              <w:rPr>
                <w:sz w:val="20"/>
                <w:szCs w:val="20"/>
                <w:color w:val="auto"/>
              </w:rPr>
            </w:pPr>
            <w:r>
              <w:rPr>
                <w:rFonts w:ascii="Arial" w:cs="Arial" w:eastAsia="Arial" w:hAnsi="Arial"/>
                <w:sz w:val="13"/>
                <w:szCs w:val="13"/>
                <w:color w:val="auto"/>
              </w:rPr>
              <w:t>(3)</w:t>
            </w:r>
          </w:p>
        </w:tc>
        <w:tc>
          <w:tcPr>
            <w:tcW w:w="3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336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3360" w:type="dxa"/>
            <w:vAlign w:val="bottom"/>
          </w:tcPr>
          <w:p>
            <w:pPr>
              <w:ind w:left="60"/>
              <w:spacing w:after="0" w:line="166" w:lineRule="exact"/>
              <w:rPr>
                <w:sz w:val="20"/>
                <w:szCs w:val="20"/>
                <w:color w:val="auto"/>
              </w:rPr>
            </w:pPr>
            <w:r>
              <w:rPr>
                <w:rFonts w:ascii="Arial" w:cs="Arial" w:eastAsia="Arial" w:hAnsi="Arial"/>
                <w:sz w:val="15"/>
                <w:szCs w:val="15"/>
                <w:color w:val="auto"/>
              </w:rPr>
              <w:t>Mark L. Reuss</w:t>
            </w:r>
          </w:p>
        </w:tc>
        <w:tc>
          <w:tcPr>
            <w:tcW w:w="3140" w:type="dxa"/>
            <w:vAlign w:val="bottom"/>
          </w:tcPr>
          <w:p>
            <w:pPr>
              <w:ind w:left="1780"/>
              <w:spacing w:after="0" w:line="166" w:lineRule="exact"/>
              <w:rPr>
                <w:sz w:val="20"/>
                <w:szCs w:val="20"/>
                <w:color w:val="auto"/>
              </w:rPr>
            </w:pPr>
            <w:r>
              <w:rPr>
                <w:rFonts w:ascii="Arial" w:cs="Arial" w:eastAsia="Arial" w:hAnsi="Arial"/>
                <w:sz w:val="15"/>
                <w:szCs w:val="15"/>
                <w:color w:val="auto"/>
              </w:rPr>
              <w:t>SRP</w:t>
            </w:r>
          </w:p>
        </w:tc>
        <w:tc>
          <w:tcPr>
            <w:tcW w:w="1660" w:type="dxa"/>
            <w:vAlign w:val="bottom"/>
          </w:tcPr>
          <w:p>
            <w:pPr>
              <w:jc w:val="right"/>
              <w:ind w:right="77"/>
              <w:spacing w:after="0" w:line="166" w:lineRule="exact"/>
              <w:rPr>
                <w:sz w:val="20"/>
                <w:szCs w:val="20"/>
                <w:color w:val="auto"/>
              </w:rPr>
            </w:pPr>
            <w:r>
              <w:rPr>
                <w:rFonts w:ascii="Arial" w:cs="Arial" w:eastAsia="Arial" w:hAnsi="Arial"/>
                <w:sz w:val="15"/>
                <w:szCs w:val="15"/>
                <w:color w:val="auto"/>
              </w:rPr>
              <w:t>31.8</w:t>
            </w:r>
          </w:p>
        </w:tc>
        <w:tc>
          <w:tcPr>
            <w:tcW w:w="1380" w:type="dxa"/>
            <w:vAlign w:val="bottom"/>
          </w:tcPr>
          <w:p>
            <w:pPr>
              <w:jc w:val="right"/>
              <w:ind w:right="42"/>
              <w:spacing w:after="0" w:line="166" w:lineRule="exact"/>
              <w:rPr>
                <w:sz w:val="20"/>
                <w:szCs w:val="20"/>
                <w:color w:val="auto"/>
              </w:rPr>
            </w:pPr>
            <w:r>
              <w:rPr>
                <w:rFonts w:ascii="Arial" w:cs="Arial" w:eastAsia="Arial" w:hAnsi="Arial"/>
                <w:sz w:val="15"/>
                <w:szCs w:val="15"/>
                <w:color w:val="auto"/>
              </w:rPr>
              <w:t>846,630</w:t>
            </w:r>
          </w:p>
        </w:tc>
        <w:tc>
          <w:tcPr>
            <w:tcW w:w="1460" w:type="dxa"/>
            <w:vAlign w:val="bottom"/>
          </w:tcPr>
          <w:p>
            <w:pPr>
              <w:jc w:val="right"/>
              <w:ind w:right="19"/>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3140" w:type="dxa"/>
            <w:vAlign w:val="bottom"/>
          </w:tcPr>
          <w:p>
            <w:pPr>
              <w:ind w:left="1780"/>
              <w:spacing w:after="0"/>
              <w:rPr>
                <w:sz w:val="20"/>
                <w:szCs w:val="20"/>
                <w:color w:val="auto"/>
              </w:rPr>
            </w:pPr>
            <w:r>
              <w:rPr>
                <w:rFonts w:ascii="Arial" w:cs="Arial" w:eastAsia="Arial" w:hAnsi="Arial"/>
                <w:sz w:val="15"/>
                <w:szCs w:val="15"/>
                <w:color w:val="auto"/>
              </w:rPr>
              <w:t>DB ERP</w:t>
            </w:r>
          </w:p>
        </w:tc>
        <w:tc>
          <w:tcPr>
            <w:tcW w:w="1660" w:type="dxa"/>
            <w:vAlign w:val="bottom"/>
          </w:tcPr>
          <w:p>
            <w:pPr>
              <w:jc w:val="right"/>
              <w:ind w:right="77"/>
              <w:spacing w:after="0"/>
              <w:rPr>
                <w:sz w:val="20"/>
                <w:szCs w:val="20"/>
                <w:color w:val="auto"/>
              </w:rPr>
            </w:pPr>
            <w:r>
              <w:rPr>
                <w:rFonts w:ascii="Arial" w:cs="Arial" w:eastAsia="Arial" w:hAnsi="Arial"/>
                <w:sz w:val="15"/>
                <w:szCs w:val="15"/>
                <w:color w:val="auto"/>
              </w:rPr>
              <w:t>31.8</w:t>
            </w:r>
          </w:p>
        </w:tc>
        <w:tc>
          <w:tcPr>
            <w:tcW w:w="1380" w:type="dxa"/>
            <w:vAlign w:val="bottom"/>
          </w:tcPr>
          <w:p>
            <w:pPr>
              <w:jc w:val="right"/>
              <w:ind w:right="42"/>
              <w:spacing w:after="0"/>
              <w:rPr>
                <w:sz w:val="20"/>
                <w:szCs w:val="20"/>
                <w:color w:val="auto"/>
              </w:rPr>
            </w:pPr>
            <w:r>
              <w:rPr>
                <w:rFonts w:ascii="Arial" w:cs="Arial" w:eastAsia="Arial" w:hAnsi="Arial"/>
                <w:sz w:val="15"/>
                <w:szCs w:val="15"/>
                <w:color w:val="auto"/>
              </w:rPr>
              <w:t>581,956</w:t>
            </w:r>
          </w:p>
        </w:tc>
        <w:tc>
          <w:tcPr>
            <w:tcW w:w="1460" w:type="dxa"/>
            <w:vAlign w:val="bottom"/>
          </w:tcPr>
          <w:p>
            <w:pPr>
              <w:jc w:val="right"/>
              <w:ind w:right="1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36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
        </w:trPr>
        <w:tc>
          <w:tcPr>
            <w:tcW w:w="3360" w:type="dxa"/>
            <w:vAlign w:val="bottom"/>
            <w:shd w:val="clear" w:color="auto" w:fill="000000"/>
          </w:tcPr>
          <w:p>
            <w:pPr>
              <w:ind w:left="60"/>
              <w:spacing w:after="0" w:line="18" w:lineRule="exact"/>
              <w:rPr>
                <w:sz w:val="20"/>
                <w:szCs w:val="20"/>
                <w:color w:val="auto"/>
              </w:rPr>
            </w:pPr>
            <w:r>
              <w:rPr>
                <w:rFonts w:ascii="Arial" w:cs="Arial" w:eastAsia="Arial" w:hAnsi="Arial"/>
                <w:sz w:val="2"/>
                <w:szCs w:val="2"/>
                <w:color w:val="auto"/>
              </w:rPr>
              <w:t>Alan S. Batey</w:t>
            </w:r>
          </w:p>
        </w:tc>
        <w:tc>
          <w:tcPr>
            <w:tcW w:w="3140" w:type="dxa"/>
            <w:vAlign w:val="bottom"/>
            <w:shd w:val="clear" w:color="auto" w:fill="000000"/>
          </w:tcPr>
          <w:p>
            <w:pPr>
              <w:ind w:left="1780"/>
              <w:spacing w:after="0" w:line="18" w:lineRule="exact"/>
              <w:rPr>
                <w:sz w:val="20"/>
                <w:szCs w:val="20"/>
                <w:color w:val="auto"/>
              </w:rPr>
            </w:pPr>
            <w:r>
              <w:rPr>
                <w:rFonts w:ascii="Arial" w:cs="Arial" w:eastAsia="Arial" w:hAnsi="Arial"/>
                <w:sz w:val="2"/>
                <w:szCs w:val="2"/>
                <w:color w:val="auto"/>
              </w:rPr>
              <w:t>SRP</w:t>
            </w:r>
          </w:p>
        </w:tc>
        <w:tc>
          <w:tcPr>
            <w:tcW w:w="1660" w:type="dxa"/>
            <w:vAlign w:val="bottom"/>
            <w:shd w:val="clear" w:color="auto" w:fill="000000"/>
          </w:tcPr>
          <w:p>
            <w:pPr>
              <w:jc w:val="right"/>
              <w:ind w:right="77"/>
              <w:spacing w:after="0" w:line="18" w:lineRule="exact"/>
              <w:rPr>
                <w:sz w:val="20"/>
                <w:szCs w:val="20"/>
                <w:color w:val="auto"/>
              </w:rPr>
            </w:pPr>
            <w:r>
              <w:rPr>
                <w:rFonts w:ascii="Arial" w:cs="Arial" w:eastAsia="Arial" w:hAnsi="Arial"/>
                <w:sz w:val="2"/>
                <w:szCs w:val="2"/>
                <w:color w:val="auto"/>
              </w:rPr>
              <w:t>39.3</w:t>
            </w:r>
          </w:p>
        </w:tc>
        <w:tc>
          <w:tcPr>
            <w:tcW w:w="1380" w:type="dxa"/>
            <w:vAlign w:val="bottom"/>
            <w:shd w:val="clear" w:color="auto" w:fill="000000"/>
          </w:tcPr>
          <w:p>
            <w:pPr>
              <w:jc w:val="right"/>
              <w:ind w:right="42"/>
              <w:spacing w:after="0" w:line="18" w:lineRule="exact"/>
              <w:rPr>
                <w:sz w:val="20"/>
                <w:szCs w:val="20"/>
                <w:color w:val="auto"/>
              </w:rPr>
            </w:pPr>
            <w:r>
              <w:rPr>
                <w:rFonts w:ascii="Arial" w:cs="Arial" w:eastAsia="Arial" w:hAnsi="Arial"/>
                <w:sz w:val="2"/>
                <w:szCs w:val="2"/>
                <w:color w:val="auto"/>
              </w:rPr>
              <w:t>50,912</w:t>
            </w:r>
          </w:p>
        </w:tc>
        <w:tc>
          <w:tcPr>
            <w:tcW w:w="1460" w:type="dxa"/>
            <w:vAlign w:val="bottom"/>
            <w:shd w:val="clear" w:color="auto" w:fill="000000"/>
          </w:tcPr>
          <w:p>
            <w:pPr>
              <w:jc w:val="right"/>
              <w:ind w:right="19"/>
              <w:spacing w:after="0" w:line="18"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56"/>
        </w:trPr>
        <w:tc>
          <w:tcPr>
            <w:tcW w:w="3360" w:type="dxa"/>
            <w:vAlign w:val="bottom"/>
          </w:tcPr>
          <w:p>
            <w:pPr>
              <w:ind w:left="980"/>
              <w:spacing w:after="0"/>
              <w:rPr>
                <w:sz w:val="20"/>
                <w:szCs w:val="20"/>
                <w:color w:val="auto"/>
              </w:rPr>
            </w:pPr>
            <w:r>
              <w:rPr>
                <w:rFonts w:ascii="Arial" w:cs="Arial" w:eastAsia="Arial" w:hAnsi="Arial"/>
                <w:sz w:val="13"/>
                <w:szCs w:val="13"/>
                <w:color w:val="auto"/>
              </w:rPr>
              <w:t>(4)</w:t>
            </w:r>
          </w:p>
        </w:tc>
        <w:tc>
          <w:tcPr>
            <w:tcW w:w="3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3140" w:type="dxa"/>
            <w:vAlign w:val="bottom"/>
          </w:tcPr>
          <w:p>
            <w:pPr>
              <w:ind w:left="1780"/>
              <w:spacing w:after="0"/>
              <w:rPr>
                <w:sz w:val="20"/>
                <w:szCs w:val="20"/>
                <w:color w:val="auto"/>
              </w:rPr>
            </w:pPr>
            <w:r>
              <w:rPr>
                <w:rFonts w:ascii="Arial" w:cs="Arial" w:eastAsia="Arial" w:hAnsi="Arial"/>
                <w:sz w:val="15"/>
                <w:szCs w:val="15"/>
                <w:color w:val="auto"/>
              </w:rPr>
              <w:t>VML Pension Plan</w:t>
            </w:r>
          </w:p>
        </w:tc>
        <w:tc>
          <w:tcPr>
            <w:tcW w:w="1660" w:type="dxa"/>
            <w:vAlign w:val="bottom"/>
          </w:tcPr>
          <w:p>
            <w:pPr>
              <w:jc w:val="right"/>
              <w:ind w:right="77"/>
              <w:spacing w:after="0"/>
              <w:rPr>
                <w:sz w:val="20"/>
                <w:szCs w:val="20"/>
                <w:color w:val="auto"/>
              </w:rPr>
            </w:pPr>
            <w:r>
              <w:rPr>
                <w:rFonts w:ascii="Arial" w:cs="Arial" w:eastAsia="Arial" w:hAnsi="Arial"/>
                <w:sz w:val="15"/>
                <w:szCs w:val="15"/>
                <w:color w:val="auto"/>
              </w:rPr>
              <w:t>31.8</w:t>
            </w:r>
          </w:p>
        </w:tc>
        <w:tc>
          <w:tcPr>
            <w:tcW w:w="1380" w:type="dxa"/>
            <w:vAlign w:val="bottom"/>
          </w:tcPr>
          <w:p>
            <w:pPr>
              <w:jc w:val="right"/>
              <w:ind w:right="42"/>
              <w:spacing w:after="0"/>
              <w:rPr>
                <w:sz w:val="20"/>
                <w:szCs w:val="20"/>
                <w:color w:val="auto"/>
              </w:rPr>
            </w:pPr>
            <w:r>
              <w:rPr>
                <w:rFonts w:ascii="Arial" w:cs="Arial" w:eastAsia="Arial" w:hAnsi="Arial"/>
                <w:sz w:val="15"/>
                <w:szCs w:val="15"/>
                <w:color w:val="auto"/>
              </w:rPr>
              <w:t>2,601,491</w:t>
            </w:r>
          </w:p>
        </w:tc>
        <w:tc>
          <w:tcPr>
            <w:tcW w:w="1460" w:type="dxa"/>
            <w:vAlign w:val="bottom"/>
          </w:tcPr>
          <w:p>
            <w:pPr>
              <w:jc w:val="right"/>
              <w:ind w:right="1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36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360" w:type="dxa"/>
            <w:vAlign w:val="bottom"/>
          </w:tcPr>
          <w:p>
            <w:pPr>
              <w:ind w:left="60"/>
              <w:spacing w:after="0" w:line="166" w:lineRule="exact"/>
              <w:rPr>
                <w:sz w:val="20"/>
                <w:szCs w:val="20"/>
                <w:color w:val="auto"/>
              </w:rPr>
            </w:pPr>
            <w:r>
              <w:rPr>
                <w:rFonts w:ascii="Arial" w:cs="Arial" w:eastAsia="Arial" w:hAnsi="Arial"/>
                <w:sz w:val="15"/>
                <w:szCs w:val="15"/>
                <w:color w:val="auto"/>
              </w:rPr>
              <w:t>Charles K. Stevens, III</w:t>
            </w:r>
          </w:p>
        </w:tc>
        <w:tc>
          <w:tcPr>
            <w:tcW w:w="3140" w:type="dxa"/>
            <w:vAlign w:val="bottom"/>
          </w:tcPr>
          <w:p>
            <w:pPr>
              <w:ind w:left="1780"/>
              <w:spacing w:after="0" w:line="166" w:lineRule="exact"/>
              <w:rPr>
                <w:sz w:val="20"/>
                <w:szCs w:val="20"/>
                <w:color w:val="auto"/>
              </w:rPr>
            </w:pPr>
            <w:r>
              <w:rPr>
                <w:rFonts w:ascii="Arial" w:cs="Arial" w:eastAsia="Arial" w:hAnsi="Arial"/>
                <w:sz w:val="15"/>
                <w:szCs w:val="15"/>
                <w:color w:val="auto"/>
              </w:rPr>
              <w:t>SRP</w:t>
            </w:r>
          </w:p>
        </w:tc>
        <w:tc>
          <w:tcPr>
            <w:tcW w:w="1660" w:type="dxa"/>
            <w:vAlign w:val="bottom"/>
          </w:tcPr>
          <w:p>
            <w:pPr>
              <w:jc w:val="right"/>
              <w:ind w:right="77"/>
              <w:spacing w:after="0" w:line="166" w:lineRule="exact"/>
              <w:rPr>
                <w:sz w:val="20"/>
                <w:szCs w:val="20"/>
                <w:color w:val="auto"/>
              </w:rPr>
            </w:pPr>
            <w:r>
              <w:rPr>
                <w:rFonts w:ascii="Arial" w:cs="Arial" w:eastAsia="Arial" w:hAnsi="Arial"/>
                <w:sz w:val="15"/>
                <w:szCs w:val="15"/>
                <w:color w:val="auto"/>
              </w:rPr>
              <w:t>39.5</w:t>
            </w:r>
          </w:p>
        </w:tc>
        <w:tc>
          <w:tcPr>
            <w:tcW w:w="1380" w:type="dxa"/>
            <w:vAlign w:val="bottom"/>
          </w:tcPr>
          <w:p>
            <w:pPr>
              <w:jc w:val="right"/>
              <w:ind w:right="42"/>
              <w:spacing w:after="0" w:line="166" w:lineRule="exact"/>
              <w:rPr>
                <w:sz w:val="20"/>
                <w:szCs w:val="20"/>
                <w:color w:val="auto"/>
              </w:rPr>
            </w:pPr>
            <w:r>
              <w:rPr>
                <w:rFonts w:ascii="Arial" w:cs="Arial" w:eastAsia="Arial" w:hAnsi="Arial"/>
                <w:sz w:val="15"/>
                <w:szCs w:val="15"/>
                <w:color w:val="auto"/>
              </w:rPr>
              <w:t>1,160,088</w:t>
            </w:r>
          </w:p>
        </w:tc>
        <w:tc>
          <w:tcPr>
            <w:tcW w:w="1460" w:type="dxa"/>
            <w:vAlign w:val="bottom"/>
          </w:tcPr>
          <w:p>
            <w:pPr>
              <w:jc w:val="right"/>
              <w:ind w:right="19"/>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3140" w:type="dxa"/>
            <w:vAlign w:val="bottom"/>
          </w:tcPr>
          <w:p>
            <w:pPr>
              <w:ind w:left="1780"/>
              <w:spacing w:after="0"/>
              <w:rPr>
                <w:sz w:val="20"/>
                <w:szCs w:val="20"/>
                <w:color w:val="auto"/>
              </w:rPr>
            </w:pPr>
            <w:r>
              <w:rPr>
                <w:rFonts w:ascii="Arial" w:cs="Arial" w:eastAsia="Arial" w:hAnsi="Arial"/>
                <w:sz w:val="15"/>
                <w:szCs w:val="15"/>
                <w:color w:val="auto"/>
              </w:rPr>
              <w:t>DB ERP</w:t>
            </w:r>
          </w:p>
        </w:tc>
        <w:tc>
          <w:tcPr>
            <w:tcW w:w="1660" w:type="dxa"/>
            <w:vAlign w:val="bottom"/>
          </w:tcPr>
          <w:p>
            <w:pPr>
              <w:jc w:val="right"/>
              <w:ind w:right="77"/>
              <w:spacing w:after="0"/>
              <w:rPr>
                <w:sz w:val="20"/>
                <w:szCs w:val="20"/>
                <w:color w:val="auto"/>
              </w:rPr>
            </w:pPr>
            <w:r>
              <w:rPr>
                <w:rFonts w:ascii="Arial" w:cs="Arial" w:eastAsia="Arial" w:hAnsi="Arial"/>
                <w:sz w:val="15"/>
                <w:szCs w:val="15"/>
                <w:color w:val="auto"/>
              </w:rPr>
              <w:t>39.5</w:t>
            </w:r>
          </w:p>
        </w:tc>
        <w:tc>
          <w:tcPr>
            <w:tcW w:w="1380" w:type="dxa"/>
            <w:vAlign w:val="bottom"/>
          </w:tcPr>
          <w:p>
            <w:pPr>
              <w:jc w:val="right"/>
              <w:ind w:right="42"/>
              <w:spacing w:after="0"/>
              <w:rPr>
                <w:sz w:val="20"/>
                <w:szCs w:val="20"/>
                <w:color w:val="auto"/>
              </w:rPr>
            </w:pPr>
            <w:r>
              <w:rPr>
                <w:rFonts w:ascii="Arial" w:cs="Arial" w:eastAsia="Arial" w:hAnsi="Arial"/>
                <w:sz w:val="15"/>
                <w:szCs w:val="15"/>
                <w:color w:val="auto"/>
              </w:rPr>
              <w:t>434,445</w:t>
            </w:r>
          </w:p>
        </w:tc>
        <w:tc>
          <w:tcPr>
            <w:tcW w:w="1460" w:type="dxa"/>
            <w:vAlign w:val="bottom"/>
          </w:tcPr>
          <w:p>
            <w:pPr>
              <w:jc w:val="right"/>
              <w:ind w:right="1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36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40" w:hanging="330"/>
        <w:spacing w:after="0"/>
        <w:tabs>
          <w:tab w:leader="none" w:pos="54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Eligible service recognizes credited service under the frozen qualified SRP in addition to future service to determine retirement eligibility.</w:t>
      </w:r>
    </w:p>
    <w:p>
      <w:pPr>
        <w:spacing w:after="0" w:line="68" w:lineRule="exact"/>
        <w:rPr>
          <w:rFonts w:ascii="Arial" w:cs="Arial" w:eastAsia="Arial" w:hAnsi="Arial"/>
          <w:sz w:val="14"/>
          <w:szCs w:val="14"/>
          <w:i w:val="1"/>
          <w:iCs w:val="1"/>
          <w:color w:val="auto"/>
        </w:rPr>
      </w:pPr>
    </w:p>
    <w:p>
      <w:pPr>
        <w:jc w:val="both"/>
        <w:ind w:left="540" w:hanging="330"/>
        <w:spacing w:after="0" w:line="250" w:lineRule="auto"/>
        <w:tabs>
          <w:tab w:leader="none" w:pos="54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2018, FASB ASC Topic 715, “Compensation-Retirement Benefits,” except where needed to meet proxy statement requirements. The discount rates used for calculations as of December 31, 2018, for the SRP is 4.38%; for the DB ERP is 4.07%; and for the VML Pension Plan is 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81915</wp:posOffset>
            </wp:positionV>
            <wp:extent cx="6758305" cy="1282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13"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63</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5" w:lineRule="exact"/>
        <w:rPr>
          <w:sz w:val="20"/>
          <w:szCs w:val="20"/>
          <w:color w:val="auto"/>
        </w:rPr>
      </w:pPr>
    </w:p>
    <w:p>
      <w:pPr>
        <w:ind w:left="540" w:hanging="330"/>
        <w:spacing w:after="0"/>
        <w:tabs>
          <w:tab w:leader="none" w:pos="5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Mr. Ammann is eligible to participate only in defined contribution plans offered by the Company.</w:t>
      </w:r>
    </w:p>
    <w:p>
      <w:pPr>
        <w:spacing w:after="0" w:line="68" w:lineRule="exact"/>
        <w:rPr>
          <w:rFonts w:ascii="Arial" w:cs="Arial" w:eastAsia="Arial" w:hAnsi="Arial"/>
          <w:sz w:val="14"/>
          <w:szCs w:val="14"/>
          <w:i w:val="1"/>
          <w:iCs w:val="1"/>
          <w:color w:val="auto"/>
        </w:rPr>
      </w:pPr>
    </w:p>
    <w:p>
      <w:pPr>
        <w:ind w:left="540" w:hanging="330"/>
        <w:spacing w:after="0"/>
        <w:tabs>
          <w:tab w:leader="none" w:pos="5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Mr. Batey is a participant in the VML Pension Plan from his service in the United Kingdom.</w:t>
      </w:r>
    </w:p>
    <w:p>
      <w:pPr>
        <w:spacing w:after="0" w:line="349" w:lineRule="exact"/>
        <w:rPr>
          <w:sz w:val="20"/>
          <w:szCs w:val="20"/>
          <w:color w:val="auto"/>
        </w:rPr>
      </w:pPr>
    </w:p>
    <w:p>
      <w:pPr>
        <w:ind w:left="640" w:hanging="430"/>
        <w:spacing w:after="0"/>
        <w:tabs>
          <w:tab w:leader="none" w:pos="640" w:val="left"/>
        </w:tabs>
        <w:numPr>
          <w:ilvl w:val="0"/>
          <w:numId w:val="125"/>
        </w:numPr>
        <w:rPr>
          <w:rFonts w:ascii="Arial" w:cs="Arial" w:eastAsia="Arial" w:hAnsi="Arial"/>
          <w:sz w:val="25"/>
          <w:szCs w:val="25"/>
          <w:color w:val="0033A0"/>
        </w:rPr>
      </w:pPr>
      <w:r>
        <w:rPr>
          <w:rFonts w:ascii="Arial" w:cs="Arial" w:eastAsia="Arial" w:hAnsi="Arial"/>
          <w:sz w:val="25"/>
          <w:szCs w:val="25"/>
          <w:color w:val="auto"/>
        </w:rPr>
        <w:t>Nonqualified Deferred Compensation Plan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maintain certain deferred compensation programs and arrangements for executives.</w:t>
      </w:r>
    </w:p>
    <w:p>
      <w:pPr>
        <w:spacing w:after="0" w:line="113"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 of the IRC, as amended. The DC ERP is maintained as an unfunded plan and we bear all expenses for administration of the plan and payment of amounts to participants.</w:t>
      </w:r>
    </w:p>
    <w:p>
      <w:pPr>
        <w:spacing w:after="0" w:line="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Aggregate account balances disclosed below include both vested and unvested contributions by GM. Contributions made prior to 2007 were vested immediately. Contributions made between January 1, 2007, and September 30, 2012, vest when the participant attains age 55 with 10 years of service and the benefit is payable as a five-year certain annuity, with payments starting upon the retirement of the executive and continuing for 60 months. Contributions made on October 1, 2012, and later vest when the participant attains three years of service, regardless of age, and the benefit is payable as a 100% lump sum upon the retirement of the executive.</w:t>
      </w:r>
    </w:p>
    <w:p>
      <w:pPr>
        <w:spacing w:after="0" w:line="98"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The table below reflects December 31, 2018, balances for the nonqualified deferred compensation plan and any contributions, earnings, or withdrawals during the year.</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3020" w:type="dxa"/>
            <w:vAlign w:val="bottom"/>
            <w:tcBorders>
              <w:top w:val="single" w:sz="8" w:color="00A1DF"/>
            </w:tcBorders>
          </w:tcPr>
          <w:p>
            <w:pPr>
              <w:spacing w:after="0"/>
              <w:rPr>
                <w:sz w:val="14"/>
                <w:szCs w:val="14"/>
                <w:color w:val="auto"/>
              </w:rPr>
            </w:pPr>
          </w:p>
        </w:tc>
        <w:tc>
          <w:tcPr>
            <w:tcW w:w="2080" w:type="dxa"/>
            <w:vAlign w:val="bottom"/>
            <w:tcBorders>
              <w:top w:val="single" w:sz="8" w:color="00A1DF"/>
            </w:tcBorders>
          </w:tcPr>
          <w:p>
            <w:pPr>
              <w:spacing w:after="0"/>
              <w:rPr>
                <w:sz w:val="14"/>
                <w:szCs w:val="14"/>
                <w:color w:val="auto"/>
              </w:rPr>
            </w:pPr>
          </w:p>
        </w:tc>
        <w:tc>
          <w:tcPr>
            <w:tcW w:w="1160" w:type="dxa"/>
            <w:vAlign w:val="bottom"/>
            <w:tcBorders>
              <w:top w:val="single" w:sz="8" w:color="00A1DF"/>
            </w:tcBorders>
          </w:tcPr>
          <w:p>
            <w:pPr>
              <w:jc w:val="right"/>
              <w:ind w:right="30"/>
              <w:spacing w:after="0" w:line="167" w:lineRule="exact"/>
              <w:rPr>
                <w:sz w:val="20"/>
                <w:szCs w:val="20"/>
                <w:color w:val="auto"/>
              </w:rPr>
            </w:pPr>
            <w:r>
              <w:rPr>
                <w:rFonts w:ascii="Arial" w:cs="Arial" w:eastAsia="Arial" w:hAnsi="Arial"/>
                <w:sz w:val="15"/>
                <w:szCs w:val="15"/>
                <w:b w:val="1"/>
                <w:bCs w:val="1"/>
                <w:color w:val="00A1DF"/>
              </w:rPr>
              <w:t>Executive</w:t>
            </w:r>
          </w:p>
        </w:tc>
        <w:tc>
          <w:tcPr>
            <w:tcW w:w="1160" w:type="dxa"/>
            <w:vAlign w:val="bottom"/>
            <w:tcBorders>
              <w:top w:val="single" w:sz="8" w:color="00A1DF"/>
            </w:tcBorders>
          </w:tcPr>
          <w:p>
            <w:pPr>
              <w:jc w:val="right"/>
              <w:ind w:right="10"/>
              <w:spacing w:after="0" w:line="167" w:lineRule="exact"/>
              <w:rPr>
                <w:sz w:val="20"/>
                <w:szCs w:val="20"/>
                <w:color w:val="auto"/>
              </w:rPr>
            </w:pPr>
            <w:r>
              <w:rPr>
                <w:rFonts w:ascii="Arial" w:cs="Arial" w:eastAsia="Arial" w:hAnsi="Arial"/>
                <w:sz w:val="15"/>
                <w:szCs w:val="15"/>
                <w:b w:val="1"/>
                <w:bCs w:val="1"/>
                <w:color w:val="00A1DF"/>
              </w:rPr>
              <w:t>Registrant</w:t>
            </w:r>
          </w:p>
        </w:tc>
        <w:tc>
          <w:tcPr>
            <w:tcW w:w="1160" w:type="dxa"/>
            <w:vAlign w:val="bottom"/>
            <w:tcBorders>
              <w:top w:val="single" w:sz="8" w:color="00A1DF"/>
            </w:tcBorders>
          </w:tcPr>
          <w:p>
            <w:pPr>
              <w:jc w:val="right"/>
              <w:ind w:right="50"/>
              <w:spacing w:after="0" w:line="167" w:lineRule="exact"/>
              <w:rPr>
                <w:sz w:val="20"/>
                <w:szCs w:val="20"/>
                <w:color w:val="auto"/>
              </w:rPr>
            </w:pPr>
            <w:r>
              <w:rPr>
                <w:rFonts w:ascii="Arial" w:cs="Arial" w:eastAsia="Arial" w:hAnsi="Arial"/>
                <w:sz w:val="15"/>
                <w:szCs w:val="15"/>
                <w:b w:val="1"/>
                <w:bCs w:val="1"/>
                <w:color w:val="00A1DF"/>
              </w:rPr>
              <w:t>Aggregate</w:t>
            </w:r>
          </w:p>
        </w:tc>
        <w:tc>
          <w:tcPr>
            <w:tcW w:w="1100" w:type="dxa"/>
            <w:vAlign w:val="bottom"/>
            <w:tcBorders>
              <w:top w:val="single" w:sz="8" w:color="00A1DF"/>
            </w:tcBorders>
          </w:tcPr>
          <w:p>
            <w:pPr>
              <w:jc w:val="right"/>
              <w:ind w:right="10"/>
              <w:spacing w:after="0" w:line="167" w:lineRule="exact"/>
              <w:rPr>
                <w:sz w:val="20"/>
                <w:szCs w:val="20"/>
                <w:color w:val="auto"/>
              </w:rPr>
            </w:pPr>
            <w:r>
              <w:rPr>
                <w:rFonts w:ascii="Arial" w:cs="Arial" w:eastAsia="Arial" w:hAnsi="Arial"/>
                <w:sz w:val="15"/>
                <w:szCs w:val="15"/>
                <w:b w:val="1"/>
                <w:bCs w:val="1"/>
                <w:color w:val="00A1DF"/>
              </w:rPr>
              <w:t>Aggregate</w:t>
            </w:r>
          </w:p>
        </w:tc>
        <w:tc>
          <w:tcPr>
            <w:tcW w:w="1320" w:type="dxa"/>
            <w:vAlign w:val="bottom"/>
            <w:tcBorders>
              <w:top w:val="single" w:sz="8" w:color="00A1DF"/>
            </w:tcBorders>
          </w:tcPr>
          <w:p>
            <w:pPr>
              <w:jc w:val="right"/>
              <w:ind w:right="10"/>
              <w:spacing w:after="0" w:line="167" w:lineRule="exact"/>
              <w:rPr>
                <w:sz w:val="20"/>
                <w:szCs w:val="20"/>
                <w:color w:val="auto"/>
              </w:rPr>
            </w:pPr>
            <w:r>
              <w:rPr>
                <w:rFonts w:ascii="Arial" w:cs="Arial" w:eastAsia="Arial" w:hAnsi="Arial"/>
                <w:sz w:val="15"/>
                <w:szCs w:val="15"/>
                <w:b w:val="1"/>
                <w:bCs w:val="1"/>
                <w:color w:val="00A1DF"/>
              </w:rPr>
              <w:t>Aggregate</w:t>
            </w:r>
          </w:p>
        </w:tc>
      </w:tr>
      <w:tr>
        <w:trPr>
          <w:trHeight w:val="162"/>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tcPr>
          <w:p>
            <w:pPr>
              <w:jc w:val="right"/>
              <w:ind w:right="30"/>
              <w:spacing w:after="0" w:line="162" w:lineRule="exact"/>
              <w:rPr>
                <w:sz w:val="20"/>
                <w:szCs w:val="20"/>
                <w:color w:val="auto"/>
              </w:rPr>
            </w:pPr>
            <w:r>
              <w:rPr>
                <w:rFonts w:ascii="Arial" w:cs="Arial" w:eastAsia="Arial" w:hAnsi="Arial"/>
                <w:sz w:val="15"/>
                <w:szCs w:val="15"/>
                <w:b w:val="1"/>
                <w:bCs w:val="1"/>
                <w:color w:val="00A1DF"/>
              </w:rPr>
              <w:t>Contributions</w:t>
            </w:r>
          </w:p>
        </w:tc>
        <w:tc>
          <w:tcPr>
            <w:tcW w:w="116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Contributions</w:t>
            </w:r>
          </w:p>
        </w:tc>
        <w:tc>
          <w:tcPr>
            <w:tcW w:w="1160" w:type="dxa"/>
            <w:vAlign w:val="bottom"/>
          </w:tcPr>
          <w:p>
            <w:pPr>
              <w:jc w:val="right"/>
              <w:ind w:right="50"/>
              <w:spacing w:after="0" w:line="162" w:lineRule="exact"/>
              <w:rPr>
                <w:sz w:val="20"/>
                <w:szCs w:val="20"/>
                <w:color w:val="auto"/>
              </w:rPr>
            </w:pPr>
            <w:r>
              <w:rPr>
                <w:rFonts w:ascii="Arial" w:cs="Arial" w:eastAsia="Arial" w:hAnsi="Arial"/>
                <w:sz w:val="15"/>
                <w:szCs w:val="15"/>
                <w:b w:val="1"/>
                <w:bCs w:val="1"/>
                <w:color w:val="00A1DF"/>
              </w:rPr>
              <w:t>Earnings</w:t>
            </w:r>
          </w:p>
        </w:tc>
        <w:tc>
          <w:tcPr>
            <w:tcW w:w="110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Withdrawals</w:t>
            </w:r>
          </w:p>
        </w:tc>
        <w:tc>
          <w:tcPr>
            <w:tcW w:w="132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Balance at 2018</w:t>
            </w:r>
          </w:p>
        </w:tc>
      </w:tr>
      <w:tr>
        <w:trPr>
          <w:trHeight w:val="162"/>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tcPr>
          <w:p>
            <w:pPr>
              <w:jc w:val="right"/>
              <w:ind w:right="30"/>
              <w:spacing w:after="0" w:line="162" w:lineRule="exact"/>
              <w:rPr>
                <w:sz w:val="20"/>
                <w:szCs w:val="20"/>
                <w:color w:val="auto"/>
              </w:rPr>
            </w:pPr>
            <w:r>
              <w:rPr>
                <w:rFonts w:ascii="Arial" w:cs="Arial" w:eastAsia="Arial" w:hAnsi="Arial"/>
                <w:sz w:val="15"/>
                <w:szCs w:val="15"/>
                <w:b w:val="1"/>
                <w:bCs w:val="1"/>
                <w:color w:val="00A1DF"/>
              </w:rPr>
              <w:t>in the Last</w:t>
            </w:r>
          </w:p>
        </w:tc>
        <w:tc>
          <w:tcPr>
            <w:tcW w:w="116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in the Last</w:t>
            </w:r>
          </w:p>
        </w:tc>
        <w:tc>
          <w:tcPr>
            <w:tcW w:w="1160" w:type="dxa"/>
            <w:vAlign w:val="bottom"/>
          </w:tcPr>
          <w:p>
            <w:pPr>
              <w:jc w:val="right"/>
              <w:ind w:right="50"/>
              <w:spacing w:after="0" w:line="162" w:lineRule="exact"/>
              <w:rPr>
                <w:sz w:val="20"/>
                <w:szCs w:val="20"/>
                <w:color w:val="auto"/>
              </w:rPr>
            </w:pPr>
            <w:r>
              <w:rPr>
                <w:rFonts w:ascii="Arial" w:cs="Arial" w:eastAsia="Arial" w:hAnsi="Arial"/>
                <w:sz w:val="15"/>
                <w:szCs w:val="15"/>
                <w:b w:val="1"/>
                <w:bCs w:val="1"/>
                <w:color w:val="00A1DF"/>
              </w:rPr>
              <w:t>in the Last</w:t>
            </w:r>
          </w:p>
        </w:tc>
        <w:tc>
          <w:tcPr>
            <w:tcW w:w="110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and</w:t>
            </w:r>
          </w:p>
        </w:tc>
        <w:tc>
          <w:tcPr>
            <w:tcW w:w="132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Fiscal</w:t>
            </w:r>
          </w:p>
        </w:tc>
      </w:tr>
      <w:tr>
        <w:trPr>
          <w:trHeight w:val="25"/>
        </w:trPr>
        <w:tc>
          <w:tcPr>
            <w:tcW w:w="3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jc w:val="right"/>
              <w:ind w:right="30"/>
              <w:spacing w:after="0"/>
              <w:rPr>
                <w:sz w:val="20"/>
                <w:szCs w:val="20"/>
                <w:color w:val="auto"/>
              </w:rPr>
            </w:pPr>
            <w:r>
              <w:rPr>
                <w:rFonts w:ascii="Arial" w:cs="Arial" w:eastAsia="Arial" w:hAnsi="Arial"/>
                <w:sz w:val="2"/>
                <w:szCs w:val="2"/>
                <w:b w:val="1"/>
                <w:bCs w:val="1"/>
                <w:color w:val="00A1DF"/>
              </w:rPr>
              <w:t>Fiscal Year</w:t>
            </w:r>
          </w:p>
        </w:tc>
        <w:tc>
          <w:tcPr>
            <w:tcW w:w="1160" w:type="dxa"/>
            <w:vAlign w:val="bottom"/>
          </w:tcPr>
          <w:p>
            <w:pPr>
              <w:jc w:val="right"/>
              <w:ind w:right="170"/>
              <w:spacing w:after="0"/>
              <w:rPr>
                <w:sz w:val="20"/>
                <w:szCs w:val="20"/>
                <w:color w:val="auto"/>
              </w:rPr>
            </w:pPr>
            <w:r>
              <w:rPr>
                <w:rFonts w:ascii="Arial" w:cs="Arial" w:eastAsia="Arial" w:hAnsi="Arial"/>
                <w:sz w:val="2"/>
                <w:szCs w:val="2"/>
                <w:b w:val="1"/>
                <w:bCs w:val="1"/>
                <w:color w:val="00A1DF"/>
              </w:rPr>
              <w:t>Fiscal Year</w:t>
            </w:r>
          </w:p>
        </w:tc>
        <w:tc>
          <w:tcPr>
            <w:tcW w:w="1160" w:type="dxa"/>
            <w:vAlign w:val="bottom"/>
          </w:tcPr>
          <w:p>
            <w:pPr>
              <w:jc w:val="right"/>
              <w:ind w:right="210"/>
              <w:spacing w:after="0"/>
              <w:rPr>
                <w:sz w:val="20"/>
                <w:szCs w:val="20"/>
                <w:color w:val="auto"/>
              </w:rPr>
            </w:pPr>
            <w:r>
              <w:rPr>
                <w:rFonts w:ascii="Arial" w:cs="Arial" w:eastAsia="Arial" w:hAnsi="Arial"/>
                <w:sz w:val="2"/>
                <w:szCs w:val="2"/>
                <w:b w:val="1"/>
                <w:bCs w:val="1"/>
                <w:color w:val="00A1DF"/>
              </w:rPr>
              <w:t>Fiscal Year</w:t>
            </w:r>
          </w:p>
        </w:tc>
        <w:tc>
          <w:tcPr>
            <w:tcW w:w="1100" w:type="dxa"/>
            <w:vAlign w:val="bottom"/>
          </w:tcPr>
          <w:p>
            <w:pPr>
              <w:jc w:val="right"/>
              <w:ind w:right="10"/>
              <w:spacing w:after="0"/>
              <w:rPr>
                <w:sz w:val="20"/>
                <w:szCs w:val="20"/>
                <w:color w:val="auto"/>
              </w:rPr>
            </w:pPr>
            <w:r>
              <w:rPr>
                <w:rFonts w:ascii="Arial" w:cs="Arial" w:eastAsia="Arial" w:hAnsi="Arial"/>
                <w:sz w:val="2"/>
                <w:szCs w:val="2"/>
                <w:b w:val="1"/>
                <w:bCs w:val="1"/>
                <w:color w:val="00A1DF"/>
              </w:rPr>
              <w:t>Distributions</w:t>
            </w:r>
          </w:p>
        </w:tc>
        <w:tc>
          <w:tcPr>
            <w:tcW w:w="1320" w:type="dxa"/>
            <w:vAlign w:val="bottom"/>
          </w:tcPr>
          <w:p>
            <w:pPr>
              <w:jc w:val="right"/>
              <w:ind w:right="170"/>
              <w:spacing w:after="0"/>
              <w:rPr>
                <w:sz w:val="20"/>
                <w:szCs w:val="20"/>
                <w:color w:val="auto"/>
              </w:rPr>
            </w:pPr>
            <w:r>
              <w:rPr>
                <w:rFonts w:ascii="Arial" w:cs="Arial" w:eastAsia="Arial" w:hAnsi="Arial"/>
                <w:sz w:val="2"/>
                <w:szCs w:val="2"/>
                <w:b w:val="1"/>
                <w:bCs w:val="1"/>
                <w:color w:val="00A1DF"/>
              </w:rPr>
              <w:t>Year End</w:t>
            </w:r>
          </w:p>
        </w:tc>
      </w:tr>
      <w:tr>
        <w:trPr>
          <w:trHeight w:val="137"/>
        </w:trPr>
        <w:tc>
          <w:tcPr>
            <w:tcW w:w="30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jc w:val="right"/>
              <w:ind w:right="10"/>
              <w:spacing w:after="0" w:line="137" w:lineRule="exact"/>
              <w:rPr>
                <w:sz w:val="20"/>
                <w:szCs w:val="20"/>
                <w:color w:val="auto"/>
              </w:rPr>
            </w:pPr>
            <w:r>
              <w:rPr>
                <w:rFonts w:ascii="Arial" w:cs="Arial" w:eastAsia="Arial" w:hAnsi="Arial"/>
                <w:sz w:val="13"/>
                <w:szCs w:val="13"/>
                <w:b w:val="1"/>
                <w:bCs w:val="1"/>
                <w:color w:val="00A1DF"/>
              </w:rPr>
              <w:t>(1)</w:t>
            </w:r>
          </w:p>
        </w:tc>
        <w:tc>
          <w:tcPr>
            <w:tcW w:w="1160" w:type="dxa"/>
            <w:vAlign w:val="bottom"/>
          </w:tcPr>
          <w:p>
            <w:pPr>
              <w:jc w:val="right"/>
              <w:ind w:right="50"/>
              <w:spacing w:after="0" w:line="137" w:lineRule="exact"/>
              <w:rPr>
                <w:sz w:val="20"/>
                <w:szCs w:val="20"/>
                <w:color w:val="auto"/>
              </w:rPr>
            </w:pPr>
            <w:r>
              <w:rPr>
                <w:rFonts w:ascii="Arial" w:cs="Arial" w:eastAsia="Arial" w:hAnsi="Arial"/>
                <w:sz w:val="13"/>
                <w:szCs w:val="13"/>
                <w:b w:val="1"/>
                <w:bCs w:val="1"/>
                <w:color w:val="00A1DF"/>
              </w:rPr>
              <w:t>(2)</w:t>
            </w:r>
          </w:p>
        </w:tc>
        <w:tc>
          <w:tcPr>
            <w:tcW w:w="1100" w:type="dxa"/>
            <w:vAlign w:val="bottom"/>
          </w:tcPr>
          <w:p>
            <w:pPr>
              <w:spacing w:after="0"/>
              <w:rPr>
                <w:sz w:val="11"/>
                <w:szCs w:val="11"/>
                <w:color w:val="auto"/>
              </w:rPr>
            </w:pPr>
          </w:p>
        </w:tc>
        <w:tc>
          <w:tcPr>
            <w:tcW w:w="1320" w:type="dxa"/>
            <w:vAlign w:val="bottom"/>
          </w:tcPr>
          <w:p>
            <w:pPr>
              <w:jc w:val="right"/>
              <w:ind w:right="10"/>
              <w:spacing w:after="0" w:line="137" w:lineRule="exact"/>
              <w:rPr>
                <w:sz w:val="20"/>
                <w:szCs w:val="20"/>
                <w:color w:val="auto"/>
              </w:rPr>
            </w:pPr>
            <w:r>
              <w:rPr>
                <w:rFonts w:ascii="Arial" w:cs="Arial" w:eastAsia="Arial" w:hAnsi="Arial"/>
                <w:sz w:val="13"/>
                <w:szCs w:val="13"/>
                <w:b w:val="1"/>
                <w:bCs w:val="1"/>
                <w:color w:val="00A1DF"/>
              </w:rPr>
              <w:t>(3)</w:t>
            </w:r>
          </w:p>
        </w:tc>
      </w:tr>
      <w:tr>
        <w:trPr>
          <w:trHeight w:val="197"/>
        </w:trPr>
        <w:tc>
          <w:tcPr>
            <w:tcW w:w="302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208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Plan</w:t>
            </w:r>
          </w:p>
        </w:tc>
        <w:tc>
          <w:tcPr>
            <w:tcW w:w="1160" w:type="dxa"/>
            <w:vAlign w:val="bottom"/>
            <w:tcBorders>
              <w:bottom w:val="single" w:sz="8" w:color="00A1DF"/>
            </w:tcBorders>
          </w:tcPr>
          <w:p>
            <w:pPr>
              <w:jc w:val="right"/>
              <w:ind w:right="30"/>
              <w:spacing w:after="0"/>
              <w:rPr>
                <w:sz w:val="20"/>
                <w:szCs w:val="20"/>
                <w:color w:val="auto"/>
              </w:rPr>
            </w:pPr>
            <w:r>
              <w:rPr>
                <w:rFonts w:ascii="Arial" w:cs="Arial" w:eastAsia="Arial" w:hAnsi="Arial"/>
                <w:sz w:val="15"/>
                <w:szCs w:val="15"/>
                <w:b w:val="1"/>
                <w:bCs w:val="1"/>
                <w:color w:val="00A1DF"/>
              </w:rPr>
              <w:t>($)</w:t>
            </w:r>
          </w:p>
        </w:tc>
        <w:tc>
          <w:tcPr>
            <w:tcW w:w="1160" w:type="dxa"/>
            <w:vAlign w:val="bottom"/>
            <w:tcBorders>
              <w:bottom w:val="single" w:sz="8" w:color="00A1DF"/>
            </w:tcBorders>
          </w:tcPr>
          <w:p>
            <w:pPr>
              <w:jc w:val="right"/>
              <w:ind w:right="10"/>
              <w:spacing w:after="0"/>
              <w:rPr>
                <w:sz w:val="20"/>
                <w:szCs w:val="20"/>
                <w:color w:val="auto"/>
              </w:rPr>
            </w:pPr>
            <w:r>
              <w:rPr>
                <w:rFonts w:ascii="Arial" w:cs="Arial" w:eastAsia="Arial" w:hAnsi="Arial"/>
                <w:sz w:val="15"/>
                <w:szCs w:val="15"/>
                <w:b w:val="1"/>
                <w:bCs w:val="1"/>
                <w:color w:val="00A1DF"/>
              </w:rPr>
              <w:t>($)</w:t>
            </w:r>
          </w:p>
        </w:tc>
        <w:tc>
          <w:tcPr>
            <w:tcW w:w="1160" w:type="dxa"/>
            <w:vAlign w:val="bottom"/>
            <w:tcBorders>
              <w:bottom w:val="single" w:sz="8" w:color="00A1DF"/>
            </w:tcBorders>
          </w:tcPr>
          <w:p>
            <w:pPr>
              <w:jc w:val="right"/>
              <w:ind w:right="50"/>
              <w:spacing w:after="0"/>
              <w:rPr>
                <w:sz w:val="20"/>
                <w:szCs w:val="20"/>
                <w:color w:val="auto"/>
              </w:rPr>
            </w:pPr>
            <w:r>
              <w:rPr>
                <w:rFonts w:ascii="Arial" w:cs="Arial" w:eastAsia="Arial" w:hAnsi="Arial"/>
                <w:sz w:val="15"/>
                <w:szCs w:val="15"/>
                <w:b w:val="1"/>
                <w:bCs w:val="1"/>
                <w:color w:val="00A1DF"/>
              </w:rPr>
              <w:t>($)</w:t>
            </w:r>
          </w:p>
        </w:tc>
        <w:tc>
          <w:tcPr>
            <w:tcW w:w="1100" w:type="dxa"/>
            <w:vAlign w:val="bottom"/>
            <w:tcBorders>
              <w:bottom w:val="single" w:sz="8" w:color="00A1DF"/>
            </w:tcBorders>
          </w:tcPr>
          <w:p>
            <w:pPr>
              <w:jc w:val="right"/>
              <w:ind w:right="10"/>
              <w:spacing w:after="0"/>
              <w:rPr>
                <w:sz w:val="20"/>
                <w:szCs w:val="20"/>
                <w:color w:val="auto"/>
              </w:rPr>
            </w:pPr>
            <w:r>
              <w:rPr>
                <w:rFonts w:ascii="Arial" w:cs="Arial" w:eastAsia="Arial" w:hAnsi="Arial"/>
                <w:sz w:val="15"/>
                <w:szCs w:val="15"/>
                <w:b w:val="1"/>
                <w:bCs w:val="1"/>
                <w:color w:val="00A1DF"/>
              </w:rPr>
              <w:t>($)</w:t>
            </w:r>
          </w:p>
        </w:tc>
        <w:tc>
          <w:tcPr>
            <w:tcW w:w="1320" w:type="dxa"/>
            <w:vAlign w:val="bottom"/>
            <w:tcBorders>
              <w:bottom w:val="single" w:sz="8" w:color="00A1DF"/>
            </w:tcBorders>
          </w:tcPr>
          <w:p>
            <w:pPr>
              <w:jc w:val="right"/>
              <w:ind w:right="10"/>
              <w:spacing w:after="0"/>
              <w:rPr>
                <w:sz w:val="20"/>
                <w:szCs w:val="20"/>
                <w:color w:val="auto"/>
              </w:rPr>
            </w:pPr>
            <w:r>
              <w:rPr>
                <w:rFonts w:ascii="Arial" w:cs="Arial" w:eastAsia="Arial" w:hAnsi="Arial"/>
                <w:sz w:val="15"/>
                <w:szCs w:val="15"/>
                <w:b w:val="1"/>
                <w:bCs w:val="1"/>
                <w:color w:val="00A1DF"/>
              </w:rPr>
              <w:t>($)</w:t>
            </w:r>
          </w:p>
        </w:tc>
      </w:tr>
      <w:tr>
        <w:trPr>
          <w:trHeight w:val="155"/>
        </w:trPr>
        <w:tc>
          <w:tcPr>
            <w:tcW w:w="30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Mary T. Barra</w:t>
            </w:r>
          </w:p>
        </w:tc>
        <w:tc>
          <w:tcPr>
            <w:tcW w:w="2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491,186</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(132,955)</w:t>
            </w:r>
          </w:p>
        </w:tc>
        <w:tc>
          <w:tcPr>
            <w:tcW w:w="110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2,101,247</w:t>
            </w:r>
          </w:p>
        </w:tc>
      </w:tr>
      <w:tr>
        <w:trPr>
          <w:trHeight w:val="155"/>
        </w:trPr>
        <w:tc>
          <w:tcPr>
            <w:tcW w:w="30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Dhivya Suryadevara</w:t>
            </w:r>
          </w:p>
        </w:tc>
        <w:tc>
          <w:tcPr>
            <w:tcW w:w="2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66,032</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(18,375)</w:t>
            </w:r>
          </w:p>
        </w:tc>
        <w:tc>
          <w:tcPr>
            <w:tcW w:w="110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218,547</w:t>
            </w:r>
          </w:p>
        </w:tc>
      </w:tr>
      <w:tr>
        <w:trPr>
          <w:trHeight w:val="155"/>
        </w:trPr>
        <w:tc>
          <w:tcPr>
            <w:tcW w:w="30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Daniel Ammann</w:t>
            </w:r>
          </w:p>
        </w:tc>
        <w:tc>
          <w:tcPr>
            <w:tcW w:w="2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183,052</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(10,884)</w:t>
            </w:r>
          </w:p>
        </w:tc>
        <w:tc>
          <w:tcPr>
            <w:tcW w:w="110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813,167</w:t>
            </w:r>
          </w:p>
        </w:tc>
      </w:tr>
      <w:tr>
        <w:trPr>
          <w:trHeight w:val="155"/>
        </w:trPr>
        <w:tc>
          <w:tcPr>
            <w:tcW w:w="30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Mark L. Reuss</w:t>
            </w:r>
          </w:p>
        </w:tc>
        <w:tc>
          <w:tcPr>
            <w:tcW w:w="2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216,200</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(66,590)</w:t>
            </w:r>
          </w:p>
        </w:tc>
        <w:tc>
          <w:tcPr>
            <w:tcW w:w="110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945,078</w:t>
            </w:r>
          </w:p>
        </w:tc>
      </w:tr>
      <w:tr>
        <w:trPr>
          <w:trHeight w:val="155"/>
        </w:trPr>
        <w:tc>
          <w:tcPr>
            <w:tcW w:w="30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Alan S. Batey</w:t>
            </w:r>
          </w:p>
        </w:tc>
        <w:tc>
          <w:tcPr>
            <w:tcW w:w="2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166,436</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(46,733)</w:t>
            </w:r>
          </w:p>
        </w:tc>
        <w:tc>
          <w:tcPr>
            <w:tcW w:w="110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784,061</w:t>
            </w:r>
          </w:p>
        </w:tc>
      </w:tr>
      <w:tr>
        <w:trPr>
          <w:trHeight w:val="155"/>
        </w:trPr>
        <w:tc>
          <w:tcPr>
            <w:tcW w:w="3020" w:type="dxa"/>
            <w:vAlign w:val="bottom"/>
            <w:tcBorders>
              <w:bottom w:val="single" w:sz="8" w:color="0033A0"/>
            </w:tcBorders>
          </w:tcPr>
          <w:p>
            <w:pPr>
              <w:ind w:left="60"/>
              <w:spacing w:after="0" w:line="156" w:lineRule="exact"/>
              <w:rPr>
                <w:sz w:val="20"/>
                <w:szCs w:val="20"/>
                <w:color w:val="auto"/>
              </w:rPr>
            </w:pPr>
            <w:r>
              <w:rPr>
                <w:rFonts w:ascii="Arial" w:cs="Arial" w:eastAsia="Arial" w:hAnsi="Arial"/>
                <w:sz w:val="15"/>
                <w:szCs w:val="15"/>
                <w:color w:val="auto"/>
              </w:rPr>
              <w:t>Charles K. Stevens, III</w:t>
            </w:r>
          </w:p>
        </w:tc>
        <w:tc>
          <w:tcPr>
            <w:tcW w:w="2080" w:type="dxa"/>
            <w:vAlign w:val="bottom"/>
            <w:tcBorders>
              <w:bottom w:val="single" w:sz="8" w:color="0033A0"/>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0033A0"/>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0033A0"/>
            </w:tcBorders>
          </w:tcPr>
          <w:p>
            <w:pPr>
              <w:jc w:val="right"/>
              <w:ind w:right="10"/>
              <w:spacing w:after="0" w:line="156" w:lineRule="exact"/>
              <w:rPr>
                <w:sz w:val="20"/>
                <w:szCs w:val="20"/>
                <w:color w:val="auto"/>
              </w:rPr>
            </w:pPr>
            <w:r>
              <w:rPr>
                <w:rFonts w:ascii="Arial" w:cs="Arial" w:eastAsia="Arial" w:hAnsi="Arial"/>
                <w:sz w:val="15"/>
                <w:szCs w:val="15"/>
                <w:color w:val="auto"/>
              </w:rPr>
              <w:t>198,183</w:t>
            </w:r>
          </w:p>
        </w:tc>
        <w:tc>
          <w:tcPr>
            <w:tcW w:w="1160" w:type="dxa"/>
            <w:vAlign w:val="bottom"/>
            <w:tcBorders>
              <w:bottom w:val="single" w:sz="8" w:color="0033A0"/>
            </w:tcBorders>
          </w:tcPr>
          <w:p>
            <w:pPr>
              <w:jc w:val="right"/>
              <w:spacing w:after="0" w:line="156" w:lineRule="exact"/>
              <w:rPr>
                <w:sz w:val="20"/>
                <w:szCs w:val="20"/>
                <w:color w:val="auto"/>
              </w:rPr>
            </w:pPr>
            <w:r>
              <w:rPr>
                <w:rFonts w:ascii="Arial" w:cs="Arial" w:eastAsia="Arial" w:hAnsi="Arial"/>
                <w:sz w:val="15"/>
                <w:szCs w:val="15"/>
                <w:color w:val="auto"/>
              </w:rPr>
              <w:t>(56,397)</w:t>
            </w:r>
          </w:p>
        </w:tc>
        <w:tc>
          <w:tcPr>
            <w:tcW w:w="1100" w:type="dxa"/>
            <w:vAlign w:val="bottom"/>
            <w:tcBorders>
              <w:bottom w:val="single" w:sz="8" w:color="0033A0"/>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0033A0"/>
            </w:tcBorders>
          </w:tcPr>
          <w:p>
            <w:pPr>
              <w:jc w:val="right"/>
              <w:ind w:right="10"/>
              <w:spacing w:after="0" w:line="156" w:lineRule="exact"/>
              <w:rPr>
                <w:sz w:val="20"/>
                <w:szCs w:val="20"/>
                <w:color w:val="auto"/>
              </w:rPr>
            </w:pPr>
            <w:r>
              <w:rPr>
                <w:rFonts w:ascii="Arial" w:cs="Arial" w:eastAsia="Arial" w:hAnsi="Arial"/>
                <w:sz w:val="15"/>
                <w:szCs w:val="15"/>
                <w:color w:val="auto"/>
              </w:rPr>
              <w:t>924,420</w:t>
            </w:r>
          </w:p>
        </w:tc>
      </w:tr>
    </w:tbl>
    <w:p>
      <w:pPr>
        <w:spacing w:after="0" w:line="58" w:lineRule="exact"/>
        <w:rPr>
          <w:sz w:val="20"/>
          <w:szCs w:val="20"/>
          <w:color w:val="auto"/>
        </w:rPr>
      </w:pPr>
    </w:p>
    <w:p>
      <w:pPr>
        <w:ind w:left="540" w:hanging="330"/>
        <w:spacing w:after="0"/>
        <w:tabs>
          <w:tab w:leader="none" w:pos="5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are included in All Other Compensation in the Summary Compensation Table.</w:t>
      </w:r>
    </w:p>
    <w:p>
      <w:pPr>
        <w:spacing w:after="0" w:line="68" w:lineRule="exact"/>
        <w:rPr>
          <w:rFonts w:ascii="Arial" w:cs="Arial" w:eastAsia="Arial" w:hAnsi="Arial"/>
          <w:sz w:val="14"/>
          <w:szCs w:val="14"/>
          <w:i w:val="1"/>
          <w:iCs w:val="1"/>
          <w:color w:val="auto"/>
        </w:rPr>
      </w:pPr>
    </w:p>
    <w:p>
      <w:pPr>
        <w:ind w:left="540" w:hanging="330"/>
        <w:spacing w:after="0" w:line="278" w:lineRule="auto"/>
        <w:tabs>
          <w:tab w:leader="none" w:pos="5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are not reported in Change in Pension Value and Nonqualified Deferred Compensation Earnings in the Summary Compensation Table because we do not pay above-market earnings on deferred compensation.</w:t>
      </w:r>
    </w:p>
    <w:p>
      <w:pPr>
        <w:spacing w:after="0" w:line="18" w:lineRule="exact"/>
        <w:rPr>
          <w:rFonts w:ascii="Arial" w:cs="Arial" w:eastAsia="Arial" w:hAnsi="Arial"/>
          <w:sz w:val="14"/>
          <w:szCs w:val="14"/>
          <w:i w:val="1"/>
          <w:iCs w:val="1"/>
          <w:color w:val="auto"/>
        </w:rPr>
      </w:pPr>
    </w:p>
    <w:p>
      <w:pPr>
        <w:ind w:left="540" w:hanging="330"/>
        <w:spacing w:after="0" w:line="278" w:lineRule="auto"/>
        <w:tabs>
          <w:tab w:leader="none" w:pos="5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amounts have been included in the Summary Compensation Table in prior years: $1,399,888 (Ms. Barra), $576,333 (Mr. Ammann), $653,666 (Mr. Reuss), $375,092 (Mr. Batey), and $648,179 (Mr. Stevens).</w:t>
      </w:r>
    </w:p>
    <w:p>
      <w:pPr>
        <w:spacing w:after="0" w:line="299" w:lineRule="exact"/>
        <w:rPr>
          <w:sz w:val="20"/>
          <w:szCs w:val="20"/>
          <w:color w:val="auto"/>
        </w:rPr>
      </w:pPr>
    </w:p>
    <w:p>
      <w:pPr>
        <w:ind w:left="640" w:hanging="430"/>
        <w:spacing w:after="0"/>
        <w:tabs>
          <w:tab w:leader="none" w:pos="640" w:val="left"/>
        </w:tabs>
        <w:numPr>
          <w:ilvl w:val="0"/>
          <w:numId w:val="127"/>
        </w:numPr>
        <w:rPr>
          <w:rFonts w:ascii="Arial" w:cs="Arial" w:eastAsia="Arial" w:hAnsi="Arial"/>
          <w:sz w:val="25"/>
          <w:szCs w:val="25"/>
          <w:color w:val="0033A0"/>
        </w:rPr>
      </w:pPr>
      <w:r>
        <w:rPr>
          <w:rFonts w:ascii="Arial" w:cs="Arial" w:eastAsia="Arial" w:hAnsi="Arial"/>
          <w:sz w:val="25"/>
          <w:szCs w:val="25"/>
          <w:color w:val="auto"/>
        </w:rPr>
        <w:t>Potential Payments Upon Termination</w:t>
      </w:r>
    </w:p>
    <w:p>
      <w:pPr>
        <w:spacing w:after="0" w:line="199"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The Company does not maintain individual employment agreements with any NEO that provide guaranteed payments in the event of a termination of employment or change in control. In the event that a NEO’s position with the Company is eliminated, including the elimination of the NEO’s position as a result of a change in control, the NEO would be eligible for a severance payment under the General Motors LLC U.S. Executive Severance Program (“Executive Severance Program”).</w:t>
      </w:r>
    </w:p>
    <w:p>
      <w:pPr>
        <w:spacing w:after="0" w:line="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table below shows the potential payments to each NEO assuming a termination of employment on December 31, 2018, due to each of the following: voluntary separation or termination for cause; qualifying termination under the Executive Severance Program; full career status retirement; disability; death; and change in control with termination of employment. Each of the separation events is described in more detail below. These provisions are generally applicable to participants in each of the applicable plans, and they are not reserved only for NEOs. The payments below are in addition to the present value of the accumulated benefits from each NEO’s qualified and nonqualified pension plans shown in the Pension Benefits table on page 62, and the aggregate balance due to each NEO that is shown in the Nonqualified Deferred Compensation Plan table above.</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purposes of the following table, the Company describes these terminations and potential payments:</w:t>
      </w:r>
    </w:p>
    <w:p>
      <w:pPr>
        <w:spacing w:after="0" w:line="106" w:lineRule="exact"/>
        <w:rPr>
          <w:sz w:val="20"/>
          <w:szCs w:val="20"/>
          <w:color w:val="auto"/>
        </w:rPr>
      </w:pPr>
    </w:p>
    <w:p>
      <w:pPr>
        <w:jc w:val="both"/>
        <w:ind w:left="420" w:hanging="210"/>
        <w:spacing w:after="0" w:line="256" w:lineRule="auto"/>
        <w:tabs>
          <w:tab w:leader="none" w:pos="420" w:val="left"/>
        </w:tabs>
        <w:numPr>
          <w:ilvl w:val="0"/>
          <w:numId w:val="128"/>
        </w:numPr>
        <w:rPr>
          <w:rFonts w:ascii="Arial" w:cs="Arial" w:eastAsia="Arial" w:hAnsi="Arial"/>
          <w:sz w:val="16"/>
          <w:szCs w:val="16"/>
          <w:color w:val="0033A0"/>
        </w:rPr>
      </w:pPr>
      <w:r>
        <w:rPr>
          <w:rFonts w:ascii="Arial" w:cs="Arial" w:eastAsia="Arial" w:hAnsi="Arial"/>
          <w:sz w:val="16"/>
          <w:szCs w:val="16"/>
          <w:b w:val="1"/>
          <w:bCs w:val="1"/>
          <w:color w:val="auto"/>
        </w:rPr>
        <w:t xml:space="preserve">Voluntary Separation or Termination for Cause </w:t>
      </w:r>
      <w:r>
        <w:rPr>
          <w:rFonts w:ascii="Arial" w:cs="Arial" w:eastAsia="Arial" w:hAnsi="Arial"/>
          <w:sz w:val="16"/>
          <w:szCs w:val="16"/>
          <w:color w:val="auto"/>
        </w:rPr>
        <w:t>– A voluntary separation occurs when an executive voluntarily terminates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executives generally forfeit all outstanding equity awards and are not eligible for any award or payment under the STIP.</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64 </w:t>
      </w:r>
      <w:r>
        <w:rPr>
          <w:sz w:val="1"/>
          <w:szCs w:val="1"/>
          <w:color w:val="auto"/>
        </w:rPr>
        <w:drawing>
          <wp:inline distT="0" distB="0" distL="0" distR="0">
            <wp:extent cx="6852920" cy="14541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00" w:lineRule="exact"/>
        <w:rPr>
          <w:sz w:val="20"/>
          <w:szCs w:val="20"/>
          <w:color w:val="auto"/>
        </w:rPr>
      </w:pPr>
    </w:p>
    <w:p>
      <w:pPr>
        <w:jc w:val="both"/>
        <w:ind w:left="420" w:hanging="210"/>
        <w:spacing w:after="0" w:line="254" w:lineRule="auto"/>
        <w:tabs>
          <w:tab w:leader="none" w:pos="420" w:val="left"/>
        </w:tabs>
        <w:numPr>
          <w:ilvl w:val="0"/>
          <w:numId w:val="129"/>
        </w:numPr>
        <w:rPr>
          <w:rFonts w:ascii="Arial" w:cs="Arial" w:eastAsia="Arial" w:hAnsi="Arial"/>
          <w:sz w:val="16"/>
          <w:szCs w:val="16"/>
          <w:color w:val="0033A0"/>
        </w:rPr>
      </w:pPr>
      <w:r>
        <w:rPr>
          <w:rFonts w:ascii="Arial" w:cs="Arial" w:eastAsia="Arial" w:hAnsi="Arial"/>
          <w:sz w:val="16"/>
          <w:szCs w:val="16"/>
          <w:b w:val="1"/>
          <w:bCs w:val="1"/>
          <w:color w:val="auto"/>
        </w:rPr>
        <w:t xml:space="preserve">Executive Severance Program </w:t>
      </w:r>
      <w:r>
        <w:rPr>
          <w:rFonts w:ascii="Arial" w:cs="Arial" w:eastAsia="Arial" w:hAnsi="Arial"/>
          <w:sz w:val="16"/>
          <w:szCs w:val="16"/>
          <w:color w:val="auto"/>
        </w:rPr>
        <w:t>– A separation occurs when an executive’s position is eliminated or the Company and an executive agree to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end the employment relationship. An executive will be eligible to receive a severance payment from the Company calculated based on his or her position and reflected as a multiple of base salary, COBRA, and a STIP award at target. An executive will receive cash payments of the value of the equity awards that are scheduled to vest within the next year after separation at the time of vesting. All unvested Stock Options are usually forfeited. An executive is also eligible for outplacement assistance based on position. All the potential payments are contingent upon the executive entering into a mutual separation agreement.</w:t>
      </w:r>
    </w:p>
    <w:p>
      <w:pPr>
        <w:spacing w:after="0" w:line="86" w:lineRule="exact"/>
        <w:rPr>
          <w:rFonts w:ascii="Arial" w:cs="Arial" w:eastAsia="Arial" w:hAnsi="Arial"/>
          <w:sz w:val="16"/>
          <w:szCs w:val="16"/>
          <w:color w:val="0033A0"/>
        </w:rPr>
      </w:pPr>
    </w:p>
    <w:p>
      <w:pPr>
        <w:jc w:val="both"/>
        <w:ind w:left="420" w:hanging="210"/>
        <w:spacing w:after="0" w:line="266" w:lineRule="auto"/>
        <w:tabs>
          <w:tab w:leader="none" w:pos="420" w:val="left"/>
        </w:tabs>
        <w:numPr>
          <w:ilvl w:val="0"/>
          <w:numId w:val="129"/>
        </w:numPr>
        <w:rPr>
          <w:rFonts w:ascii="Arial" w:cs="Arial" w:eastAsia="Arial" w:hAnsi="Arial"/>
          <w:sz w:val="16"/>
          <w:szCs w:val="16"/>
          <w:color w:val="0033A0"/>
        </w:rPr>
      </w:pPr>
      <w:r>
        <w:rPr>
          <w:rFonts w:ascii="Arial" w:cs="Arial" w:eastAsia="Arial" w:hAnsi="Arial"/>
          <w:sz w:val="16"/>
          <w:szCs w:val="16"/>
          <w:b w:val="1"/>
          <w:bCs w:val="1"/>
          <w:color w:val="auto"/>
        </w:rPr>
        <w:t xml:space="preserve">Full Career Status Retirement </w:t>
      </w:r>
      <w:r>
        <w:rPr>
          <w:rFonts w:ascii="Arial" w:cs="Arial" w:eastAsia="Arial" w:hAnsi="Arial"/>
          <w:sz w:val="16"/>
          <w:szCs w:val="16"/>
          <w:color w:val="auto"/>
        </w:rPr>
        <w:t>– A full career status retirement occurs when an executive reaches the age of 55 with 10 or more years of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or age 62 or older and the executive voluntarily separates from the Company. If an executive enters into a separation or severance agreement, they cannot also elect full career status retirement.</w:t>
      </w:r>
    </w:p>
    <w:p>
      <w:pPr>
        <w:spacing w:after="0" w:line="96" w:lineRule="exact"/>
        <w:rPr>
          <w:sz w:val="20"/>
          <w:szCs w:val="20"/>
          <w:color w:val="auto"/>
        </w:rPr>
      </w:pPr>
    </w:p>
    <w:p>
      <w:pPr>
        <w:jc w:val="both"/>
        <w:ind w:left="320"/>
        <w:spacing w:after="0" w:line="247" w:lineRule="auto"/>
        <w:rPr>
          <w:sz w:val="20"/>
          <w:szCs w:val="20"/>
          <w:color w:val="auto"/>
        </w:rPr>
      </w:pPr>
      <w:r>
        <w:rPr>
          <w:rFonts w:ascii="Arial" w:cs="Arial" w:eastAsia="Arial" w:hAnsi="Arial"/>
          <w:sz w:val="16"/>
          <w:szCs w:val="16"/>
          <w:color w:val="auto"/>
        </w:rPr>
        <w:t>In the event of a full career status retirement, the executive is generally eligible for a prorated STIP award based on months of active service in the performance year as of their retirement date and once final performance has been determined. RSUs granted within one year prior to the date of retirement are prorated based on months of active service from the grant date to the date of retirement. RSUs granted more than one year prior to the date of retirement continue to vest in accordance with their vesting schedule. PSUs granted within one year prior to the date of retirement are prorated based on months of active service prior to the date of retirement and will be adjusted for final company performance against the performance measures contained in the awards; such awards will be payable following approval of such performance. PSUs granted more than one year prior to the date of retirement will remain outstanding until the end of the performance period, at which time they will be adjusted for final company performance and be settled following approval of such performance. Stock options granted within one year prior to the date of retirement are prorated based on months of active service from the grant date to the date of retirement. Stock options granted more than one year prior to the date of retirement will continue to vest in accordance with their vesting schedule.</w:t>
      </w:r>
    </w:p>
    <w:p>
      <w:pPr>
        <w:spacing w:after="0" w:line="96" w:lineRule="exact"/>
        <w:rPr>
          <w:sz w:val="20"/>
          <w:szCs w:val="20"/>
          <w:color w:val="auto"/>
        </w:rPr>
      </w:pPr>
    </w:p>
    <w:p>
      <w:pPr>
        <w:jc w:val="both"/>
        <w:ind w:left="420" w:hanging="210"/>
        <w:spacing w:after="0" w:line="254" w:lineRule="auto"/>
        <w:tabs>
          <w:tab w:leader="none" w:pos="420" w:val="left"/>
        </w:tabs>
        <w:numPr>
          <w:ilvl w:val="0"/>
          <w:numId w:val="130"/>
        </w:numPr>
        <w:rPr>
          <w:rFonts w:ascii="Arial" w:cs="Arial" w:eastAsia="Arial" w:hAnsi="Arial"/>
          <w:sz w:val="16"/>
          <w:szCs w:val="16"/>
          <w:color w:val="0033A0"/>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 Disability occurs when an executive terminates employment by reason of their inability to engage in any gainful activity due to a medically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determinable physical or mental impairment that can be expected to result in death or can be expected to last for a continuous period of not less than 12 months. Executives are eligible for a full-year STIP award related to the year in which termination occurs once final company performance has been determined. RSUs continue to vest according to their vesting schedule. PSUs vest immediately upon such termination and will remain outstanding until the end of the performance period, at which time they will be adjusted for final company performance and be settled following approval of such performance. Stock options will continue to vest in accordance with their vesting schedule.</w:t>
      </w:r>
    </w:p>
    <w:p>
      <w:pPr>
        <w:spacing w:after="0" w:line="86" w:lineRule="exact"/>
        <w:rPr>
          <w:rFonts w:ascii="Arial" w:cs="Arial" w:eastAsia="Arial" w:hAnsi="Arial"/>
          <w:sz w:val="16"/>
          <w:szCs w:val="16"/>
          <w:color w:val="0033A0"/>
        </w:rPr>
      </w:pPr>
    </w:p>
    <w:p>
      <w:pPr>
        <w:jc w:val="both"/>
        <w:ind w:left="420" w:hanging="210"/>
        <w:spacing w:after="0" w:line="259" w:lineRule="auto"/>
        <w:tabs>
          <w:tab w:leader="none" w:pos="420" w:val="left"/>
        </w:tabs>
        <w:numPr>
          <w:ilvl w:val="0"/>
          <w:numId w:val="130"/>
        </w:numPr>
        <w:rPr>
          <w:rFonts w:ascii="Arial" w:cs="Arial" w:eastAsia="Arial" w:hAnsi="Arial"/>
          <w:sz w:val="16"/>
          <w:szCs w:val="16"/>
          <w:color w:val="0033A0"/>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 Following the death of an executive, the beneficiary of the executive will be eligible to receive the full-year STIP award subject to adjustment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final company performance. RSUs immediately vest in full and are settled within 90 days of death. PSUs vest immediately upon death and will remain outstanding until the end of the performance period, at which time they will be adjusted for final company performance and be settled following approval of such performance. Stock options vest immediately upon death.</w:t>
      </w:r>
    </w:p>
    <w:p>
      <w:pPr>
        <w:spacing w:after="0" w:line="82" w:lineRule="exact"/>
        <w:rPr>
          <w:rFonts w:ascii="Arial" w:cs="Arial" w:eastAsia="Arial" w:hAnsi="Arial"/>
          <w:sz w:val="16"/>
          <w:szCs w:val="16"/>
          <w:color w:val="0033A0"/>
        </w:rPr>
      </w:pPr>
    </w:p>
    <w:p>
      <w:pPr>
        <w:jc w:val="both"/>
        <w:ind w:left="420" w:hanging="210"/>
        <w:spacing w:after="0" w:line="252" w:lineRule="auto"/>
        <w:tabs>
          <w:tab w:leader="none" w:pos="420" w:val="left"/>
        </w:tabs>
        <w:numPr>
          <w:ilvl w:val="0"/>
          <w:numId w:val="130"/>
        </w:numPr>
        <w:rPr>
          <w:rFonts w:ascii="Arial" w:cs="Arial" w:eastAsia="Arial" w:hAnsi="Arial"/>
          <w:sz w:val="16"/>
          <w:szCs w:val="16"/>
          <w:color w:val="0033A0"/>
        </w:rPr>
      </w:pPr>
      <w:r>
        <w:rPr>
          <w:rFonts w:ascii="Arial" w:cs="Arial" w:eastAsia="Arial" w:hAnsi="Arial"/>
          <w:sz w:val="16"/>
          <w:szCs w:val="16"/>
          <w:b w:val="1"/>
          <w:bCs w:val="1"/>
          <w:color w:val="auto"/>
        </w:rPr>
        <w:t xml:space="preserve">Change in Control (Double Trigger) </w:t>
      </w:r>
      <w:r>
        <w:rPr>
          <w:rFonts w:ascii="Arial" w:cs="Arial" w:eastAsia="Arial" w:hAnsi="Arial"/>
          <w:sz w:val="16"/>
          <w:szCs w:val="16"/>
          <w:color w:val="auto"/>
        </w:rPr>
        <w:t>– In the event of a termination of employment resulting from a change in control, an executive will be eligible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under the Executive Severance Program that provides a severance payment based on position and a multiple of base salary and COBRA. Executives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86360</wp:posOffset>
            </wp:positionV>
            <wp:extent cx="6758305" cy="1282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21"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65</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Amounts shown in the following table are calculated by assuming that the relevant employment termination event occurred on December 31, 2018.</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2980" w:type="dxa"/>
            <w:vAlign w:val="bottom"/>
            <w:tcBorders>
              <w:top w:val="single" w:sz="8" w:color="00A1DF"/>
            </w:tcBorders>
          </w:tcPr>
          <w:p>
            <w:pPr>
              <w:spacing w:after="0"/>
              <w:rPr>
                <w:sz w:val="14"/>
                <w:szCs w:val="14"/>
                <w:color w:val="auto"/>
              </w:rPr>
            </w:pPr>
          </w:p>
        </w:tc>
        <w:tc>
          <w:tcPr>
            <w:tcW w:w="1380" w:type="dxa"/>
            <w:vAlign w:val="bottom"/>
            <w:tcBorders>
              <w:top w:val="single" w:sz="8" w:color="00A1DF"/>
            </w:tcBorders>
          </w:tcPr>
          <w:p>
            <w:pPr>
              <w:spacing w:after="0"/>
              <w:rPr>
                <w:sz w:val="14"/>
                <w:szCs w:val="14"/>
                <w:color w:val="auto"/>
              </w:rPr>
            </w:pPr>
          </w:p>
        </w:tc>
        <w:tc>
          <w:tcPr>
            <w:tcW w:w="1240" w:type="dxa"/>
            <w:vAlign w:val="bottom"/>
            <w:tcBorders>
              <w:top w:val="single" w:sz="8" w:color="00A1DF"/>
            </w:tcBorders>
          </w:tcPr>
          <w:p>
            <w:pPr>
              <w:jc w:val="right"/>
              <w:ind w:right="86"/>
              <w:spacing w:after="0" w:line="167" w:lineRule="exact"/>
              <w:rPr>
                <w:sz w:val="20"/>
                <w:szCs w:val="20"/>
                <w:color w:val="auto"/>
              </w:rPr>
            </w:pPr>
            <w:r>
              <w:rPr>
                <w:rFonts w:ascii="Arial" w:cs="Arial" w:eastAsia="Arial" w:hAnsi="Arial"/>
                <w:sz w:val="15"/>
                <w:szCs w:val="15"/>
                <w:b w:val="1"/>
                <w:bCs w:val="1"/>
                <w:color w:val="00A1DF"/>
              </w:rPr>
              <w:t>Voluntary</w:t>
            </w:r>
          </w:p>
        </w:tc>
        <w:tc>
          <w:tcPr>
            <w:tcW w:w="1020" w:type="dxa"/>
            <w:vAlign w:val="bottom"/>
            <w:tcBorders>
              <w:top w:val="single" w:sz="8" w:color="00A1DF"/>
            </w:tcBorders>
          </w:tcPr>
          <w:p>
            <w:pPr>
              <w:spacing w:after="0"/>
              <w:rPr>
                <w:sz w:val="14"/>
                <w:szCs w:val="14"/>
                <w:color w:val="auto"/>
              </w:rPr>
            </w:pPr>
          </w:p>
        </w:tc>
        <w:tc>
          <w:tcPr>
            <w:tcW w:w="1240" w:type="dxa"/>
            <w:vAlign w:val="bottom"/>
            <w:tcBorders>
              <w:top w:val="single" w:sz="8" w:color="00A1DF"/>
            </w:tcBorders>
          </w:tcPr>
          <w:p>
            <w:pPr>
              <w:spacing w:after="0"/>
              <w:rPr>
                <w:sz w:val="14"/>
                <w:szCs w:val="14"/>
                <w:color w:val="auto"/>
              </w:rPr>
            </w:pPr>
          </w:p>
        </w:tc>
        <w:tc>
          <w:tcPr>
            <w:tcW w:w="1060" w:type="dxa"/>
            <w:vAlign w:val="bottom"/>
            <w:tcBorders>
              <w:top w:val="single" w:sz="8" w:color="00A1DF"/>
            </w:tcBorders>
          </w:tcPr>
          <w:p>
            <w:pPr>
              <w:spacing w:after="0"/>
              <w:rPr>
                <w:sz w:val="14"/>
                <w:szCs w:val="14"/>
                <w:color w:val="auto"/>
              </w:rPr>
            </w:pPr>
          </w:p>
        </w:tc>
        <w:tc>
          <w:tcPr>
            <w:tcW w:w="1000" w:type="dxa"/>
            <w:vAlign w:val="bottom"/>
            <w:tcBorders>
              <w:top w:val="single" w:sz="8" w:color="00A1DF"/>
            </w:tcBorders>
          </w:tcPr>
          <w:p>
            <w:pPr>
              <w:spacing w:after="0"/>
              <w:rPr>
                <w:sz w:val="14"/>
                <w:szCs w:val="14"/>
                <w:color w:val="auto"/>
              </w:rPr>
            </w:pPr>
          </w:p>
        </w:tc>
        <w:tc>
          <w:tcPr>
            <w:tcW w:w="1080" w:type="dxa"/>
            <w:vAlign w:val="bottom"/>
            <w:tcBorders>
              <w:top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jc w:val="right"/>
              <w:ind w:right="86"/>
              <w:spacing w:after="0" w:line="162" w:lineRule="exact"/>
              <w:rPr>
                <w:sz w:val="20"/>
                <w:szCs w:val="20"/>
                <w:color w:val="auto"/>
              </w:rPr>
            </w:pPr>
            <w:r>
              <w:rPr>
                <w:rFonts w:ascii="Arial" w:cs="Arial" w:eastAsia="Arial" w:hAnsi="Arial"/>
                <w:sz w:val="15"/>
                <w:szCs w:val="15"/>
                <w:b w:val="1"/>
                <w:bCs w:val="1"/>
                <w:color w:val="00A1DF"/>
              </w:rPr>
              <w:t>Separation or</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00A1DF"/>
              </w:rPr>
              <w:t>Executive</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00A1DF"/>
              </w:rPr>
              <w:t>Change in</w:t>
            </w:r>
          </w:p>
        </w:tc>
        <w:tc>
          <w:tcPr>
            <w:tcW w:w="0" w:type="dxa"/>
            <w:vAlign w:val="bottom"/>
          </w:tcPr>
          <w:p>
            <w:pPr>
              <w:spacing w:after="0"/>
              <w:rPr>
                <w:sz w:val="1"/>
                <w:szCs w:val="1"/>
                <w:color w:val="auto"/>
              </w:rPr>
            </w:pPr>
          </w:p>
        </w:tc>
      </w:tr>
      <w:tr>
        <w:trPr>
          <w:trHeight w:val="162"/>
        </w:trPr>
        <w:tc>
          <w:tcPr>
            <w:tcW w:w="2980" w:type="dxa"/>
            <w:vAlign w:val="bottom"/>
            <w:vMerge w:val="restart"/>
          </w:tcPr>
          <w:p>
            <w:pPr>
              <w:ind w:left="80"/>
              <w:spacing w:after="0"/>
              <w:rPr>
                <w:sz w:val="20"/>
                <w:szCs w:val="20"/>
                <w:color w:val="auto"/>
              </w:rPr>
            </w:pPr>
            <w:r>
              <w:rPr>
                <w:rFonts w:ascii="Arial" w:cs="Arial" w:eastAsia="Arial" w:hAnsi="Arial"/>
                <w:sz w:val="15"/>
                <w:szCs w:val="15"/>
                <w:b w:val="1"/>
                <w:bCs w:val="1"/>
                <w:color w:val="00A1DF"/>
              </w:rPr>
              <w:t>Name</w:t>
            </w:r>
          </w:p>
        </w:tc>
        <w:tc>
          <w:tcPr>
            <w:tcW w:w="1380" w:type="dxa"/>
            <w:vAlign w:val="bottom"/>
          </w:tcPr>
          <w:p>
            <w:pPr>
              <w:ind w:left="220"/>
              <w:spacing w:after="0" w:line="162" w:lineRule="exact"/>
              <w:rPr>
                <w:sz w:val="20"/>
                <w:szCs w:val="20"/>
                <w:color w:val="auto"/>
              </w:rPr>
            </w:pPr>
            <w:r>
              <w:rPr>
                <w:rFonts w:ascii="Arial" w:cs="Arial" w:eastAsia="Arial" w:hAnsi="Arial"/>
                <w:sz w:val="15"/>
                <w:szCs w:val="15"/>
                <w:b w:val="1"/>
                <w:bCs w:val="1"/>
                <w:color w:val="00A1DF"/>
              </w:rPr>
              <w:t>Compensation</w:t>
            </w:r>
          </w:p>
        </w:tc>
        <w:tc>
          <w:tcPr>
            <w:tcW w:w="1240" w:type="dxa"/>
            <w:vAlign w:val="bottom"/>
          </w:tcPr>
          <w:p>
            <w:pPr>
              <w:jc w:val="right"/>
              <w:ind w:right="86"/>
              <w:spacing w:after="0" w:line="162" w:lineRule="exact"/>
              <w:rPr>
                <w:sz w:val="20"/>
                <w:szCs w:val="20"/>
                <w:color w:val="auto"/>
              </w:rPr>
            </w:pPr>
            <w:r>
              <w:rPr>
                <w:rFonts w:ascii="Arial" w:cs="Arial" w:eastAsia="Arial" w:hAnsi="Arial"/>
                <w:sz w:val="15"/>
                <w:szCs w:val="15"/>
                <w:b w:val="1"/>
                <w:bCs w:val="1"/>
                <w:color w:val="00A1DF"/>
              </w:rPr>
              <w:t>Termination</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00A1DF"/>
              </w:rPr>
              <w:t>Severance</w:t>
            </w:r>
          </w:p>
        </w:tc>
        <w:tc>
          <w:tcPr>
            <w:tcW w:w="12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00A1DF"/>
              </w:rPr>
              <w:t>Retirement</w:t>
            </w:r>
            <w:r>
              <w:rPr>
                <w:rFonts w:ascii="Arial" w:cs="Arial" w:eastAsia="Arial" w:hAnsi="Arial"/>
                <w:sz w:val="12"/>
                <w:szCs w:val="12"/>
                <w:b w:val="1"/>
                <w:bCs w:val="1"/>
                <w:color w:val="00A1DF"/>
              </w:rPr>
              <w:t>(4)</w:t>
            </w:r>
          </w:p>
        </w:tc>
        <w:tc>
          <w:tcPr>
            <w:tcW w:w="10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00A1DF"/>
              </w:rPr>
              <w:t>Disability</w:t>
            </w: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00A1DF"/>
              </w:rPr>
              <w:t>Death</w:t>
            </w:r>
          </w:p>
        </w:tc>
        <w:tc>
          <w:tcPr>
            <w:tcW w:w="108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00A1DF"/>
              </w:rPr>
              <w:t>Control with</w:t>
            </w:r>
          </w:p>
        </w:tc>
        <w:tc>
          <w:tcPr>
            <w:tcW w:w="0" w:type="dxa"/>
            <w:vAlign w:val="bottom"/>
          </w:tcPr>
          <w:p>
            <w:pPr>
              <w:spacing w:after="0"/>
              <w:rPr>
                <w:sz w:val="1"/>
                <w:szCs w:val="1"/>
                <w:color w:val="auto"/>
              </w:rPr>
            </w:pPr>
          </w:p>
        </w:tc>
      </w:tr>
      <w:tr>
        <w:trPr>
          <w:trHeight w:val="25"/>
        </w:trPr>
        <w:tc>
          <w:tcPr>
            <w:tcW w:w="2980" w:type="dxa"/>
            <w:vAlign w:val="bottom"/>
            <w:vMerge w:val="continue"/>
          </w:tcPr>
          <w:p>
            <w:pPr>
              <w:spacing w:after="0"/>
              <w:rPr>
                <w:sz w:val="2"/>
                <w:szCs w:val="2"/>
                <w:color w:val="auto"/>
              </w:rPr>
            </w:pPr>
          </w:p>
        </w:tc>
        <w:tc>
          <w:tcPr>
            <w:tcW w:w="1380" w:type="dxa"/>
            <w:vAlign w:val="bottom"/>
          </w:tcPr>
          <w:p>
            <w:pPr>
              <w:ind w:left="200"/>
              <w:spacing w:after="0"/>
              <w:rPr>
                <w:sz w:val="20"/>
                <w:szCs w:val="20"/>
                <w:color w:val="auto"/>
              </w:rPr>
            </w:pPr>
            <w:r>
              <w:rPr>
                <w:rFonts w:ascii="Arial" w:cs="Arial" w:eastAsia="Arial" w:hAnsi="Arial"/>
                <w:sz w:val="2"/>
                <w:szCs w:val="2"/>
                <w:b w:val="1"/>
                <w:bCs w:val="1"/>
                <w:color w:val="00A1DF"/>
              </w:rPr>
              <w:t>Element</w:t>
            </w:r>
          </w:p>
        </w:tc>
        <w:tc>
          <w:tcPr>
            <w:tcW w:w="1240" w:type="dxa"/>
            <w:vAlign w:val="bottom"/>
          </w:tcPr>
          <w:p>
            <w:pPr>
              <w:jc w:val="right"/>
              <w:ind w:right="86"/>
              <w:spacing w:after="0"/>
              <w:rPr>
                <w:sz w:val="20"/>
                <w:szCs w:val="20"/>
                <w:color w:val="auto"/>
              </w:rPr>
            </w:pPr>
            <w:r>
              <w:rPr>
                <w:rFonts w:ascii="Arial" w:cs="Arial" w:eastAsia="Arial" w:hAnsi="Arial"/>
                <w:sz w:val="2"/>
                <w:szCs w:val="2"/>
                <w:b w:val="1"/>
                <w:bCs w:val="1"/>
                <w:color w:val="00A1DF"/>
              </w:rPr>
              <w:t>for Cause</w:t>
            </w:r>
          </w:p>
        </w:tc>
        <w:tc>
          <w:tcPr>
            <w:tcW w:w="1020" w:type="dxa"/>
            <w:vAlign w:val="bottom"/>
          </w:tcPr>
          <w:p>
            <w:pPr>
              <w:jc w:val="right"/>
              <w:ind w:right="46"/>
              <w:spacing w:after="0"/>
              <w:rPr>
                <w:sz w:val="20"/>
                <w:szCs w:val="20"/>
                <w:color w:val="auto"/>
              </w:rPr>
            </w:pPr>
            <w:r>
              <w:rPr>
                <w:rFonts w:ascii="Arial" w:cs="Arial" w:eastAsia="Arial" w:hAnsi="Arial"/>
                <w:sz w:val="2"/>
                <w:szCs w:val="2"/>
                <w:b w:val="1"/>
                <w:bCs w:val="1"/>
                <w:color w:val="00A1DF"/>
              </w:rPr>
              <w:t>Program</w:t>
            </w:r>
          </w:p>
        </w:tc>
        <w:tc>
          <w:tcPr>
            <w:tcW w:w="12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080" w:type="dxa"/>
            <w:vAlign w:val="bottom"/>
          </w:tcPr>
          <w:p>
            <w:pPr>
              <w:jc w:val="right"/>
              <w:ind w:right="26"/>
              <w:spacing w:after="0"/>
              <w:rPr>
                <w:sz w:val="20"/>
                <w:szCs w:val="20"/>
                <w:color w:val="auto"/>
              </w:rPr>
            </w:pPr>
            <w:r>
              <w:rPr>
                <w:rFonts w:ascii="Arial" w:cs="Arial" w:eastAsia="Arial" w:hAnsi="Arial"/>
                <w:sz w:val="2"/>
                <w:szCs w:val="2"/>
                <w:b w:val="1"/>
                <w:bCs w:val="1"/>
                <w:color w:val="00A1DF"/>
              </w:rPr>
              <w:t>Termination</w:t>
            </w:r>
          </w:p>
        </w:tc>
        <w:tc>
          <w:tcPr>
            <w:tcW w:w="0" w:type="dxa"/>
            <w:vAlign w:val="bottom"/>
          </w:tcPr>
          <w:p>
            <w:pPr>
              <w:spacing w:after="0" w:line="20" w:lineRule="exact"/>
              <w:rPr>
                <w:sz w:val="1"/>
                <w:szCs w:val="1"/>
                <w:color w:val="auto"/>
              </w:rPr>
            </w:pPr>
          </w:p>
        </w:tc>
      </w:tr>
      <w:tr>
        <w:trPr>
          <w:trHeight w:val="172"/>
        </w:trPr>
        <w:tc>
          <w:tcPr>
            <w:tcW w:w="2980" w:type="dxa"/>
            <w:vAlign w:val="bottom"/>
            <w:tcBorders>
              <w:bottom w:val="single" w:sz="8" w:color="00A1DF"/>
            </w:tcBorders>
          </w:tcPr>
          <w:p>
            <w:pPr>
              <w:spacing w:after="0"/>
              <w:rPr>
                <w:sz w:val="14"/>
                <w:szCs w:val="14"/>
                <w:color w:val="auto"/>
              </w:rPr>
            </w:pPr>
          </w:p>
        </w:tc>
        <w:tc>
          <w:tcPr>
            <w:tcW w:w="1380" w:type="dxa"/>
            <w:vAlign w:val="bottom"/>
            <w:tcBorders>
              <w:bottom w:val="single" w:sz="8" w:color="00A1DF"/>
            </w:tcBorders>
          </w:tcPr>
          <w:p>
            <w:pPr>
              <w:ind w:left="800"/>
              <w:spacing w:after="0"/>
              <w:rPr>
                <w:sz w:val="20"/>
                <w:szCs w:val="20"/>
                <w:color w:val="auto"/>
              </w:rPr>
            </w:pPr>
            <w:r>
              <w:rPr>
                <w:rFonts w:ascii="Arial" w:cs="Arial" w:eastAsia="Arial" w:hAnsi="Arial"/>
                <w:sz w:val="13"/>
                <w:szCs w:val="13"/>
                <w:b w:val="1"/>
                <w:bCs w:val="1"/>
                <w:color w:val="00A1DF"/>
              </w:rPr>
              <w:t>(1)(2)(3)</w:t>
            </w:r>
          </w:p>
        </w:tc>
        <w:tc>
          <w:tcPr>
            <w:tcW w:w="1240" w:type="dxa"/>
            <w:vAlign w:val="bottom"/>
            <w:tcBorders>
              <w:bottom w:val="single" w:sz="8" w:color="00A1DF"/>
            </w:tcBorders>
          </w:tcPr>
          <w:p>
            <w:pPr>
              <w:spacing w:after="0"/>
              <w:rPr>
                <w:sz w:val="14"/>
                <w:szCs w:val="14"/>
                <w:color w:val="auto"/>
              </w:rPr>
            </w:pPr>
          </w:p>
        </w:tc>
        <w:tc>
          <w:tcPr>
            <w:tcW w:w="1020" w:type="dxa"/>
            <w:vAlign w:val="bottom"/>
            <w:tcBorders>
              <w:bottom w:val="single" w:sz="8" w:color="00A1DF"/>
            </w:tcBorders>
          </w:tcPr>
          <w:p>
            <w:pPr>
              <w:spacing w:after="0"/>
              <w:rPr>
                <w:sz w:val="14"/>
                <w:szCs w:val="14"/>
                <w:color w:val="auto"/>
              </w:rPr>
            </w:pPr>
          </w:p>
        </w:tc>
        <w:tc>
          <w:tcPr>
            <w:tcW w:w="1240" w:type="dxa"/>
            <w:vAlign w:val="bottom"/>
            <w:tcBorders>
              <w:bottom w:val="single" w:sz="8" w:color="00A1DF"/>
            </w:tcBorders>
          </w:tcPr>
          <w:p>
            <w:pPr>
              <w:spacing w:after="0"/>
              <w:rPr>
                <w:sz w:val="14"/>
                <w:szCs w:val="14"/>
                <w:color w:val="auto"/>
              </w:rPr>
            </w:pPr>
          </w:p>
        </w:tc>
        <w:tc>
          <w:tcPr>
            <w:tcW w:w="1060" w:type="dxa"/>
            <w:vAlign w:val="bottom"/>
            <w:tcBorders>
              <w:bottom w:val="single" w:sz="8" w:color="00A1DF"/>
            </w:tcBorders>
          </w:tcPr>
          <w:p>
            <w:pPr>
              <w:spacing w:after="0"/>
              <w:rPr>
                <w:sz w:val="14"/>
                <w:szCs w:val="14"/>
                <w:color w:val="auto"/>
              </w:rPr>
            </w:pPr>
          </w:p>
        </w:tc>
        <w:tc>
          <w:tcPr>
            <w:tcW w:w="1000" w:type="dxa"/>
            <w:vAlign w:val="bottom"/>
            <w:tcBorders>
              <w:bottom w:val="single" w:sz="8" w:color="00A1DF"/>
            </w:tcBorders>
          </w:tcPr>
          <w:p>
            <w:pPr>
              <w:spacing w:after="0"/>
              <w:rPr>
                <w:sz w:val="14"/>
                <w:szCs w:val="14"/>
                <w:color w:val="auto"/>
              </w:rPr>
            </w:pPr>
          </w:p>
        </w:tc>
        <w:tc>
          <w:tcPr>
            <w:tcW w:w="1080" w:type="dxa"/>
            <w:vAlign w:val="bottom"/>
            <w:tcBorders>
              <w:bottom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98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1380" w:type="dxa"/>
            <w:vAlign w:val="bottom"/>
          </w:tcPr>
          <w:p>
            <w:pPr>
              <w:ind w:left="200"/>
              <w:spacing w:after="0"/>
              <w:rPr>
                <w:sz w:val="20"/>
                <w:szCs w:val="20"/>
                <w:color w:val="auto"/>
              </w:rPr>
            </w:pPr>
            <w:r>
              <w:rPr>
                <w:rFonts w:ascii="Arial" w:cs="Arial" w:eastAsia="Arial" w:hAnsi="Arial"/>
                <w:sz w:val="15"/>
                <w:szCs w:val="15"/>
                <w:color w:val="auto"/>
              </w:rPr>
              <w:t>Cash</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4,237,656</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4,222,656</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STIP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4,200,000</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4,032,000</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4,032,000</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4,032,000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4,200,000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LTIP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20,845,404</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34,357,634</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40,122,858</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40,122,858</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40,122,858</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12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b w:val="1"/>
                <w:bCs w:val="1"/>
                <w:color w:val="auto"/>
              </w:rPr>
              <w:t>29,283,060</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38,389,634</w:t>
            </w: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44,154,858</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44,154,858</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48,545,514</w:t>
            </w:r>
          </w:p>
        </w:tc>
        <w:tc>
          <w:tcPr>
            <w:tcW w:w="0" w:type="dxa"/>
            <w:vAlign w:val="bottom"/>
          </w:tcPr>
          <w:p>
            <w:pPr>
              <w:spacing w:after="0"/>
              <w:rPr>
                <w:sz w:val="1"/>
                <w:szCs w:val="1"/>
                <w:color w:val="auto"/>
              </w:rPr>
            </w:pP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ind w:left="80"/>
              <w:spacing w:after="0"/>
              <w:rPr>
                <w:sz w:val="20"/>
                <w:szCs w:val="20"/>
                <w:color w:val="auto"/>
              </w:rPr>
            </w:pPr>
            <w:r>
              <w:rPr>
                <w:rFonts w:ascii="Arial" w:cs="Arial" w:eastAsia="Arial" w:hAnsi="Arial"/>
                <w:sz w:val="15"/>
                <w:szCs w:val="15"/>
                <w:color w:val="auto"/>
              </w:rPr>
              <w:t>Dhivya Suryadevara</w:t>
            </w:r>
          </w:p>
        </w:tc>
        <w:tc>
          <w:tcPr>
            <w:tcW w:w="1380" w:type="dxa"/>
            <w:vAlign w:val="bottom"/>
          </w:tcPr>
          <w:p>
            <w:pPr>
              <w:ind w:left="200"/>
              <w:spacing w:after="0"/>
              <w:rPr>
                <w:sz w:val="20"/>
                <w:szCs w:val="20"/>
                <w:color w:val="auto"/>
              </w:rPr>
            </w:pPr>
            <w:r>
              <w:rPr>
                <w:rFonts w:ascii="Arial" w:cs="Arial" w:eastAsia="Arial" w:hAnsi="Arial"/>
                <w:sz w:val="15"/>
                <w:szCs w:val="15"/>
                <w:color w:val="auto"/>
              </w:rPr>
              <w:t>Cash</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1,381,992</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1,366,992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STIP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1,125,000</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1,080,000</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1,080,000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1,125,000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LTIP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1,178,611</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4,013,452</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4,013,452</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4,013,452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12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b w:val="1"/>
                <w:bCs w:val="1"/>
                <w:color w:val="auto"/>
              </w:rPr>
              <w:t>3,685,603</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5,093,452</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5,093,452</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6,505,444</w:t>
            </w:r>
          </w:p>
        </w:tc>
        <w:tc>
          <w:tcPr>
            <w:tcW w:w="0" w:type="dxa"/>
            <w:vAlign w:val="bottom"/>
          </w:tcPr>
          <w:p>
            <w:pPr>
              <w:spacing w:after="0"/>
              <w:rPr>
                <w:sz w:val="1"/>
                <w:szCs w:val="1"/>
                <w:color w:val="auto"/>
              </w:rPr>
            </w:pP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ind w:left="80"/>
              <w:spacing w:after="0"/>
              <w:rPr>
                <w:sz w:val="20"/>
                <w:szCs w:val="20"/>
                <w:color w:val="auto"/>
              </w:rPr>
            </w:pPr>
            <w:r>
              <w:rPr>
                <w:rFonts w:ascii="Arial" w:cs="Arial" w:eastAsia="Arial" w:hAnsi="Arial"/>
                <w:sz w:val="15"/>
                <w:szCs w:val="15"/>
                <w:color w:val="auto"/>
              </w:rPr>
              <w:t>Daniel Ammann</w:t>
            </w:r>
          </w:p>
        </w:tc>
        <w:tc>
          <w:tcPr>
            <w:tcW w:w="1380" w:type="dxa"/>
            <w:vAlign w:val="bottom"/>
          </w:tcPr>
          <w:p>
            <w:pPr>
              <w:ind w:left="200"/>
              <w:spacing w:after="0"/>
              <w:rPr>
                <w:sz w:val="20"/>
                <w:szCs w:val="20"/>
                <w:color w:val="auto"/>
              </w:rPr>
            </w:pPr>
            <w:r>
              <w:rPr>
                <w:rFonts w:ascii="Arial" w:cs="Arial" w:eastAsia="Arial" w:hAnsi="Arial"/>
                <w:sz w:val="15"/>
                <w:szCs w:val="15"/>
                <w:color w:val="auto"/>
              </w:rPr>
              <w:t>Cash</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2,206,992</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2,191,992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STIP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1,812,500</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1,740,000</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1,740,000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1,812,500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LTIP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7,536,452</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14,686,425</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14,686,425</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14,686,425</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12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b w:val="1"/>
                <w:bCs w:val="1"/>
                <w:color w:val="auto"/>
              </w:rPr>
              <w:t>11,555,944</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16,426,425</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16,426,425</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18,690,917</w:t>
            </w:r>
          </w:p>
        </w:tc>
        <w:tc>
          <w:tcPr>
            <w:tcW w:w="0" w:type="dxa"/>
            <w:vAlign w:val="bottom"/>
          </w:tcPr>
          <w:p>
            <w:pPr>
              <w:spacing w:after="0"/>
              <w:rPr>
                <w:sz w:val="1"/>
                <w:szCs w:val="1"/>
                <w:color w:val="auto"/>
              </w:rPr>
            </w:pP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1380" w:type="dxa"/>
            <w:vAlign w:val="bottom"/>
          </w:tcPr>
          <w:p>
            <w:pPr>
              <w:ind w:left="200"/>
              <w:spacing w:after="0"/>
              <w:rPr>
                <w:sz w:val="20"/>
                <w:szCs w:val="20"/>
                <w:color w:val="auto"/>
              </w:rPr>
            </w:pPr>
            <w:r>
              <w:rPr>
                <w:rFonts w:ascii="Arial" w:cs="Arial" w:eastAsia="Arial" w:hAnsi="Arial"/>
                <w:sz w:val="15"/>
                <w:szCs w:val="15"/>
                <w:color w:val="auto"/>
              </w:rPr>
              <w:t>Cash</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1,852,836</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1,837,836</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STIP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1,500,000</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1,440,000</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1,440,000</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1,440,000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1,500,000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LTIP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6,253,645</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10,438,850</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12,143,174</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12,143,174</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12,143,174</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12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b w:val="1"/>
                <w:bCs w:val="1"/>
                <w:color w:val="auto"/>
              </w:rPr>
              <w:t>9,606,481</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11,878,850</w:t>
            </w: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13,583,174</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13,583,174</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15,481,010</w:t>
            </w:r>
          </w:p>
        </w:tc>
        <w:tc>
          <w:tcPr>
            <w:tcW w:w="0" w:type="dxa"/>
            <w:vAlign w:val="bottom"/>
          </w:tcPr>
          <w:p>
            <w:pPr>
              <w:spacing w:after="0"/>
              <w:rPr>
                <w:sz w:val="1"/>
                <w:szCs w:val="1"/>
                <w:color w:val="auto"/>
              </w:rPr>
            </w:pP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ind w:left="60"/>
              <w:spacing w:after="0"/>
              <w:rPr>
                <w:sz w:val="20"/>
                <w:szCs w:val="20"/>
                <w:color w:val="auto"/>
              </w:rPr>
            </w:pPr>
            <w:r>
              <w:rPr>
                <w:rFonts w:ascii="Arial" w:cs="Arial" w:eastAsia="Arial" w:hAnsi="Arial"/>
                <w:sz w:val="15"/>
                <w:szCs w:val="15"/>
                <w:color w:val="auto"/>
              </w:rPr>
              <w:t>Alan S. Batey</w:t>
            </w:r>
          </w:p>
        </w:tc>
        <w:tc>
          <w:tcPr>
            <w:tcW w:w="1380" w:type="dxa"/>
            <w:vAlign w:val="bottom"/>
          </w:tcPr>
          <w:p>
            <w:pPr>
              <w:ind w:left="200"/>
              <w:spacing w:after="0"/>
              <w:rPr>
                <w:sz w:val="20"/>
                <w:szCs w:val="20"/>
                <w:color w:val="auto"/>
              </w:rPr>
            </w:pPr>
            <w:r>
              <w:rPr>
                <w:rFonts w:ascii="Arial" w:cs="Arial" w:eastAsia="Arial" w:hAnsi="Arial"/>
                <w:sz w:val="15"/>
                <w:szCs w:val="15"/>
                <w:color w:val="auto"/>
              </w:rPr>
              <w:t>Cash</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1,569,492</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1,554,492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STIP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1,281,250</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1,230,000</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1,230,000</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1,230,000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1,281,250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LTIP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4,329,500</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7,141,964</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8,275,524</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8,275,524</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8,275,524</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12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b w:val="1"/>
                <w:bCs w:val="1"/>
                <w:color w:val="auto"/>
              </w:rPr>
              <w:t>7,180,242</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8,371,964</w:t>
            </w: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9,505,524</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9,505,524</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11,111,266</w:t>
            </w:r>
          </w:p>
        </w:tc>
        <w:tc>
          <w:tcPr>
            <w:tcW w:w="0" w:type="dxa"/>
            <w:vAlign w:val="bottom"/>
          </w:tcPr>
          <w:p>
            <w:pPr>
              <w:spacing w:after="0"/>
              <w:rPr>
                <w:sz w:val="1"/>
                <w:szCs w:val="1"/>
                <w:color w:val="auto"/>
              </w:rPr>
            </w:pP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80"/>
              <w:spacing w:after="0" w:line="223" w:lineRule="exact"/>
              <w:rPr>
                <w:sz w:val="20"/>
                <w:szCs w:val="20"/>
                <w:color w:val="auto"/>
              </w:rPr>
            </w:pPr>
            <w:r>
              <w:rPr>
                <w:rFonts w:ascii="Arial" w:cs="Arial" w:eastAsia="Arial" w:hAnsi="Arial"/>
                <w:sz w:val="15"/>
                <w:szCs w:val="15"/>
                <w:color w:val="auto"/>
              </w:rPr>
              <w:t>Charles K. Stevens, III</w:t>
            </w:r>
            <w:r>
              <w:rPr>
                <w:rFonts w:ascii="Arial" w:cs="Arial" w:eastAsia="Arial" w:hAnsi="Arial"/>
                <w:sz w:val="25"/>
                <w:szCs w:val="25"/>
                <w:color w:val="auto"/>
                <w:vertAlign w:val="superscript"/>
              </w:rPr>
              <w:t>(5)</w:t>
            </w:r>
          </w:p>
        </w:tc>
        <w:tc>
          <w:tcPr>
            <w:tcW w:w="13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Cash</w:t>
            </w:r>
          </w:p>
        </w:tc>
        <w:tc>
          <w:tcPr>
            <w:tcW w:w="1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STIP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1,320,000</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color w:val="auto"/>
              </w:rPr>
              <w:t>LTIP</w:t>
            </w:r>
          </w:p>
        </w:tc>
        <w:tc>
          <w:tcPr>
            <w:tcW w:w="12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7,195,522</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12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8,515,522</w:t>
            </w: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
        </w:trPr>
        <w:tc>
          <w:tcPr>
            <w:tcW w:w="2980" w:type="dxa"/>
            <w:vAlign w:val="bottom"/>
            <w:tcBorders>
              <w:bottom w:val="single" w:sz="8" w:color="0033A0"/>
            </w:tcBorders>
          </w:tcPr>
          <w:p>
            <w:pPr>
              <w:spacing w:after="0" w:line="20" w:lineRule="exact"/>
              <w:rPr>
                <w:sz w:val="1"/>
                <w:szCs w:val="1"/>
                <w:color w:val="auto"/>
              </w:rPr>
            </w:pPr>
          </w:p>
        </w:tc>
        <w:tc>
          <w:tcPr>
            <w:tcW w:w="1380" w:type="dxa"/>
            <w:vAlign w:val="bottom"/>
            <w:tcBorders>
              <w:bottom w:val="single" w:sz="8" w:color="0033A0"/>
            </w:tcBorders>
          </w:tcPr>
          <w:p>
            <w:pPr>
              <w:spacing w:after="0" w:line="20" w:lineRule="exact"/>
              <w:rPr>
                <w:sz w:val="1"/>
                <w:szCs w:val="1"/>
                <w:color w:val="auto"/>
              </w:rPr>
            </w:pPr>
          </w:p>
        </w:tc>
        <w:tc>
          <w:tcPr>
            <w:tcW w:w="1240" w:type="dxa"/>
            <w:vAlign w:val="bottom"/>
            <w:tcBorders>
              <w:bottom w:val="single" w:sz="8" w:color="0033A0"/>
            </w:tcBorders>
          </w:tcPr>
          <w:p>
            <w:pPr>
              <w:spacing w:after="0" w:line="20" w:lineRule="exact"/>
              <w:rPr>
                <w:sz w:val="1"/>
                <w:szCs w:val="1"/>
                <w:color w:val="auto"/>
              </w:rPr>
            </w:pPr>
          </w:p>
        </w:tc>
        <w:tc>
          <w:tcPr>
            <w:tcW w:w="1020" w:type="dxa"/>
            <w:vAlign w:val="bottom"/>
            <w:tcBorders>
              <w:bottom w:val="single" w:sz="8" w:color="0033A0"/>
            </w:tcBorders>
          </w:tcPr>
          <w:p>
            <w:pPr>
              <w:spacing w:after="0" w:line="20" w:lineRule="exact"/>
              <w:rPr>
                <w:sz w:val="1"/>
                <w:szCs w:val="1"/>
                <w:color w:val="auto"/>
              </w:rPr>
            </w:pPr>
          </w:p>
        </w:tc>
        <w:tc>
          <w:tcPr>
            <w:tcW w:w="1240" w:type="dxa"/>
            <w:vAlign w:val="bottom"/>
            <w:tcBorders>
              <w:bottom w:val="single" w:sz="8" w:color="0033A0"/>
            </w:tcBorders>
          </w:tcPr>
          <w:p>
            <w:pPr>
              <w:spacing w:after="0" w:line="20" w:lineRule="exact"/>
              <w:rPr>
                <w:sz w:val="1"/>
                <w:szCs w:val="1"/>
                <w:color w:val="auto"/>
              </w:rPr>
            </w:pPr>
          </w:p>
        </w:tc>
        <w:tc>
          <w:tcPr>
            <w:tcW w:w="1060" w:type="dxa"/>
            <w:vAlign w:val="bottom"/>
            <w:tcBorders>
              <w:bottom w:val="single" w:sz="8" w:color="0033A0"/>
            </w:tcBorders>
          </w:tcPr>
          <w:p>
            <w:pPr>
              <w:spacing w:after="0" w:line="20" w:lineRule="exact"/>
              <w:rPr>
                <w:sz w:val="1"/>
                <w:szCs w:val="1"/>
                <w:color w:val="auto"/>
              </w:rPr>
            </w:pPr>
          </w:p>
        </w:tc>
        <w:tc>
          <w:tcPr>
            <w:tcW w:w="1000" w:type="dxa"/>
            <w:vAlign w:val="bottom"/>
            <w:tcBorders>
              <w:bottom w:val="single" w:sz="8" w:color="0033A0"/>
            </w:tcBorders>
          </w:tcPr>
          <w:p>
            <w:pPr>
              <w:spacing w:after="0" w:line="20" w:lineRule="exact"/>
              <w:rPr>
                <w:sz w:val="1"/>
                <w:szCs w:val="1"/>
                <w:color w:val="auto"/>
              </w:rPr>
            </w:pPr>
          </w:p>
        </w:tc>
        <w:tc>
          <w:tcPr>
            <w:tcW w:w="1080" w:type="dxa"/>
            <w:vAlign w:val="bottom"/>
            <w:tcBorders>
              <w:bottom w:val="single" w:sz="8" w:color="0033A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40" w:hanging="330"/>
        <w:spacing w:after="0" w:line="253" w:lineRule="auto"/>
        <w:tabs>
          <w:tab w:leader="none" w:pos="54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Cash amounts shown for Executive Severance Program and Change in Control with Termination are based on the Executive Severance Program. Payments are 2X base salary for the CEO and 1.5X base salary for all other NEOs. Under the Executive Severance Program, the CEO is eligible for a cash payment equal to 24 months of COBRA premiums and the other NEOs are eligible for a cash payment equal to 18 months of COBRA premiums. There are no cash payments due upon Retirement, Disability, or Death.</w:t>
      </w:r>
    </w:p>
    <w:p>
      <w:pPr>
        <w:spacing w:after="0" w:line="36" w:lineRule="exact"/>
        <w:rPr>
          <w:rFonts w:ascii="Arial" w:cs="Arial" w:eastAsia="Arial" w:hAnsi="Arial"/>
          <w:sz w:val="14"/>
          <w:szCs w:val="14"/>
          <w:i w:val="1"/>
          <w:iCs w:val="1"/>
          <w:color w:val="auto"/>
        </w:rPr>
      </w:pPr>
    </w:p>
    <w:p>
      <w:pPr>
        <w:jc w:val="both"/>
        <w:ind w:left="540" w:hanging="330"/>
        <w:spacing w:after="0" w:line="260" w:lineRule="auto"/>
        <w:tabs>
          <w:tab w:leader="none" w:pos="54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STIP amounts shown under Retirement, Disability, and Death are based on a full-year award and final company performance. STIP amounts shown for Executive Severance Program and Change in Control with Termination reflect target-level performance. Executives forfeit STIP awards for Voluntary Separation or Termination for Cause.</w:t>
      </w:r>
    </w:p>
    <w:p>
      <w:pPr>
        <w:spacing w:after="0" w:line="29" w:lineRule="exact"/>
        <w:rPr>
          <w:rFonts w:ascii="Arial" w:cs="Arial" w:eastAsia="Arial" w:hAnsi="Arial"/>
          <w:sz w:val="14"/>
          <w:szCs w:val="14"/>
          <w:i w:val="1"/>
          <w:iCs w:val="1"/>
          <w:color w:val="auto"/>
        </w:rPr>
      </w:pPr>
    </w:p>
    <w:p>
      <w:pPr>
        <w:jc w:val="both"/>
        <w:ind w:left="540" w:hanging="330"/>
        <w:spacing w:after="0" w:line="260" w:lineRule="auto"/>
        <w:tabs>
          <w:tab w:leader="none" w:pos="54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LTIP amounts shown reflect the value of unvested RSU awards, PSU awards, and Stock Options that may vest upon termination. The value of the awards is based on the closing stock price on December 31, 2018, of $33.45. Under the Executive Severance Program, structure equity awards are delivered in cash once vested; the value displayed reflects the value of awards that would be subject to payment based on awards outstanding as of December 31, 2018.</w:t>
      </w:r>
    </w:p>
    <w:p>
      <w:pPr>
        <w:spacing w:after="0" w:line="29" w:lineRule="exact"/>
        <w:rPr>
          <w:rFonts w:ascii="Arial" w:cs="Arial" w:eastAsia="Arial" w:hAnsi="Arial"/>
          <w:sz w:val="14"/>
          <w:szCs w:val="14"/>
          <w:i w:val="1"/>
          <w:iCs w:val="1"/>
          <w:color w:val="auto"/>
        </w:rPr>
      </w:pPr>
    </w:p>
    <w:p>
      <w:pPr>
        <w:ind w:left="540" w:hanging="330"/>
        <w:spacing w:after="0"/>
        <w:tabs>
          <w:tab w:leader="none" w:pos="54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Ms. Barra, Mr. Reuss, Mr. Batey, and Mr. Stevens were eligible for full career status retirement as of December 31, 2018.</w:t>
      </w:r>
    </w:p>
    <w:p>
      <w:pPr>
        <w:spacing w:after="0" w:line="68" w:lineRule="exact"/>
        <w:rPr>
          <w:rFonts w:ascii="Arial" w:cs="Arial" w:eastAsia="Arial" w:hAnsi="Arial"/>
          <w:sz w:val="14"/>
          <w:szCs w:val="14"/>
          <w:i w:val="1"/>
          <w:iCs w:val="1"/>
          <w:color w:val="auto"/>
        </w:rPr>
      </w:pPr>
    </w:p>
    <w:p>
      <w:pPr>
        <w:ind w:left="540" w:hanging="330"/>
        <w:spacing w:after="0" w:line="278" w:lineRule="auto"/>
        <w:tabs>
          <w:tab w:leader="none" w:pos="54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Since Mr. Stevens retired on March 1, 2019, the table only reflects a termination based on his retirement on that date. The value of the LTIP awards is based on the closing stock price on March 1, 2019, of $39.53.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68580</wp:posOffset>
            </wp:positionV>
            <wp:extent cx="6852920" cy="1454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66</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40" w:hanging="430"/>
        <w:spacing w:after="0"/>
        <w:tabs>
          <w:tab w:leader="none" w:pos="640" w:val="left"/>
        </w:tabs>
        <w:numPr>
          <w:ilvl w:val="0"/>
          <w:numId w:val="132"/>
        </w:numPr>
        <w:rPr>
          <w:rFonts w:ascii="Arial" w:cs="Arial" w:eastAsia="Arial" w:hAnsi="Arial"/>
          <w:sz w:val="25"/>
          <w:szCs w:val="25"/>
          <w:color w:val="0033A0"/>
        </w:rPr>
      </w:pPr>
      <w:r>
        <w:rPr>
          <w:rFonts w:ascii="Arial" w:cs="Arial" w:eastAsia="Arial" w:hAnsi="Arial"/>
          <w:sz w:val="25"/>
          <w:szCs w:val="25"/>
          <w:color w:val="auto"/>
        </w:rPr>
        <w:t>CEO Pay Ratio</w:t>
      </w:r>
    </w:p>
    <w:p>
      <w:pPr>
        <w:spacing w:after="0" w:line="185"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Our CEO, who leads our global workforce of 173,000 (103,000 are located in the United States and 70,000 are non-U.S. employees) earned $21,870,450 in total compensation in 2018 as reported in the Summary Compensation Table.</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identify our median employee, we:</w:t>
      </w:r>
    </w:p>
    <w:p>
      <w:pPr>
        <w:spacing w:after="0" w:line="126" w:lineRule="exact"/>
        <w:rPr>
          <w:sz w:val="20"/>
          <w:szCs w:val="20"/>
          <w:color w:val="auto"/>
        </w:rPr>
      </w:pPr>
    </w:p>
    <w:p>
      <w:pPr>
        <w:jc w:val="both"/>
        <w:ind w:left="960" w:hanging="426"/>
        <w:spacing w:after="0" w:line="250" w:lineRule="auto"/>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Excluded all employees (8,175) in the following 26 countries under the SEC’s 5% de minimis exception: Chile (200), China (771), Colombia (1,188), Germany (17), Ecuador (716), Egypt (809), Indonesia (44), Ireland (221), Israel (246), Italy (714), Japan (39), New Zealand (37), Peru (43), Philippines (372), Romania (1), Russia (106), Singapore (44), South Africa (10), Switzerland (26), Taiwan (9), Thailand (1,943), United Arab Emirates (205), United Kingdom (52), Uruguay (13), Uzbekistan (7), and Vietnam (342)</w:t>
      </w:r>
    </w:p>
    <w:p>
      <w:pPr>
        <w:spacing w:after="0" w:line="110" w:lineRule="exact"/>
        <w:rPr>
          <w:rFonts w:ascii="Arial" w:cs="Arial" w:eastAsia="Arial" w:hAnsi="Arial"/>
          <w:sz w:val="16"/>
          <w:szCs w:val="16"/>
          <w:color w:val="auto"/>
        </w:rPr>
      </w:pPr>
    </w:p>
    <w:p>
      <w:pPr>
        <w:ind w:left="960" w:hanging="426"/>
        <w:spacing w:after="0"/>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Calculated year-to-date payroll as of November 1, 2018, for all employees, excluding the CEO</w:t>
      </w:r>
    </w:p>
    <w:p>
      <w:pPr>
        <w:spacing w:after="0" w:line="126" w:lineRule="exact"/>
        <w:rPr>
          <w:rFonts w:ascii="Arial" w:cs="Arial" w:eastAsia="Arial" w:hAnsi="Arial"/>
          <w:sz w:val="16"/>
          <w:szCs w:val="16"/>
          <w:color w:val="auto"/>
        </w:rPr>
      </w:pPr>
    </w:p>
    <w:p>
      <w:pPr>
        <w:ind w:left="960" w:hanging="426"/>
        <w:spacing w:after="0"/>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Identified the middle 51 employees using year-to-date payroll converted to U.S. dollars as a consistently applied compensation measure</w:t>
      </w:r>
    </w:p>
    <w:p>
      <w:pPr>
        <w:spacing w:after="0" w:line="126" w:lineRule="exact"/>
        <w:rPr>
          <w:rFonts w:ascii="Arial" w:cs="Arial" w:eastAsia="Arial" w:hAnsi="Arial"/>
          <w:sz w:val="16"/>
          <w:szCs w:val="16"/>
          <w:color w:val="auto"/>
        </w:rPr>
      </w:pPr>
    </w:p>
    <w:p>
      <w:pPr>
        <w:ind w:left="960" w:right="20" w:hanging="426"/>
        <w:spacing w:after="0" w:line="260" w:lineRule="auto"/>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Calculated annual total compensation for the 51 middle employees based on the same SEC requirements that apply to determine total compensation in the Summary Compensation Table</w:t>
      </w:r>
    </w:p>
    <w:p>
      <w:pPr>
        <w:spacing w:after="0" w:line="100" w:lineRule="exact"/>
        <w:rPr>
          <w:rFonts w:ascii="Arial" w:cs="Arial" w:eastAsia="Arial" w:hAnsi="Arial"/>
          <w:sz w:val="16"/>
          <w:szCs w:val="16"/>
          <w:color w:val="auto"/>
        </w:rPr>
      </w:pPr>
    </w:p>
    <w:p>
      <w:pPr>
        <w:ind w:left="960" w:hanging="426"/>
        <w:spacing w:after="0"/>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Re-ranked all middle 51 employees and selected the median employee</w:t>
      </w:r>
    </w:p>
    <w:p>
      <w:pPr>
        <w:spacing w:after="0" w:line="113"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At GM, we believe that fair and equitable pay is an essential element of any successful organization and we invest in our employees with market competitive pay and benefits. We compensate our employees to create alignment with the short-term and long-term goals tied to the success of the organization and align to our vision of zero crashes, zero emissions, and zero congestion.</w:t>
      </w:r>
    </w:p>
    <w:p>
      <w:pPr>
        <w:spacing w:after="0" w:line="93"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Based on our calculation we can reasonably estimate that our median employee earned $77,849 in 2018. The ratio of our CEO’s compensation to that of our median employee is estimated to be 281:1.</w:t>
      </w:r>
    </w:p>
    <w:p>
      <w:pPr>
        <w:spacing w:after="0" w:line="8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SEC’s rules for identifying the median employee and calculating the pay ratio based on that employee’s annual total compensation allow companies to adopt a variety of methodologies to calculate the median employee, excluding up to 5% of the workforce, and make reasonable estimates and assumptions that may impact their employee populations. As a result, the pay ratio reported by other companies may not be comparable to the pay ratio reported above. Other companies have different employee populations and compensation practices and the ability to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86360</wp:posOffset>
            </wp:positionV>
            <wp:extent cx="6758305" cy="1282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21"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67</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Equity Compensation Plan Information</w:t>
      </w:r>
    </w:p>
    <w:p>
      <w:pPr>
        <w:spacing w:after="0" w:line="227"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following table provides information as of December 31, 2018, about the Company’s common stock that may be issued upon the exercise of options, warrants, and rights under all the Company’s existing equity compensation plans.</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4440" w:type="dxa"/>
            <w:vAlign w:val="bottom"/>
            <w:tcBorders>
              <w:top w:val="single" w:sz="8" w:color="00A1DF"/>
            </w:tcBorders>
          </w:tcPr>
          <w:p>
            <w:pPr>
              <w:spacing w:after="0"/>
              <w:rPr>
                <w:sz w:val="14"/>
                <w:szCs w:val="14"/>
                <w:color w:val="auto"/>
              </w:rPr>
            </w:pPr>
          </w:p>
        </w:tc>
        <w:tc>
          <w:tcPr>
            <w:tcW w:w="2160" w:type="dxa"/>
            <w:vAlign w:val="bottom"/>
            <w:tcBorders>
              <w:top w:val="single" w:sz="8" w:color="00A1DF"/>
            </w:tcBorders>
          </w:tcPr>
          <w:p>
            <w:pPr>
              <w:spacing w:after="0"/>
              <w:rPr>
                <w:sz w:val="14"/>
                <w:szCs w:val="14"/>
                <w:color w:val="auto"/>
              </w:rPr>
            </w:pPr>
          </w:p>
        </w:tc>
        <w:tc>
          <w:tcPr>
            <w:tcW w:w="2320" w:type="dxa"/>
            <w:vAlign w:val="bottom"/>
            <w:tcBorders>
              <w:top w:val="single" w:sz="8" w:color="00A1DF"/>
            </w:tcBorders>
          </w:tcPr>
          <w:p>
            <w:pPr>
              <w:spacing w:after="0"/>
              <w:rPr>
                <w:sz w:val="14"/>
                <w:szCs w:val="14"/>
                <w:color w:val="auto"/>
              </w:rPr>
            </w:pPr>
          </w:p>
        </w:tc>
        <w:tc>
          <w:tcPr>
            <w:tcW w:w="2080" w:type="dxa"/>
            <w:vAlign w:val="bottom"/>
            <w:tcBorders>
              <w:top w:val="single" w:sz="8" w:color="00A1DF"/>
            </w:tcBorders>
          </w:tcPr>
          <w:p>
            <w:pPr>
              <w:jc w:val="right"/>
              <w:spacing w:after="0" w:line="167" w:lineRule="exact"/>
              <w:rPr>
                <w:sz w:val="20"/>
                <w:szCs w:val="20"/>
                <w:color w:val="auto"/>
              </w:rPr>
            </w:pPr>
            <w:r>
              <w:rPr>
                <w:rFonts w:ascii="Arial" w:cs="Arial" w:eastAsia="Arial" w:hAnsi="Arial"/>
                <w:sz w:val="15"/>
                <w:szCs w:val="15"/>
                <w:b w:val="1"/>
                <w:bCs w:val="1"/>
                <w:color w:val="00A1DF"/>
              </w:rPr>
              <w:t>Number of Securities</w:t>
            </w:r>
          </w:p>
        </w:tc>
      </w:tr>
      <w:tr>
        <w:trPr>
          <w:trHeight w:val="162"/>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Remaining Available for</w:t>
            </w:r>
          </w:p>
        </w:tc>
      </w:tr>
      <w:tr>
        <w:trPr>
          <w:trHeight w:val="162"/>
        </w:trPr>
        <w:tc>
          <w:tcPr>
            <w:tcW w:w="4440" w:type="dxa"/>
            <w:vAlign w:val="bottom"/>
          </w:tcPr>
          <w:p>
            <w:pPr>
              <w:spacing w:after="0"/>
              <w:rPr>
                <w:sz w:val="14"/>
                <w:szCs w:val="14"/>
                <w:color w:val="auto"/>
              </w:rPr>
            </w:pPr>
          </w:p>
        </w:tc>
        <w:tc>
          <w:tcPr>
            <w:tcW w:w="2160" w:type="dxa"/>
            <w:vAlign w:val="bottom"/>
          </w:tcPr>
          <w:p>
            <w:pPr>
              <w:jc w:val="right"/>
              <w:ind w:right="144"/>
              <w:spacing w:after="0" w:line="162" w:lineRule="exact"/>
              <w:rPr>
                <w:sz w:val="20"/>
                <w:szCs w:val="20"/>
                <w:color w:val="auto"/>
              </w:rPr>
            </w:pPr>
            <w:r>
              <w:rPr>
                <w:rFonts w:ascii="Arial" w:cs="Arial" w:eastAsia="Arial" w:hAnsi="Arial"/>
                <w:sz w:val="15"/>
                <w:szCs w:val="15"/>
                <w:b w:val="1"/>
                <w:bCs w:val="1"/>
                <w:color w:val="00A1DF"/>
              </w:rPr>
              <w:t>Number of Securities to</w:t>
            </w:r>
          </w:p>
        </w:tc>
        <w:tc>
          <w:tcPr>
            <w:tcW w:w="2320" w:type="dxa"/>
            <w:vAlign w:val="bottom"/>
          </w:tcPr>
          <w:p>
            <w:pPr>
              <w:spacing w:after="0"/>
              <w:rPr>
                <w:sz w:val="14"/>
                <w:szCs w:val="14"/>
                <w:color w:val="auto"/>
              </w:rPr>
            </w:pP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Future Issuance Under</w:t>
            </w:r>
          </w:p>
        </w:tc>
      </w:tr>
      <w:tr>
        <w:trPr>
          <w:trHeight w:val="162"/>
        </w:trPr>
        <w:tc>
          <w:tcPr>
            <w:tcW w:w="4440" w:type="dxa"/>
            <w:vAlign w:val="bottom"/>
          </w:tcPr>
          <w:p>
            <w:pPr>
              <w:spacing w:after="0"/>
              <w:rPr>
                <w:sz w:val="14"/>
                <w:szCs w:val="14"/>
                <w:color w:val="auto"/>
              </w:rPr>
            </w:pPr>
          </w:p>
        </w:tc>
        <w:tc>
          <w:tcPr>
            <w:tcW w:w="2160" w:type="dxa"/>
            <w:vAlign w:val="bottom"/>
          </w:tcPr>
          <w:p>
            <w:pPr>
              <w:jc w:val="right"/>
              <w:ind w:right="144"/>
              <w:spacing w:after="0" w:line="162" w:lineRule="exact"/>
              <w:rPr>
                <w:sz w:val="20"/>
                <w:szCs w:val="20"/>
                <w:color w:val="auto"/>
              </w:rPr>
            </w:pPr>
            <w:r>
              <w:rPr>
                <w:rFonts w:ascii="Arial" w:cs="Arial" w:eastAsia="Arial" w:hAnsi="Arial"/>
                <w:sz w:val="15"/>
                <w:szCs w:val="15"/>
                <w:b w:val="1"/>
                <w:bCs w:val="1"/>
                <w:color w:val="00A1DF"/>
              </w:rPr>
              <w:t>be Issued Upon Exercise</w:t>
            </w:r>
          </w:p>
        </w:tc>
        <w:tc>
          <w:tcPr>
            <w:tcW w:w="232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00A1DF"/>
              </w:rPr>
              <w:t>Weighted-Average Exercise</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Equity Compensation Plan</w:t>
            </w:r>
          </w:p>
        </w:tc>
      </w:tr>
      <w:tr>
        <w:trPr>
          <w:trHeight w:val="162"/>
        </w:trPr>
        <w:tc>
          <w:tcPr>
            <w:tcW w:w="4440" w:type="dxa"/>
            <w:vAlign w:val="bottom"/>
          </w:tcPr>
          <w:p>
            <w:pPr>
              <w:spacing w:after="0"/>
              <w:rPr>
                <w:sz w:val="14"/>
                <w:szCs w:val="14"/>
                <w:color w:val="auto"/>
              </w:rPr>
            </w:pPr>
          </w:p>
        </w:tc>
        <w:tc>
          <w:tcPr>
            <w:tcW w:w="2160" w:type="dxa"/>
            <w:vAlign w:val="bottom"/>
          </w:tcPr>
          <w:p>
            <w:pPr>
              <w:jc w:val="right"/>
              <w:ind w:right="144"/>
              <w:spacing w:after="0" w:line="162" w:lineRule="exact"/>
              <w:rPr>
                <w:sz w:val="20"/>
                <w:szCs w:val="20"/>
                <w:color w:val="auto"/>
              </w:rPr>
            </w:pPr>
            <w:r>
              <w:rPr>
                <w:rFonts w:ascii="Arial" w:cs="Arial" w:eastAsia="Arial" w:hAnsi="Arial"/>
                <w:sz w:val="15"/>
                <w:szCs w:val="15"/>
                <w:b w:val="1"/>
                <w:bCs w:val="1"/>
                <w:color w:val="00A1DF"/>
              </w:rPr>
              <w:t>of Outstanding Options,</w:t>
            </w:r>
          </w:p>
        </w:tc>
        <w:tc>
          <w:tcPr>
            <w:tcW w:w="232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00A1DF"/>
              </w:rPr>
              <w:t>Price of Outstanding Options,</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(excluding securities</w:t>
            </w:r>
          </w:p>
        </w:tc>
      </w:tr>
      <w:tr>
        <w:trPr>
          <w:trHeight w:val="162"/>
        </w:trPr>
        <w:tc>
          <w:tcPr>
            <w:tcW w:w="4440" w:type="dxa"/>
            <w:vAlign w:val="bottom"/>
          </w:tcPr>
          <w:p>
            <w:pPr>
              <w:spacing w:after="0"/>
              <w:rPr>
                <w:sz w:val="14"/>
                <w:szCs w:val="14"/>
                <w:color w:val="auto"/>
              </w:rPr>
            </w:pPr>
          </w:p>
        </w:tc>
        <w:tc>
          <w:tcPr>
            <w:tcW w:w="2160" w:type="dxa"/>
            <w:vAlign w:val="bottom"/>
          </w:tcPr>
          <w:p>
            <w:pPr>
              <w:jc w:val="right"/>
              <w:ind w:right="144"/>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32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reflected in column (A))</w:t>
            </w:r>
          </w:p>
        </w:tc>
      </w:tr>
      <w:tr>
        <w:trPr>
          <w:trHeight w:val="197"/>
        </w:trPr>
        <w:tc>
          <w:tcPr>
            <w:tcW w:w="444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Plan Category</w:t>
            </w:r>
          </w:p>
        </w:tc>
        <w:tc>
          <w:tcPr>
            <w:tcW w:w="2160" w:type="dxa"/>
            <w:vAlign w:val="bottom"/>
            <w:tcBorders>
              <w:bottom w:val="single" w:sz="8" w:color="00A1DF"/>
            </w:tcBorders>
          </w:tcPr>
          <w:p>
            <w:pPr>
              <w:jc w:val="right"/>
              <w:ind w:right="144"/>
              <w:spacing w:after="0"/>
              <w:rPr>
                <w:sz w:val="20"/>
                <w:szCs w:val="20"/>
                <w:color w:val="auto"/>
              </w:rPr>
            </w:pPr>
            <w:r>
              <w:rPr>
                <w:rFonts w:ascii="Arial" w:cs="Arial" w:eastAsia="Arial" w:hAnsi="Arial"/>
                <w:sz w:val="15"/>
                <w:szCs w:val="15"/>
                <w:b w:val="1"/>
                <w:bCs w:val="1"/>
                <w:color w:val="00A1DF"/>
              </w:rPr>
              <w:t>(A)</w:t>
            </w:r>
          </w:p>
        </w:tc>
        <w:tc>
          <w:tcPr>
            <w:tcW w:w="2320" w:type="dxa"/>
            <w:vAlign w:val="bottom"/>
            <w:tcBorders>
              <w:bottom w:val="single" w:sz="8" w:color="00A1DF"/>
            </w:tcBorders>
          </w:tcPr>
          <w:p>
            <w:pPr>
              <w:jc w:val="right"/>
              <w:ind w:right="4"/>
              <w:spacing w:after="0"/>
              <w:rPr>
                <w:sz w:val="20"/>
                <w:szCs w:val="20"/>
                <w:color w:val="auto"/>
              </w:rPr>
            </w:pPr>
            <w:r>
              <w:rPr>
                <w:rFonts w:ascii="Arial" w:cs="Arial" w:eastAsia="Arial" w:hAnsi="Arial"/>
                <w:sz w:val="15"/>
                <w:szCs w:val="15"/>
                <w:b w:val="1"/>
                <w:bCs w:val="1"/>
                <w:color w:val="00A1DF"/>
              </w:rPr>
              <w:t>(B)</w:t>
            </w:r>
          </w:p>
        </w:tc>
        <w:tc>
          <w:tcPr>
            <w:tcW w:w="208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(C)</w:t>
            </w:r>
          </w:p>
        </w:tc>
      </w:tr>
      <w:tr>
        <w:trPr>
          <w:trHeight w:val="232"/>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Equity compensation plans approved by security holders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42,292,048</w:t>
            </w:r>
            <w:r>
              <w:rPr>
                <w:rFonts w:ascii="Arial" w:cs="Arial" w:eastAsia="Arial" w:hAnsi="Arial"/>
                <w:sz w:val="12"/>
                <w:szCs w:val="12"/>
                <w:color w:val="auto"/>
              </w:rPr>
              <w:t>(1)</w:t>
            </w:r>
          </w:p>
        </w:tc>
        <w:tc>
          <w:tcPr>
            <w:tcW w:w="23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$33.36</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35,165,607</w:t>
            </w:r>
          </w:p>
        </w:tc>
      </w:tr>
      <w:tr>
        <w:trPr>
          <w:trHeight w:val="236"/>
        </w:trPr>
        <w:tc>
          <w:tcPr>
            <w:tcW w:w="444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12"/>
                <w:szCs w:val="12"/>
                <w:color w:val="auto"/>
              </w:rPr>
              <w:t>(2)</w:t>
            </w:r>
          </w:p>
        </w:tc>
        <w:tc>
          <w:tcPr>
            <w:tcW w:w="216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1,826,890</w:t>
            </w:r>
            <w:r>
              <w:rPr>
                <w:rFonts w:ascii="Arial" w:cs="Arial" w:eastAsia="Arial" w:hAnsi="Arial"/>
                <w:sz w:val="12"/>
                <w:szCs w:val="12"/>
                <w:color w:val="auto"/>
              </w:rPr>
              <w:t>(3)</w:t>
            </w:r>
          </w:p>
        </w:tc>
        <w:tc>
          <w:tcPr>
            <w:tcW w:w="2320" w:type="dxa"/>
            <w:vAlign w:val="bottom"/>
            <w:tcBorders>
              <w:bottom w:val="single" w:sz="8" w:color="0033A0"/>
            </w:tcBorders>
          </w:tcPr>
          <w:p>
            <w:pPr>
              <w:jc w:val="right"/>
              <w:ind w:right="4"/>
              <w:spacing w:after="0"/>
              <w:rPr>
                <w:sz w:val="20"/>
                <w:szCs w:val="20"/>
                <w:color w:val="auto"/>
              </w:rPr>
            </w:pPr>
            <w:r>
              <w:rPr>
                <w:rFonts w:ascii="Arial" w:cs="Arial" w:eastAsia="Arial" w:hAnsi="Arial"/>
                <w:sz w:val="15"/>
                <w:szCs w:val="15"/>
                <w:color w:val="auto"/>
              </w:rPr>
              <w:t>—</w:t>
            </w:r>
          </w:p>
        </w:tc>
        <w:tc>
          <w:tcPr>
            <w:tcW w:w="20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15,187</w:t>
            </w:r>
          </w:p>
        </w:tc>
      </w:tr>
      <w:tr>
        <w:trPr>
          <w:trHeight w:val="236"/>
        </w:trPr>
        <w:tc>
          <w:tcPr>
            <w:tcW w:w="444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Total</w:t>
            </w:r>
          </w:p>
        </w:tc>
        <w:tc>
          <w:tcPr>
            <w:tcW w:w="216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44,118,938</w:t>
            </w:r>
            <w:r>
              <w:rPr>
                <w:rFonts w:ascii="Arial" w:cs="Arial" w:eastAsia="Arial" w:hAnsi="Arial"/>
                <w:sz w:val="12"/>
                <w:szCs w:val="12"/>
                <w:color w:val="auto"/>
              </w:rPr>
              <w:t>(4)</w:t>
            </w:r>
          </w:p>
        </w:tc>
        <w:tc>
          <w:tcPr>
            <w:tcW w:w="2320" w:type="dxa"/>
            <w:vAlign w:val="bottom"/>
            <w:tcBorders>
              <w:bottom w:val="single" w:sz="8" w:color="0033A0"/>
            </w:tcBorders>
          </w:tcPr>
          <w:p>
            <w:pPr>
              <w:jc w:val="right"/>
              <w:ind w:right="4"/>
              <w:spacing w:after="0"/>
              <w:rPr>
                <w:sz w:val="20"/>
                <w:szCs w:val="20"/>
                <w:color w:val="auto"/>
              </w:rPr>
            </w:pPr>
            <w:r>
              <w:rPr>
                <w:rFonts w:ascii="Arial" w:cs="Arial" w:eastAsia="Arial" w:hAnsi="Arial"/>
                <w:sz w:val="15"/>
                <w:szCs w:val="15"/>
                <w:color w:val="auto"/>
              </w:rPr>
              <w:t>$33.36</w:t>
            </w:r>
          </w:p>
        </w:tc>
        <w:tc>
          <w:tcPr>
            <w:tcW w:w="20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35,180,794</w:t>
            </w:r>
          </w:p>
        </w:tc>
      </w:tr>
    </w:tbl>
    <w:p>
      <w:pPr>
        <w:spacing w:after="0" w:line="58" w:lineRule="exact"/>
        <w:rPr>
          <w:sz w:val="20"/>
          <w:szCs w:val="20"/>
          <w:color w:val="auto"/>
        </w:rPr>
      </w:pPr>
    </w:p>
    <w:p>
      <w:pPr>
        <w:ind w:left="540" w:hanging="330"/>
        <w:spacing w:after="0"/>
        <w:tabs>
          <w:tab w:leader="none" w:pos="54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includes the following:</w:t>
      </w:r>
    </w:p>
    <w:p>
      <w:pPr>
        <w:spacing w:after="0" w:line="68" w:lineRule="exact"/>
        <w:rPr>
          <w:rFonts w:ascii="Arial" w:cs="Arial" w:eastAsia="Arial" w:hAnsi="Arial"/>
          <w:sz w:val="14"/>
          <w:szCs w:val="14"/>
          <w:i w:val="1"/>
          <w:iCs w:val="1"/>
          <w:color w:val="auto"/>
        </w:rPr>
      </w:pPr>
    </w:p>
    <w:p>
      <w:pPr>
        <w:ind w:left="960" w:hanging="426"/>
        <w:spacing w:after="0"/>
        <w:tabs>
          <w:tab w:leader="none" w:pos="960" w:val="left"/>
        </w:tabs>
        <w:numPr>
          <w:ilvl w:val="1"/>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26,058,051 shares represent options.</w:t>
      </w:r>
    </w:p>
    <w:p>
      <w:pPr>
        <w:spacing w:after="0" w:line="68" w:lineRule="exact"/>
        <w:rPr>
          <w:rFonts w:ascii="Arial" w:cs="Arial" w:eastAsia="Arial" w:hAnsi="Arial"/>
          <w:sz w:val="14"/>
          <w:szCs w:val="14"/>
          <w:i w:val="1"/>
          <w:iCs w:val="1"/>
          <w:color w:val="auto"/>
        </w:rPr>
      </w:pPr>
    </w:p>
    <w:p>
      <w:pPr>
        <w:ind w:left="960" w:right="100" w:hanging="426"/>
        <w:spacing w:after="0" w:line="278" w:lineRule="auto"/>
        <w:tabs>
          <w:tab w:leader="none" w:pos="960" w:val="left"/>
        </w:tabs>
        <w:numPr>
          <w:ilvl w:val="1"/>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13,792,124 shares represent PSU awards assuming performance is achieved at target. For performance above target, awards may be settled in common stock, cash, or a combination of both.</w:t>
      </w:r>
    </w:p>
    <w:p>
      <w:pPr>
        <w:spacing w:after="0" w:line="18" w:lineRule="exact"/>
        <w:rPr>
          <w:rFonts w:ascii="Arial" w:cs="Arial" w:eastAsia="Arial" w:hAnsi="Arial"/>
          <w:sz w:val="14"/>
          <w:szCs w:val="14"/>
          <w:i w:val="1"/>
          <w:iCs w:val="1"/>
          <w:color w:val="auto"/>
        </w:rPr>
      </w:pPr>
    </w:p>
    <w:p>
      <w:pPr>
        <w:ind w:left="960" w:hanging="426"/>
        <w:spacing w:after="0"/>
        <w:tabs>
          <w:tab w:leader="none" w:pos="960" w:val="left"/>
        </w:tabs>
        <w:numPr>
          <w:ilvl w:val="1"/>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2,441,873 shares represent RSUs.</w:t>
      </w:r>
    </w:p>
    <w:p>
      <w:pPr>
        <w:spacing w:after="0" w:line="68" w:lineRule="exact"/>
        <w:rPr>
          <w:rFonts w:ascii="Arial" w:cs="Arial" w:eastAsia="Arial" w:hAnsi="Arial"/>
          <w:sz w:val="14"/>
          <w:szCs w:val="14"/>
          <w:i w:val="1"/>
          <w:iCs w:val="1"/>
          <w:color w:val="auto"/>
        </w:rPr>
      </w:pPr>
    </w:p>
    <w:p>
      <w:pPr>
        <w:ind w:left="540" w:hanging="330"/>
        <w:spacing w:after="0"/>
        <w:tabs>
          <w:tab w:leader="none" w:pos="54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2016 Equity Incentive Plan – refer to Note 21 in our Annual Report on Form 10-K for the fiscal year ended December 31, 2016.</w:t>
      </w:r>
    </w:p>
    <w:p>
      <w:pPr>
        <w:spacing w:after="0" w:line="68" w:lineRule="exact"/>
        <w:rPr>
          <w:rFonts w:ascii="Arial" w:cs="Arial" w:eastAsia="Arial" w:hAnsi="Arial"/>
          <w:sz w:val="14"/>
          <w:szCs w:val="14"/>
          <w:i w:val="1"/>
          <w:iCs w:val="1"/>
          <w:color w:val="auto"/>
        </w:rPr>
      </w:pPr>
    </w:p>
    <w:p>
      <w:pPr>
        <w:ind w:left="540" w:hanging="330"/>
        <w:spacing w:after="0"/>
        <w:tabs>
          <w:tab w:leader="none" w:pos="54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RSUs, RSAs, and PSUs. PSUs may be issued upon achievement of performance conditions.</w:t>
      </w:r>
    </w:p>
    <w:p>
      <w:pPr>
        <w:spacing w:after="0" w:line="68" w:lineRule="exact"/>
        <w:rPr>
          <w:rFonts w:ascii="Arial" w:cs="Arial" w:eastAsia="Arial" w:hAnsi="Arial"/>
          <w:sz w:val="14"/>
          <w:szCs w:val="14"/>
          <w:i w:val="1"/>
          <w:iCs w:val="1"/>
          <w:color w:val="auto"/>
        </w:rPr>
      </w:pPr>
    </w:p>
    <w:p>
      <w:pPr>
        <w:ind w:left="540" w:hanging="330"/>
        <w:spacing w:after="0"/>
        <w:tabs>
          <w:tab w:leader="none" w:pos="54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3,988,220 stock-based units that are required to be settled in cash pursuant to award agreements.</w:t>
      </w:r>
    </w:p>
    <w:p>
      <w:pPr>
        <w:spacing w:after="0" w:line="295"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following table provides information on share usage for awards granted and performance awards vested/earned during fiscal year 2018 under the Company’s equity compensation plans.</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5260" w:type="dxa"/>
            <w:vAlign w:val="bottom"/>
            <w:tcBorders>
              <w:top w:val="single" w:sz="8" w:color="00A1DF"/>
            </w:tcBorders>
          </w:tcPr>
          <w:p>
            <w:pPr>
              <w:spacing w:after="0"/>
              <w:rPr>
                <w:sz w:val="14"/>
                <w:szCs w:val="14"/>
                <w:color w:val="auto"/>
              </w:rPr>
            </w:pPr>
          </w:p>
        </w:tc>
        <w:tc>
          <w:tcPr>
            <w:tcW w:w="3900" w:type="dxa"/>
            <w:vAlign w:val="bottom"/>
            <w:tcBorders>
              <w:top w:val="single" w:sz="8" w:color="00A1DF"/>
            </w:tcBorders>
          </w:tcPr>
          <w:p>
            <w:pPr>
              <w:spacing w:after="0"/>
              <w:rPr>
                <w:sz w:val="14"/>
                <w:szCs w:val="14"/>
                <w:color w:val="auto"/>
              </w:rPr>
            </w:pPr>
          </w:p>
        </w:tc>
        <w:tc>
          <w:tcPr>
            <w:tcW w:w="1840" w:type="dxa"/>
            <w:vAlign w:val="bottom"/>
            <w:tcBorders>
              <w:top w:val="single" w:sz="8" w:color="00A1DF"/>
            </w:tcBorders>
          </w:tcPr>
          <w:p>
            <w:pPr>
              <w:jc w:val="right"/>
              <w:spacing w:after="0" w:line="167" w:lineRule="exact"/>
              <w:rPr>
                <w:sz w:val="20"/>
                <w:szCs w:val="20"/>
                <w:color w:val="auto"/>
              </w:rPr>
            </w:pPr>
            <w:r>
              <w:rPr>
                <w:rFonts w:ascii="Arial" w:cs="Arial" w:eastAsia="Arial" w:hAnsi="Arial"/>
                <w:sz w:val="15"/>
                <w:szCs w:val="15"/>
                <w:b w:val="1"/>
                <w:bCs w:val="1"/>
                <w:color w:val="00A1DF"/>
              </w:rPr>
              <w:t>Performance Awards</w:t>
            </w:r>
          </w:p>
        </w:tc>
      </w:tr>
      <w:tr>
        <w:trPr>
          <w:trHeight w:val="197"/>
        </w:trPr>
        <w:tc>
          <w:tcPr>
            <w:tcW w:w="5260" w:type="dxa"/>
            <w:vAlign w:val="bottom"/>
            <w:tcBorders>
              <w:bottom w:val="single" w:sz="8" w:color="00A1DF"/>
            </w:tcBorders>
          </w:tcPr>
          <w:p>
            <w:pPr>
              <w:spacing w:after="0"/>
              <w:rPr>
                <w:sz w:val="17"/>
                <w:szCs w:val="17"/>
                <w:color w:val="auto"/>
              </w:rPr>
            </w:pPr>
          </w:p>
        </w:tc>
        <w:tc>
          <w:tcPr>
            <w:tcW w:w="3900" w:type="dxa"/>
            <w:vAlign w:val="bottom"/>
            <w:tcBorders>
              <w:bottom w:val="single" w:sz="8" w:color="00A1DF"/>
            </w:tcBorders>
          </w:tcPr>
          <w:p>
            <w:pPr>
              <w:jc w:val="right"/>
              <w:ind w:right="201"/>
              <w:spacing w:after="0"/>
              <w:rPr>
                <w:sz w:val="20"/>
                <w:szCs w:val="20"/>
                <w:color w:val="auto"/>
              </w:rPr>
            </w:pPr>
            <w:r>
              <w:rPr>
                <w:rFonts w:ascii="Arial" w:cs="Arial" w:eastAsia="Arial" w:hAnsi="Arial"/>
                <w:sz w:val="15"/>
                <w:szCs w:val="15"/>
                <w:b w:val="1"/>
                <w:bCs w:val="1"/>
                <w:color w:val="00A1DF"/>
              </w:rPr>
              <w:t xml:space="preserve">Granted </w:t>
            </w:r>
            <w:r>
              <w:rPr>
                <w:rFonts w:ascii="Arial" w:cs="Arial" w:eastAsia="Arial" w:hAnsi="Arial"/>
                <w:sz w:val="12"/>
                <w:szCs w:val="12"/>
                <w:b w:val="1"/>
                <w:bCs w:val="1"/>
                <w:color w:val="00A1DF"/>
              </w:rPr>
              <w:t>(1)</w:t>
            </w:r>
          </w:p>
        </w:tc>
        <w:tc>
          <w:tcPr>
            <w:tcW w:w="184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Vested/Earned</w:t>
            </w:r>
          </w:p>
        </w:tc>
      </w:tr>
      <w:tr>
        <w:trPr>
          <w:trHeight w:val="178"/>
        </w:trPr>
        <w:tc>
          <w:tcPr>
            <w:tcW w:w="5260" w:type="dxa"/>
            <w:vAlign w:val="bottom"/>
          </w:tcPr>
          <w:p>
            <w:pPr>
              <w:ind w:left="60"/>
              <w:spacing w:after="0"/>
              <w:rPr>
                <w:sz w:val="20"/>
                <w:szCs w:val="20"/>
                <w:color w:val="auto"/>
              </w:rPr>
            </w:pPr>
            <w:r>
              <w:rPr>
                <w:rFonts w:ascii="Arial" w:cs="Arial" w:eastAsia="Arial" w:hAnsi="Arial"/>
                <w:sz w:val="15"/>
                <w:szCs w:val="15"/>
                <w:color w:val="auto"/>
              </w:rPr>
              <w:t>RSUs</w:t>
            </w:r>
          </w:p>
        </w:tc>
        <w:tc>
          <w:tcPr>
            <w:tcW w:w="3900" w:type="dxa"/>
            <w:vAlign w:val="bottom"/>
          </w:tcPr>
          <w:p>
            <w:pPr>
              <w:jc w:val="right"/>
              <w:ind w:right="201"/>
              <w:spacing w:after="0"/>
              <w:rPr>
                <w:sz w:val="20"/>
                <w:szCs w:val="20"/>
                <w:color w:val="auto"/>
              </w:rPr>
            </w:pPr>
            <w:r>
              <w:rPr>
                <w:rFonts w:ascii="Arial" w:cs="Arial" w:eastAsia="Arial" w:hAnsi="Arial"/>
                <w:sz w:val="15"/>
                <w:szCs w:val="15"/>
                <w:color w:val="auto"/>
              </w:rPr>
              <w:t>900,000</w:t>
            </w:r>
          </w:p>
        </w:tc>
        <w:tc>
          <w:tcPr>
            <w:tcW w:w="1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2"/>
        </w:trPr>
        <w:tc>
          <w:tcPr>
            <w:tcW w:w="52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5"/>
        </w:trPr>
        <w:tc>
          <w:tcPr>
            <w:tcW w:w="5260" w:type="dxa"/>
            <w:vAlign w:val="bottom"/>
          </w:tcPr>
          <w:p>
            <w:pPr>
              <w:ind w:left="60"/>
              <w:spacing w:after="0"/>
              <w:rPr>
                <w:sz w:val="20"/>
                <w:szCs w:val="20"/>
                <w:color w:val="auto"/>
              </w:rPr>
            </w:pPr>
            <w:r>
              <w:rPr>
                <w:rFonts w:ascii="Arial" w:cs="Arial" w:eastAsia="Arial" w:hAnsi="Arial"/>
                <w:sz w:val="15"/>
                <w:szCs w:val="15"/>
                <w:color w:val="auto"/>
              </w:rPr>
              <w:t>RSAs</w:t>
            </w:r>
          </w:p>
        </w:tc>
        <w:tc>
          <w:tcPr>
            <w:tcW w:w="3900" w:type="dxa"/>
            <w:vAlign w:val="bottom"/>
          </w:tcPr>
          <w:p>
            <w:pPr>
              <w:jc w:val="right"/>
              <w:ind w:right="201"/>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
        </w:trPr>
        <w:tc>
          <w:tcPr>
            <w:tcW w:w="526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178"/>
        </w:trPr>
        <w:tc>
          <w:tcPr>
            <w:tcW w:w="5260" w:type="dxa"/>
            <w:vAlign w:val="bottom"/>
          </w:tcPr>
          <w:p>
            <w:pPr>
              <w:ind w:left="60"/>
              <w:spacing w:after="0"/>
              <w:rPr>
                <w:sz w:val="20"/>
                <w:szCs w:val="20"/>
                <w:color w:val="auto"/>
              </w:rPr>
            </w:pPr>
            <w:r>
              <w:rPr>
                <w:rFonts w:ascii="Arial" w:cs="Arial" w:eastAsia="Arial" w:hAnsi="Arial"/>
                <w:sz w:val="15"/>
                <w:szCs w:val="15"/>
                <w:color w:val="auto"/>
              </w:rPr>
              <w:t>PSUs</w:t>
            </w:r>
          </w:p>
        </w:tc>
        <w:tc>
          <w:tcPr>
            <w:tcW w:w="3900" w:type="dxa"/>
            <w:vAlign w:val="bottom"/>
          </w:tcPr>
          <w:p>
            <w:pPr>
              <w:jc w:val="right"/>
              <w:ind w:right="201"/>
              <w:spacing w:after="0"/>
              <w:rPr>
                <w:sz w:val="20"/>
                <w:szCs w:val="20"/>
                <w:color w:val="auto"/>
              </w:rPr>
            </w:pPr>
            <w:r>
              <w:rPr>
                <w:rFonts w:ascii="Arial" w:cs="Arial" w:eastAsia="Arial" w:hAnsi="Arial"/>
                <w:sz w:val="15"/>
                <w:szCs w:val="15"/>
                <w:color w:val="auto"/>
              </w:rPr>
              <w:t>4,400,000</w:t>
            </w:r>
          </w:p>
        </w:tc>
        <w:tc>
          <w:tcPr>
            <w:tcW w:w="1840" w:type="dxa"/>
            <w:vAlign w:val="bottom"/>
          </w:tcPr>
          <w:p>
            <w:pPr>
              <w:jc w:val="right"/>
              <w:spacing w:after="0"/>
              <w:rPr>
                <w:sz w:val="20"/>
                <w:szCs w:val="20"/>
                <w:color w:val="auto"/>
              </w:rPr>
            </w:pPr>
            <w:r>
              <w:rPr>
                <w:rFonts w:ascii="Arial" w:cs="Arial" w:eastAsia="Arial" w:hAnsi="Arial"/>
                <w:sz w:val="15"/>
                <w:szCs w:val="15"/>
                <w:color w:val="auto"/>
              </w:rPr>
              <w:t>6,500,000</w:t>
            </w:r>
          </w:p>
        </w:tc>
      </w:tr>
      <w:tr>
        <w:trPr>
          <w:trHeight w:val="32"/>
        </w:trPr>
        <w:tc>
          <w:tcPr>
            <w:tcW w:w="52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5"/>
        </w:trPr>
        <w:tc>
          <w:tcPr>
            <w:tcW w:w="5260" w:type="dxa"/>
            <w:vAlign w:val="bottom"/>
          </w:tcPr>
          <w:p>
            <w:pPr>
              <w:ind w:left="60"/>
              <w:spacing w:after="0"/>
              <w:rPr>
                <w:sz w:val="20"/>
                <w:szCs w:val="20"/>
                <w:color w:val="auto"/>
              </w:rPr>
            </w:pPr>
            <w:r>
              <w:rPr>
                <w:rFonts w:ascii="Arial" w:cs="Arial" w:eastAsia="Arial" w:hAnsi="Arial"/>
                <w:sz w:val="15"/>
                <w:szCs w:val="15"/>
                <w:color w:val="auto"/>
              </w:rPr>
              <w:t>Time-Based Stock Options</w:t>
            </w:r>
          </w:p>
        </w:tc>
        <w:tc>
          <w:tcPr>
            <w:tcW w:w="3900" w:type="dxa"/>
            <w:vAlign w:val="bottom"/>
          </w:tcPr>
          <w:p>
            <w:pPr>
              <w:jc w:val="right"/>
              <w:ind w:right="201"/>
              <w:spacing w:after="0"/>
              <w:rPr>
                <w:sz w:val="20"/>
                <w:szCs w:val="20"/>
                <w:color w:val="auto"/>
              </w:rPr>
            </w:pPr>
            <w:r>
              <w:rPr>
                <w:rFonts w:ascii="Arial" w:cs="Arial" w:eastAsia="Arial" w:hAnsi="Arial"/>
                <w:sz w:val="15"/>
                <w:szCs w:val="15"/>
                <w:color w:val="auto"/>
              </w:rPr>
              <w:t>3,800,000</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
        </w:trPr>
        <w:tc>
          <w:tcPr>
            <w:tcW w:w="5260" w:type="dxa"/>
            <w:vAlign w:val="bottom"/>
            <w:tcBorders>
              <w:bottom w:val="single" w:sz="8" w:color="0033A0"/>
            </w:tcBorders>
          </w:tcPr>
          <w:p>
            <w:pPr>
              <w:spacing w:after="0"/>
              <w:rPr>
                <w:sz w:val="3"/>
                <w:szCs w:val="3"/>
                <w:color w:val="auto"/>
              </w:rPr>
            </w:pPr>
          </w:p>
        </w:tc>
        <w:tc>
          <w:tcPr>
            <w:tcW w:w="3900" w:type="dxa"/>
            <w:vAlign w:val="bottom"/>
            <w:tcBorders>
              <w:bottom w:val="single" w:sz="8" w:color="0033A0"/>
            </w:tcBorders>
          </w:tcPr>
          <w:p>
            <w:pPr>
              <w:spacing w:after="0"/>
              <w:rPr>
                <w:sz w:val="3"/>
                <w:szCs w:val="3"/>
                <w:color w:val="auto"/>
              </w:rPr>
            </w:pPr>
          </w:p>
        </w:tc>
        <w:tc>
          <w:tcPr>
            <w:tcW w:w="1840" w:type="dxa"/>
            <w:vAlign w:val="bottom"/>
            <w:tcBorders>
              <w:bottom w:val="single" w:sz="8" w:color="0033A0"/>
            </w:tcBorders>
          </w:tcPr>
          <w:p>
            <w:pPr>
              <w:spacing w:after="0"/>
              <w:rPr>
                <w:sz w:val="3"/>
                <w:szCs w:val="3"/>
                <w:color w:val="auto"/>
              </w:rPr>
            </w:pPr>
          </w:p>
        </w:tc>
      </w:tr>
      <w:tr>
        <w:trPr>
          <w:trHeight w:val="178"/>
        </w:trPr>
        <w:tc>
          <w:tcPr>
            <w:tcW w:w="5260" w:type="dxa"/>
            <w:vAlign w:val="bottom"/>
          </w:tcPr>
          <w:p>
            <w:pPr>
              <w:ind w:left="60"/>
              <w:spacing w:after="0"/>
              <w:rPr>
                <w:sz w:val="20"/>
                <w:szCs w:val="20"/>
                <w:color w:val="auto"/>
              </w:rPr>
            </w:pPr>
            <w:r>
              <w:rPr>
                <w:rFonts w:ascii="Arial" w:cs="Arial" w:eastAsia="Arial" w:hAnsi="Arial"/>
                <w:sz w:val="15"/>
                <w:szCs w:val="15"/>
                <w:color w:val="auto"/>
              </w:rPr>
              <w:t>Performance-Based Stock Options</w:t>
            </w:r>
          </w:p>
        </w:tc>
        <w:tc>
          <w:tcPr>
            <w:tcW w:w="3900" w:type="dxa"/>
            <w:vAlign w:val="bottom"/>
          </w:tcPr>
          <w:p>
            <w:pPr>
              <w:jc w:val="right"/>
              <w:ind w:right="201"/>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4,800,000</w:t>
            </w:r>
          </w:p>
        </w:tc>
      </w:tr>
      <w:tr>
        <w:trPr>
          <w:trHeight w:val="32"/>
        </w:trPr>
        <w:tc>
          <w:tcPr>
            <w:tcW w:w="5260" w:type="dxa"/>
            <w:vAlign w:val="bottom"/>
            <w:tcBorders>
              <w:bottom w:val="single" w:sz="8" w:color="0033A0"/>
            </w:tcBorders>
          </w:tcPr>
          <w:p>
            <w:pPr>
              <w:spacing w:after="0"/>
              <w:rPr>
                <w:sz w:val="2"/>
                <w:szCs w:val="2"/>
                <w:color w:val="auto"/>
              </w:rPr>
            </w:pPr>
          </w:p>
        </w:tc>
        <w:tc>
          <w:tcPr>
            <w:tcW w:w="3900" w:type="dxa"/>
            <w:vAlign w:val="bottom"/>
            <w:tcBorders>
              <w:bottom w:val="single" w:sz="8" w:color="0033A0"/>
            </w:tcBorders>
          </w:tcPr>
          <w:p>
            <w:pPr>
              <w:spacing w:after="0"/>
              <w:rPr>
                <w:sz w:val="2"/>
                <w:szCs w:val="2"/>
                <w:color w:val="auto"/>
              </w:rPr>
            </w:pPr>
          </w:p>
        </w:tc>
        <w:tc>
          <w:tcPr>
            <w:tcW w:w="1840" w:type="dxa"/>
            <w:vAlign w:val="bottom"/>
            <w:tcBorders>
              <w:bottom w:val="single" w:sz="8" w:color="0033A0"/>
            </w:tcBorders>
          </w:tcPr>
          <w:p>
            <w:pPr>
              <w:spacing w:after="0"/>
              <w:rPr>
                <w:sz w:val="2"/>
                <w:szCs w:val="2"/>
                <w:color w:val="auto"/>
              </w:rPr>
            </w:pPr>
          </w:p>
        </w:tc>
      </w:tr>
    </w:tbl>
    <w:p>
      <w:pPr>
        <w:spacing w:after="0" w:line="58" w:lineRule="exact"/>
        <w:rPr>
          <w:sz w:val="20"/>
          <w:szCs w:val="20"/>
          <w:color w:val="auto"/>
        </w:rPr>
      </w:pPr>
    </w:p>
    <w:p>
      <w:pPr>
        <w:ind w:left="540" w:hanging="330"/>
        <w:spacing w:after="0"/>
        <w:tabs>
          <w:tab w:leader="none" w:pos="540" w:val="left"/>
        </w:tabs>
        <w:numPr>
          <w:ilvl w:val="0"/>
          <w:numId w:val="13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4,600,000 stock-based units that are required to be settled in cash pursuant to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100330</wp:posOffset>
            </wp:positionV>
            <wp:extent cx="6852920" cy="145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68</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600" w:right="1000" w:hanging="1909"/>
        <w:spacing w:after="0" w:line="255" w:lineRule="auto"/>
        <w:rPr>
          <w:sz w:val="20"/>
          <w:szCs w:val="20"/>
          <w:color w:val="auto"/>
        </w:rPr>
      </w:pPr>
      <w:r>
        <w:rPr>
          <w:rFonts w:ascii="Arial" w:cs="Arial" w:eastAsia="Arial" w:hAnsi="Arial"/>
          <w:sz w:val="38"/>
          <w:szCs w:val="38"/>
          <w:b w:val="1"/>
          <w:bCs w:val="1"/>
          <w:color w:val="00A1DF"/>
        </w:rPr>
        <w:t xml:space="preserve">ITEM NO. 2 </w:t>
      </w:r>
      <w:r>
        <w:rPr>
          <w:rFonts w:ascii="Arial" w:cs="Arial" w:eastAsia="Arial" w:hAnsi="Arial"/>
          <w:sz w:val="38"/>
          <w:szCs w:val="38"/>
          <w:color w:val="0033A0"/>
        </w:rPr>
        <w:t>– BOARD PROPOSAL TO APPROVE, ON</w:t>
      </w:r>
      <w:r>
        <w:rPr>
          <w:rFonts w:ascii="Arial" w:cs="Arial" w:eastAsia="Arial" w:hAnsi="Arial"/>
          <w:sz w:val="38"/>
          <w:szCs w:val="38"/>
          <w:b w:val="1"/>
          <w:bCs w:val="1"/>
          <w:color w:val="00A1DF"/>
        </w:rPr>
        <w:t xml:space="preserve"> </w:t>
      </w:r>
      <w:r>
        <w:rPr>
          <w:rFonts w:ascii="Arial" w:cs="Arial" w:eastAsia="Arial" w:hAnsi="Arial"/>
          <w:sz w:val="38"/>
          <w:szCs w:val="38"/>
          <w:color w:val="0033A0"/>
        </w:rPr>
        <w:t>AN ADVISORY BASIS, NAMED EXECUTIVE OFFICER COMPENSATION</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Executive compensation is an important matter for our shareholders. The Dodd-Frank Wall Street Reform and Consumer Protection Act requires that we provide you with the opportunity to vote to approve, on a nonbinding advisory basis, the compensation of our named executive officers, as disclosed in this Proxy Statement in accordance with the compensation disclosure rules of the SEC (sometimes referred to as “Say-on-Pay”).</w:t>
      </w:r>
    </w:p>
    <w:p>
      <w:pPr>
        <w:spacing w:after="0" w:line="99"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Compensation Committee has approved the compensation arrangements for our named executive officers described in our Compensation Discussion and Analysis beginning on page 38 and the accompanying compensation tables beginning on page 58 of this Proxy Statement. We urge you to read the Compensation Discussion and Analysis for a more complete understanding of our executive compensation plans, including our compensation philosophy, objectives, and the 2018 compensation of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shareholders to vote in favor of the following resolution:</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compensation paid to the Company’s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as disclosed pursuant to Item 402 of Regulation S-K, including the Compensation Discussion and Analysis, compensation tables, and the related narrative discussion, is hereby APPROVED.</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an advisory vote, this proposal is nonbinding. Although the vote is nonbinding, the Board of Directors and the Compensation Committee value the opinions of our shareholders and will consider the outcome of the vote when making future compensation decisions for named executive officers.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next Say-on-Pay vote will occur at our 2020 Annual Meeting and the next Say-on-Frequency vote will also occur at our 2020 Annual Meeting.</w:t>
      </w:r>
    </w:p>
    <w:p>
      <w:pPr>
        <w:spacing w:after="0" w:line="728"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Vote Required</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affirmative vote of a majority of the shares of our common stock</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present or represented by proxy and entitled to vote at the Annual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Meeting is required for approval of this proposal. If you own shares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through a broker, bank, or other nominee, you must instruct your broker,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bank, or other nominee on how to vote your shares to ensure that your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shares will be represented and voted on this proposal.</w:t>
      </w: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3A0"/>
        </w:rPr>
        <w:t xml:space="preserve">The Board of Directors recommends a vote </w:t>
      </w:r>
      <w:r>
        <w:rPr>
          <w:rFonts w:ascii="Arial" w:cs="Arial" w:eastAsia="Arial" w:hAnsi="Arial"/>
          <w:sz w:val="18"/>
          <w:szCs w:val="18"/>
          <w:b w:val="1"/>
          <w:bCs w:val="1"/>
          <w:u w:val="single" w:color="auto"/>
          <w:color w:val="00A1DF"/>
        </w:rPr>
        <w:t>FOR</w:t>
      </w:r>
      <w:r>
        <w:rPr>
          <w:rFonts w:ascii="Arial" w:cs="Arial" w:eastAsia="Arial" w:hAnsi="Arial"/>
          <w:sz w:val="18"/>
          <w:szCs w:val="18"/>
          <w:b w:val="1"/>
          <w:bCs w:val="1"/>
          <w:color w:val="0033A0"/>
        </w:rPr>
        <w:t xml:space="preserve"> the advisory proposal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112395</wp:posOffset>
            </wp:positionV>
            <wp:extent cx="6758305" cy="1282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62"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69</w:t>
      </w:r>
    </w:p>
    <w:p>
      <w:pPr>
        <w:sectPr>
          <w:pgSz w:w="11900" w:h="16838" w:orient="portrait"/>
          <w:cols w:equalWidth="0" w:num="1">
            <w:col w:w="11220"/>
          </w:cols>
          <w:pgMar w:left="24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620" w:right="360" w:hanging="1930"/>
        <w:spacing w:after="0" w:line="258" w:lineRule="auto"/>
        <w:rPr>
          <w:sz w:val="20"/>
          <w:szCs w:val="20"/>
          <w:color w:val="auto"/>
        </w:rPr>
      </w:pPr>
      <w:r>
        <w:rPr>
          <w:rFonts w:ascii="Arial" w:cs="Arial" w:eastAsia="Arial" w:hAnsi="Arial"/>
          <w:sz w:val="37"/>
          <w:szCs w:val="37"/>
          <w:b w:val="1"/>
          <w:bCs w:val="1"/>
          <w:color w:val="00A1DF"/>
        </w:rPr>
        <w:t xml:space="preserve">ITEM NO. 3 </w:t>
      </w:r>
      <w:r>
        <w:rPr>
          <w:rFonts w:ascii="Arial" w:cs="Arial" w:eastAsia="Arial" w:hAnsi="Arial"/>
          <w:sz w:val="37"/>
          <w:szCs w:val="37"/>
          <w:color w:val="0033A0"/>
        </w:rPr>
        <w:t>– BOARD PROPOSAL TO RATIFY THE</w:t>
      </w:r>
      <w:r>
        <w:rPr>
          <w:rFonts w:ascii="Arial" w:cs="Arial" w:eastAsia="Arial" w:hAnsi="Arial"/>
          <w:sz w:val="37"/>
          <w:szCs w:val="37"/>
          <w:b w:val="1"/>
          <w:bCs w:val="1"/>
          <w:color w:val="00A1DF"/>
        </w:rPr>
        <w:t xml:space="preserve"> </w:t>
      </w:r>
      <w:r>
        <w:rPr>
          <w:rFonts w:ascii="Arial" w:cs="Arial" w:eastAsia="Arial" w:hAnsi="Arial"/>
          <w:sz w:val="37"/>
          <w:szCs w:val="37"/>
          <w:color w:val="0033A0"/>
        </w:rPr>
        <w:t>SELECTION OF ERNST &amp; YOUNG LLP AS THE COMPANY’S INDEPENDENT REGISTERED PUBLIC ACCOUNTING FIRM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285115</wp:posOffset>
            </wp:positionV>
            <wp:extent cx="6167120" cy="15335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67120" cy="153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Audit Committee has selected EY as the Company’s independent registered public accounting firm for the fiscal year ending December 31, 2019, because it believes it is in the best interest of the Company and its shareholders. Accordingly, the Board of Directors recommends that shareholders ratify the Audit Committee’s selection of EY as the Company’s independent registered public accounting firm for 2019. If the shareholders do not ratify the selection of EY as the independent registered public accounting firm for the Company for 2019, the Committee will reconsider whether to engage EY, but may ultimately determine to engage EY or another audit firm without resubmitting the matter to shareholders.</w:t>
      </w:r>
    </w:p>
    <w:p>
      <w:pPr>
        <w:spacing w:after="0" w:line="179"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Even if the shareholders ratify the selection of EY, the Committee may, in its sole discretion, terminate the engagement of EY and direct the appointment of another independent registered public accounting firm at any time during the year, although it has no current intention to do so.</w:t>
      </w:r>
    </w:p>
    <w:p>
      <w:pPr>
        <w:spacing w:after="0" w:line="154"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We expect that representatives of EY will be present at the Annual Meeting. They will have an opportunity to make a statement if they so desire and are expected to be available to respond to appropriate questions by shareholders.</w:t>
      </w:r>
    </w:p>
    <w:p>
      <w:pPr>
        <w:spacing w:after="0" w:line="133" w:lineRule="exact"/>
        <w:rPr>
          <w:sz w:val="20"/>
          <w:szCs w:val="20"/>
          <w:color w:val="auto"/>
        </w:rPr>
      </w:pPr>
    </w:p>
    <w:p>
      <w:pPr>
        <w:ind w:left="220" w:right="960"/>
        <w:spacing w:after="0" w:line="272" w:lineRule="auto"/>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FOR</w:t>
      </w:r>
      <w:r>
        <w:rPr>
          <w:rFonts w:ascii="Arial" w:cs="Arial" w:eastAsia="Arial" w:hAnsi="Arial"/>
          <w:sz w:val="19"/>
          <w:szCs w:val="19"/>
          <w:b w:val="1"/>
          <w:bCs w:val="1"/>
          <w:color w:val="0033A0"/>
        </w:rPr>
        <w:t xml:space="preserve"> the proposal to ratify the selection of Ernst &amp; Young LLP as the independent registered public accounting firm for GM and its subsidiaries for 2019.</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70 </w:t>
      </w:r>
      <w:r>
        <w:rPr>
          <w:sz w:val="1"/>
          <w:szCs w:val="1"/>
          <w:color w:val="auto"/>
        </w:rPr>
        <w:drawing>
          <wp:inline distT="0" distB="0" distL="0" distR="0">
            <wp:extent cx="6852920" cy="14541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3 </w:t>
      </w:r>
      <w:r>
        <w:rPr>
          <w:rFonts w:ascii="Arial" w:cs="Arial" w:eastAsia="Arial" w:hAnsi="Arial"/>
          <w:sz w:val="14"/>
          <w:szCs w:val="14"/>
          <w:b w:val="1"/>
          <w:bCs w:val="1"/>
          <w:color w:val="0033A0"/>
        </w:rPr>
        <w:t>– BOARD PROPOSAL TO RATIFY THE SELECTION OF ERNST &amp; YOUNG LLP AS</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THE COMPANY’S INDEPENDENT REGISTERED PUBLIC ACCOUNTING FIRM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69894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Audit Committee Report</w:t>
      </w:r>
    </w:p>
    <w:p>
      <w:pPr>
        <w:spacing w:after="0" w:line="3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Audit Committee (the “Committee”) of the General Motors Board of Directors is a standing committee composed of five directors: Thomas M.</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Schoewe (Chair), Linda R. Gooden, Jane L. Mendillo, Judith A. Miscik, and Michael G.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190500</wp:posOffset>
            </wp:positionV>
            <wp:extent cx="6989445" cy="8909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89445" cy="890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Purpose</w:t>
      </w:r>
    </w:p>
    <w:p>
      <w:pPr>
        <w:spacing w:after="0" w:line="167"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Committee’s core purpose is to assist the Board by providing oversight of:</w:t>
      </w:r>
    </w:p>
    <w:p>
      <w:pPr>
        <w:spacing w:after="0" w:line="100" w:lineRule="exact"/>
        <w:rPr>
          <w:sz w:val="20"/>
          <w:szCs w:val="20"/>
          <w:color w:val="auto"/>
        </w:rPr>
      </w:pPr>
    </w:p>
    <w:p>
      <w:pPr>
        <w:ind w:left="420" w:hanging="210"/>
        <w:spacing w:after="0"/>
        <w:tabs>
          <w:tab w:leader="none" w:pos="420" w:val="left"/>
        </w:tabs>
        <w:numPr>
          <w:ilvl w:val="0"/>
          <w:numId w:val="136"/>
        </w:numPr>
        <w:rPr>
          <w:rFonts w:ascii="Arial" w:cs="Arial" w:eastAsia="Arial" w:hAnsi="Arial"/>
          <w:sz w:val="16"/>
          <w:szCs w:val="16"/>
          <w:color w:val="00A1DF"/>
        </w:rPr>
      </w:pPr>
      <w:r>
        <w:rPr>
          <w:rFonts w:ascii="Arial" w:cs="Arial" w:eastAsia="Arial" w:hAnsi="Arial"/>
          <w:sz w:val="16"/>
          <w:szCs w:val="16"/>
          <w:color w:val="auto"/>
        </w:rPr>
        <w:t>The quality and integrity of GM’s financial statements;</w:t>
      </w:r>
    </w:p>
    <w:p>
      <w:pPr>
        <w:spacing w:after="0" w:line="139" w:lineRule="exact"/>
        <w:rPr>
          <w:rFonts w:ascii="Arial" w:cs="Arial" w:eastAsia="Arial" w:hAnsi="Arial"/>
          <w:sz w:val="16"/>
          <w:szCs w:val="16"/>
          <w:color w:val="00A1DF"/>
        </w:rPr>
      </w:pPr>
    </w:p>
    <w:p>
      <w:pPr>
        <w:ind w:left="420" w:hanging="210"/>
        <w:spacing w:after="0"/>
        <w:tabs>
          <w:tab w:leader="none" w:pos="420" w:val="left"/>
        </w:tabs>
        <w:numPr>
          <w:ilvl w:val="0"/>
          <w:numId w:val="136"/>
        </w:numPr>
        <w:rPr>
          <w:rFonts w:ascii="Arial" w:cs="Arial" w:eastAsia="Arial" w:hAnsi="Arial"/>
          <w:sz w:val="16"/>
          <w:szCs w:val="16"/>
          <w:color w:val="00A1DF"/>
        </w:rPr>
      </w:pPr>
      <w:r>
        <w:rPr>
          <w:rFonts w:ascii="Arial" w:cs="Arial" w:eastAsia="Arial" w:hAnsi="Arial"/>
          <w:sz w:val="16"/>
          <w:szCs w:val="16"/>
          <w:color w:val="auto"/>
        </w:rPr>
        <w:t>GM’s compliance with legal and regulatory requirements; and</w:t>
      </w:r>
    </w:p>
    <w:p>
      <w:pPr>
        <w:spacing w:after="0" w:line="139" w:lineRule="exact"/>
        <w:rPr>
          <w:rFonts w:ascii="Arial" w:cs="Arial" w:eastAsia="Arial" w:hAnsi="Arial"/>
          <w:sz w:val="16"/>
          <w:szCs w:val="16"/>
          <w:color w:val="00A1DF"/>
        </w:rPr>
      </w:pPr>
    </w:p>
    <w:p>
      <w:pPr>
        <w:ind w:left="420" w:right="20" w:hanging="210"/>
        <w:spacing w:after="0" w:line="260" w:lineRule="auto"/>
        <w:tabs>
          <w:tab w:leader="none" w:pos="420" w:val="left"/>
        </w:tabs>
        <w:numPr>
          <w:ilvl w:val="0"/>
          <w:numId w:val="136"/>
        </w:numPr>
        <w:rPr>
          <w:rFonts w:ascii="Arial" w:cs="Arial" w:eastAsia="Arial" w:hAnsi="Arial"/>
          <w:sz w:val="16"/>
          <w:szCs w:val="16"/>
          <w:color w:val="00A1DF"/>
        </w:rPr>
      </w:pPr>
      <w:r>
        <w:rPr>
          <w:rFonts w:ascii="Arial" w:cs="Arial" w:eastAsia="Arial" w:hAnsi="Arial"/>
          <w:sz w:val="16"/>
          <w:szCs w:val="16"/>
          <w:color w:val="auto"/>
        </w:rPr>
        <w:t>The qualifications, performance, and independence of GM’s external auditors and internal audit staff.</w:t>
      </w:r>
    </w:p>
    <w:p>
      <w:pPr>
        <w:spacing w:after="0" w:line="8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The Committee operates under a written charter adopted by the Committee and approved by the Board of Directors. The Committee’s charter is posted on our website at </w:t>
      </w:r>
      <w:r>
        <w:rPr>
          <w:rFonts w:ascii="Arial" w:cs="Arial" w:eastAsia="Arial" w:hAnsi="Arial"/>
          <w:sz w:val="16"/>
          <w:szCs w:val="16"/>
          <w:i w:val="1"/>
          <w:iCs w:val="1"/>
          <w:color w:val="00A1DF"/>
        </w:rPr>
        <w:t>investor.gm.com/resources</w:t>
      </w:r>
      <w:r>
        <w:rPr>
          <w:rFonts w:ascii="Arial" w:cs="Arial" w:eastAsia="Arial" w:hAnsi="Arial"/>
          <w:sz w:val="16"/>
          <w:szCs w:val="16"/>
          <w:color w:val="auto"/>
        </w:rPr>
        <w:t>. The Committee’s charter is reviewed at least annually and updated as necessary to address changes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regulatory requirements, authoritative guidance, evolving oversight practices, and shareholder feedback.</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is responsible for the Company’s internal controls and the financial reporting process and has delivered its opinion on the effectiveness of the Company’s controls. The auditor is responsible for performing an independent audit of the Company’s consolidated financial statements and opining on the effectiveness of those controls in accordance with the standards of the Public Company Accounting Oversight Board (United States) (the “PCAOB”) and issuing its reports thereon. As provided in its charter, the Committee’s responsibilities include monitoring and overseeing these processes.</w:t>
      </w:r>
    </w:p>
    <w:p>
      <w:pPr>
        <w:spacing w:after="0" w:line="589"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49"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Required Disclosures</w:t>
      </w:r>
    </w:p>
    <w:p>
      <w:pPr>
        <w:spacing w:after="0" w:line="16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In 2018, the Committee met seven times and fulfilled all of its core charter obligations. Consistent with its charter responsibilities, the Committee met and held discussions with management and EY regarding the Company’s audited financial statements and internal controls for the year ended December 31, 2018. In this context, management represented to the Committee that the Company’s consolidated financial statements were prepared in accordance with accounting principles generally accepted in the United States. The Committee reviewed and discussed the consolidated financial statements with management and the auditor and further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discussed with the auditor the matters required to be discussed by the standards of the PCAOB.</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EY also provided to the Committee the written disclosures and the letter required by the applicable requirements of the PCAOB concerning independence, and the Committee discussed with the auditor the auditor’s independence. The Committee also considered and determined that the provision of non-audit services to GM is compatible with maintaining the auditor’s independence. The Committee concluded that EY was independent from the Company and management.</w:t>
      </w:r>
    </w:p>
    <w:p>
      <w:pPr>
        <w:spacing w:after="0" w:line="277"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40"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Recommendation</w:t>
      </w:r>
    </w:p>
    <w:p>
      <w:pPr>
        <w:spacing w:after="0" w:line="99"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Based upon the Committee’s discussions with management and the auditor as described in this report and the Committee’s review of the representation of management and the reports of the auditors to the Committee, the Committee recommended to the Board of Directors, and the Board of Directors approved, the inclusion of the audited consolidated financial statements in the Company’s Annual Report on Form 10-K for the year ended December 31, 2018, as filed with the U.S. Securities and Exchange Commission on February 6, 2019.</w:t>
      </w:r>
    </w:p>
    <w:p>
      <w:pPr>
        <w:spacing w:after="0" w:line="185"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Audit Committee</w:t>
      </w:r>
      <w:r>
        <w:rPr>
          <w:rFonts w:ascii="Arial" w:cs="Arial" w:eastAsia="Arial" w:hAnsi="Arial"/>
          <w:sz w:val="16"/>
          <w:szCs w:val="16"/>
          <w:color w:val="auto"/>
        </w:rPr>
        <w:t>*</w:t>
      </w:r>
    </w:p>
    <w:p>
      <w:pPr>
        <w:spacing w:after="0" w:line="146"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Thomas M. Schoewe (Chair)</w:t>
      </w:r>
    </w:p>
    <w:p>
      <w:pPr>
        <w:spacing w:after="0" w:line="194"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Linda R. Gooden</w:t>
      </w:r>
    </w:p>
    <w:p>
      <w:pPr>
        <w:spacing w:after="0" w:line="5"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Jane L. Mendillo</w:t>
      </w:r>
    </w:p>
    <w:p>
      <w:pPr>
        <w:spacing w:after="0" w:line="5"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G. Mullen</w:t>
      </w:r>
    </w:p>
    <w:p>
      <w:pPr>
        <w:spacing w:after="0" w:line="129" w:lineRule="exact"/>
        <w:rPr>
          <w:sz w:val="20"/>
          <w:szCs w:val="20"/>
          <w:color w:val="auto"/>
        </w:rPr>
      </w:pPr>
    </w:p>
    <w:p>
      <w:pPr>
        <w:ind w:left="540" w:hanging="330"/>
        <w:spacing w:after="0"/>
        <w:tabs>
          <w:tab w:leader="none" w:pos="540" w:val="left"/>
        </w:tabs>
        <w:numPr>
          <w:ilvl w:val="0"/>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Judith A. Miscik was not a member of the Audit Committee at the time the Committee approved its Report.</w:t>
      </w:r>
    </w:p>
    <w:p>
      <w:pPr>
        <w:spacing w:after="0" w:line="104" w:lineRule="exact"/>
        <w:rPr>
          <w:sz w:val="20"/>
          <w:szCs w:val="20"/>
          <w:color w:val="auto"/>
        </w:rPr>
      </w:pPr>
    </w:p>
    <w:p>
      <w:pPr>
        <w:jc w:val="both"/>
        <w:ind w:left="220"/>
        <w:spacing w:after="0" w:line="263" w:lineRule="auto"/>
        <w:rPr>
          <w:sz w:val="20"/>
          <w:szCs w:val="20"/>
          <w:color w:val="auto"/>
        </w:rPr>
      </w:pPr>
      <w:r>
        <w:rPr>
          <w:rFonts w:ascii="Arial" w:cs="Arial" w:eastAsia="Arial" w:hAnsi="Arial"/>
          <w:sz w:val="16"/>
          <w:szCs w:val="16"/>
          <w:i w:val="1"/>
          <w:iCs w:val="1"/>
          <w:color w:val="auto"/>
        </w:rPr>
        <w:t>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78740</wp:posOffset>
            </wp:positionV>
            <wp:extent cx="6758305" cy="1282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09"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71</w:t>
      </w:r>
    </w:p>
    <w:p>
      <w:pPr>
        <w:sectPr>
          <w:pgSz w:w="11900" w:h="16838" w:orient="portrait"/>
          <w:cols w:equalWidth="0" w:num="1">
            <w:col w:w="11220"/>
          </w:cols>
          <w:pgMar w:left="240" w:top="459" w:right="4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3 </w:t>
      </w:r>
      <w:r>
        <w:rPr>
          <w:rFonts w:ascii="Arial" w:cs="Arial" w:eastAsia="Arial" w:hAnsi="Arial"/>
          <w:sz w:val="14"/>
          <w:szCs w:val="14"/>
          <w:b w:val="1"/>
          <w:bCs w:val="1"/>
          <w:color w:val="0033A0"/>
        </w:rPr>
        <w:t>– BOARD PROPOSAL TO RATIFY THE SELECTION OF ERNST &amp; YOUNG LLP AS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THE COMPANY’S INDEPENDENT REGISTERED PUBLIC ACCOUNTING FIRM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69894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Fees Paid to Independent Registered Public Accounting Firm</w:t>
      </w:r>
    </w:p>
    <w:p>
      <w:pPr>
        <w:sectPr>
          <w:pgSz w:w="11900" w:h="16838" w:orient="portrait"/>
          <w:cols w:equalWidth="0" w:num="1">
            <w:col w:w="11220"/>
          </w:cols>
          <w:pgMar w:left="240" w:top="459" w:right="439" w:bottom="1440" w:gutter="0" w:footer="0" w:header="0"/>
        </w:sectPr>
      </w:pPr>
    </w:p>
    <w:p>
      <w:pPr>
        <w:spacing w:after="0" w:line="308"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Audit Committee retained EY to audit the Company’s consolidated financial statements and the effectiveness of internal controls as of and for the year ended December 31, 2018. The Company and its subsidiaries also retained EY and certain of its affiliates, as well as other accounting and consulting firms, to provide various other services in 2018. EY initially presented the proposed annual audit services and their related fees to the Audit Committee for approval on an audit-year basis.</w:t>
      </w:r>
    </w:p>
    <w:p>
      <w:pPr>
        <w:spacing w:after="0" w:line="99"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services performed by EY in 2018 were preapproved in accordance with the preapproval policy and procedures established by the Committee. This policy requires that prior to the provision of services by the auditor, the Committee will be presented with a description of the types of audit-related, tax, and all other services expected to be performed by the auditor during the fiscal year with the amounts budgeted for each category (Audit-Related, Tax, and All Other Services). Any requests for services for $1 million or more that were not initially contemplated and approved by the Audit Committee must thereafter be submitted to the Audit Committee (or the Chair of the Audit Committee in an urgent case) for specific preapproval. Requests for services less than $1 million individually can be approved by management based on the amounts approved for each category. Management must report actual spending for each category to the full Audit Committee periodically during the year.</w:t>
      </w:r>
    </w:p>
    <w:p>
      <w:pPr>
        <w:spacing w:after="0" w:line="29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These services are actively monitored (both spending and work content) by the Audit Committee to maintain the appropriate objectivity and independence in EY’s core work, which is the audit of the Company’s consolidated financial statements and internal controls. The Audit Committee determined that all services provided by EY in 2018 were compatible with maintaining the independence of EY.</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table summarizes the fees for professional audit services provided by (i) EY for the audit of the Company’s annual financial statements for the year ended December 31, 2018, and (ii) Deloitte &amp; Touch LLP (“Deloitte”) for the audit of the Company’s annual financial statements for the year ended December 31, 2017, as well as the fees billed for other services rendered by EY and Deloitte, respectively, during these periods.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80" w:type="dxa"/>
            <w:vAlign w:val="bottom"/>
            <w:tcBorders>
              <w:top w:val="single" w:sz="8" w:color="00A1DF"/>
            </w:tcBorders>
          </w:tcPr>
          <w:p>
            <w:pPr>
              <w:spacing w:after="0"/>
              <w:rPr>
                <w:sz w:val="14"/>
                <w:szCs w:val="14"/>
                <w:color w:val="auto"/>
              </w:rPr>
            </w:pPr>
          </w:p>
        </w:tc>
        <w:tc>
          <w:tcPr>
            <w:tcW w:w="2020" w:type="dxa"/>
            <w:vAlign w:val="bottom"/>
            <w:tcBorders>
              <w:top w:val="single" w:sz="8" w:color="00A1DF"/>
            </w:tcBorders>
          </w:tcPr>
          <w:p>
            <w:pPr>
              <w:jc w:val="right"/>
              <w:ind w:right="44"/>
              <w:spacing w:after="0" w:line="167" w:lineRule="exact"/>
              <w:rPr>
                <w:sz w:val="20"/>
                <w:szCs w:val="20"/>
                <w:color w:val="auto"/>
              </w:rPr>
            </w:pPr>
            <w:r>
              <w:rPr>
                <w:rFonts w:ascii="Arial" w:cs="Arial" w:eastAsia="Arial" w:hAnsi="Arial"/>
                <w:sz w:val="15"/>
                <w:szCs w:val="15"/>
                <w:b w:val="1"/>
                <w:bCs w:val="1"/>
                <w:color w:val="00A1DF"/>
              </w:rPr>
              <w:t>2018</w:t>
            </w:r>
          </w:p>
        </w:tc>
        <w:tc>
          <w:tcPr>
            <w:tcW w:w="1180" w:type="dxa"/>
            <w:vAlign w:val="bottom"/>
            <w:tcBorders>
              <w:top w:val="single" w:sz="8" w:color="00A1DF"/>
            </w:tcBorders>
          </w:tcPr>
          <w:p>
            <w:pPr>
              <w:jc w:val="right"/>
              <w:spacing w:after="0" w:line="167" w:lineRule="exact"/>
              <w:rPr>
                <w:sz w:val="20"/>
                <w:szCs w:val="20"/>
                <w:color w:val="auto"/>
              </w:rPr>
            </w:pPr>
            <w:r>
              <w:rPr>
                <w:rFonts w:ascii="Arial" w:cs="Arial" w:eastAsia="Arial" w:hAnsi="Arial"/>
                <w:sz w:val="15"/>
                <w:szCs w:val="15"/>
                <w:b w:val="1"/>
                <w:bCs w:val="1"/>
                <w:color w:val="00A1DF"/>
              </w:rPr>
              <w:t>2017</w:t>
            </w:r>
          </w:p>
        </w:tc>
      </w:tr>
      <w:tr>
        <w:trPr>
          <w:trHeight w:val="197"/>
        </w:trPr>
        <w:tc>
          <w:tcPr>
            <w:tcW w:w="2200" w:type="dxa"/>
            <w:vAlign w:val="bottom"/>
            <w:gridSpan w:val="2"/>
          </w:tcPr>
          <w:p>
            <w:pPr>
              <w:spacing w:after="0"/>
              <w:rPr>
                <w:sz w:val="20"/>
                <w:szCs w:val="20"/>
                <w:color w:val="auto"/>
              </w:rPr>
            </w:pPr>
            <w:r>
              <w:rPr>
                <w:rFonts w:ascii="Arial" w:cs="Arial" w:eastAsia="Arial" w:hAnsi="Arial"/>
                <w:sz w:val="15"/>
                <w:szCs w:val="15"/>
                <w:b w:val="1"/>
                <w:bCs w:val="1"/>
                <w:color w:val="00A1DF"/>
              </w:rPr>
              <w:t>Type of Fees</w:t>
            </w:r>
          </w:p>
        </w:tc>
        <w:tc>
          <w:tcPr>
            <w:tcW w:w="2020" w:type="dxa"/>
            <w:vAlign w:val="bottom"/>
          </w:tcPr>
          <w:p>
            <w:pPr>
              <w:jc w:val="right"/>
              <w:ind w:right="44"/>
              <w:spacing w:after="0"/>
              <w:rPr>
                <w:sz w:val="20"/>
                <w:szCs w:val="20"/>
                <w:color w:val="auto"/>
              </w:rPr>
            </w:pPr>
            <w:r>
              <w:rPr>
                <w:rFonts w:ascii="Arial" w:cs="Arial" w:eastAsia="Arial" w:hAnsi="Arial"/>
                <w:sz w:val="15"/>
                <w:szCs w:val="15"/>
                <w:b w:val="1"/>
                <w:bCs w:val="1"/>
                <w:color w:val="00A1DF"/>
              </w:rPr>
              <w:t>($ in millions)</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00A1DF"/>
              </w:rPr>
              <w:t>($ in millions)</w:t>
            </w:r>
          </w:p>
        </w:tc>
      </w:tr>
      <w:tr>
        <w:trPr>
          <w:trHeight w:val="192"/>
        </w:trPr>
        <w:tc>
          <w:tcPr>
            <w:tcW w:w="20" w:type="dxa"/>
            <w:vAlign w:val="bottom"/>
          </w:tcPr>
          <w:p>
            <w:pPr>
              <w:spacing w:after="0"/>
              <w:rPr>
                <w:sz w:val="16"/>
                <w:szCs w:val="16"/>
                <w:color w:val="auto"/>
              </w:rPr>
            </w:pPr>
          </w:p>
        </w:tc>
        <w:tc>
          <w:tcPr>
            <w:tcW w:w="2180" w:type="dxa"/>
            <w:vAlign w:val="bottom"/>
            <w:tcBorders>
              <w:top w:val="single" w:sz="8" w:color="00A1DF"/>
              <w:bottom w:val="single" w:sz="8" w:color="auto"/>
            </w:tcBorders>
          </w:tcPr>
          <w:p>
            <w:pPr>
              <w:ind w:left="60"/>
              <w:spacing w:after="0"/>
              <w:rPr>
                <w:sz w:val="20"/>
                <w:szCs w:val="20"/>
                <w:color w:val="auto"/>
              </w:rPr>
            </w:pPr>
            <w:r>
              <w:rPr>
                <w:rFonts w:ascii="Arial" w:cs="Arial" w:eastAsia="Arial" w:hAnsi="Arial"/>
                <w:sz w:val="15"/>
                <w:szCs w:val="15"/>
                <w:color w:val="auto"/>
              </w:rPr>
              <w:t>Audit</w:t>
            </w:r>
          </w:p>
        </w:tc>
        <w:tc>
          <w:tcPr>
            <w:tcW w:w="2020" w:type="dxa"/>
            <w:vAlign w:val="bottom"/>
            <w:tcBorders>
              <w:top w:val="single" w:sz="8" w:color="00A1DF"/>
              <w:bottom w:val="single" w:sz="8" w:color="auto"/>
            </w:tcBorders>
          </w:tcPr>
          <w:p>
            <w:pPr>
              <w:jc w:val="right"/>
              <w:ind w:right="44"/>
              <w:spacing w:after="0"/>
              <w:rPr>
                <w:sz w:val="20"/>
                <w:szCs w:val="20"/>
                <w:color w:val="auto"/>
              </w:rPr>
            </w:pPr>
            <w:r>
              <w:rPr>
                <w:rFonts w:ascii="Arial" w:cs="Arial" w:eastAsia="Arial" w:hAnsi="Arial"/>
                <w:sz w:val="15"/>
                <w:szCs w:val="15"/>
                <w:color w:val="auto"/>
              </w:rPr>
              <w:t>23</w:t>
            </w:r>
          </w:p>
        </w:tc>
        <w:tc>
          <w:tcPr>
            <w:tcW w:w="1180" w:type="dxa"/>
            <w:vAlign w:val="bottom"/>
            <w:tcBorders>
              <w:top w:val="single" w:sz="8" w:color="00A1DF"/>
              <w:bottom w:val="single" w:sz="8" w:color="auto"/>
            </w:tcBorders>
          </w:tcPr>
          <w:p>
            <w:pPr>
              <w:jc w:val="right"/>
              <w:spacing w:after="0"/>
              <w:rPr>
                <w:sz w:val="20"/>
                <w:szCs w:val="20"/>
                <w:color w:val="auto"/>
              </w:rPr>
            </w:pPr>
            <w:r>
              <w:rPr>
                <w:rFonts w:ascii="Arial" w:cs="Arial" w:eastAsia="Arial" w:hAnsi="Arial"/>
                <w:sz w:val="15"/>
                <w:szCs w:val="15"/>
                <w:color w:val="auto"/>
              </w:rPr>
              <w:t>26</w:t>
            </w:r>
          </w:p>
        </w:tc>
      </w:tr>
      <w:tr>
        <w:trPr>
          <w:trHeight w:val="196"/>
        </w:trPr>
        <w:tc>
          <w:tcPr>
            <w:tcW w:w="20" w:type="dxa"/>
            <w:vAlign w:val="bottom"/>
          </w:tcPr>
          <w:p>
            <w:pPr>
              <w:spacing w:after="0"/>
              <w:rPr>
                <w:sz w:val="17"/>
                <w:szCs w:val="17"/>
                <w:color w:val="auto"/>
              </w:rPr>
            </w:pP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Audit-Related</w:t>
            </w:r>
          </w:p>
        </w:tc>
        <w:tc>
          <w:tcPr>
            <w:tcW w:w="2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96"/>
        </w:trPr>
        <w:tc>
          <w:tcPr>
            <w:tcW w:w="20" w:type="dxa"/>
            <w:vAlign w:val="bottom"/>
          </w:tcPr>
          <w:p>
            <w:pPr>
              <w:spacing w:after="0"/>
              <w:rPr>
                <w:sz w:val="17"/>
                <w:szCs w:val="17"/>
                <w:color w:val="auto"/>
              </w:rPr>
            </w:pP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Tax</w:t>
            </w:r>
          </w:p>
        </w:tc>
        <w:tc>
          <w:tcPr>
            <w:tcW w:w="2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r>
        <w:trPr>
          <w:trHeight w:val="196"/>
        </w:trPr>
        <w:tc>
          <w:tcPr>
            <w:tcW w:w="20" w:type="dxa"/>
            <w:vAlign w:val="bottom"/>
          </w:tcPr>
          <w:p>
            <w:pPr>
              <w:spacing w:after="0"/>
              <w:rPr>
                <w:sz w:val="17"/>
                <w:szCs w:val="17"/>
                <w:color w:val="auto"/>
              </w:rPr>
            </w:pPr>
          </w:p>
        </w:tc>
        <w:tc>
          <w:tcPr>
            <w:tcW w:w="21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Subtotal</w:t>
            </w:r>
          </w:p>
        </w:tc>
        <w:tc>
          <w:tcPr>
            <w:tcW w:w="2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r>
      <w:tr>
        <w:trPr>
          <w:trHeight w:val="196"/>
        </w:trPr>
        <w:tc>
          <w:tcPr>
            <w:tcW w:w="20" w:type="dxa"/>
            <w:vAlign w:val="bottom"/>
          </w:tcPr>
          <w:p>
            <w:pPr>
              <w:spacing w:after="0"/>
              <w:rPr>
                <w:sz w:val="17"/>
                <w:szCs w:val="17"/>
                <w:color w:val="auto"/>
              </w:rPr>
            </w:pPr>
          </w:p>
        </w:tc>
        <w:tc>
          <w:tcPr>
            <w:tcW w:w="218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All Other Services</w:t>
            </w:r>
          </w:p>
        </w:tc>
        <w:tc>
          <w:tcPr>
            <w:tcW w:w="202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color w:val="auto"/>
              </w:rPr>
              <w:t>3</w:t>
            </w:r>
          </w:p>
        </w:tc>
        <w:tc>
          <w:tcPr>
            <w:tcW w:w="11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6</w:t>
            </w:r>
          </w:p>
        </w:tc>
      </w:tr>
      <w:tr>
        <w:trPr>
          <w:trHeight w:val="200"/>
        </w:trPr>
        <w:tc>
          <w:tcPr>
            <w:tcW w:w="20" w:type="dxa"/>
            <w:vAlign w:val="bottom"/>
          </w:tcPr>
          <w:p>
            <w:pPr>
              <w:spacing w:after="0"/>
              <w:rPr>
                <w:sz w:val="17"/>
                <w:szCs w:val="17"/>
                <w:color w:val="auto"/>
              </w:rPr>
            </w:pPr>
          </w:p>
        </w:tc>
        <w:tc>
          <w:tcPr>
            <w:tcW w:w="218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202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b w:val="1"/>
                <w:bCs w:val="1"/>
                <w:color w:val="0033A0"/>
              </w:rPr>
              <w:t>35</w:t>
            </w:r>
          </w:p>
        </w:tc>
        <w:tc>
          <w:tcPr>
            <w:tcW w:w="118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43</w:t>
            </w:r>
          </w:p>
        </w:tc>
      </w:tr>
    </w:tbl>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0033A0"/>
        </w:rPr>
        <w:t xml:space="preserve">Audit Fees </w:t>
      </w:r>
      <w:r>
        <w:rPr>
          <w:rFonts w:ascii="Arial" w:cs="Arial" w:eastAsia="Arial" w:hAnsi="Arial"/>
          <w:sz w:val="16"/>
          <w:szCs w:val="16"/>
          <w:color w:val="000000"/>
        </w:rPr>
        <w:t>– Includes fees for the integrated audit of the Company’s</w:t>
      </w:r>
      <w:r>
        <w:rPr>
          <w:rFonts w:ascii="Arial" w:cs="Arial" w:eastAsia="Arial" w:hAnsi="Arial"/>
          <w:sz w:val="16"/>
          <w:szCs w:val="16"/>
          <w:b w:val="1"/>
          <w:bCs w:val="1"/>
          <w:color w:val="0033A0"/>
        </w:rPr>
        <w:t xml:space="preserve"> </w:t>
      </w:r>
      <w:r>
        <w:rPr>
          <w:rFonts w:ascii="Arial" w:cs="Arial" w:eastAsia="Arial" w:hAnsi="Arial"/>
          <w:sz w:val="16"/>
          <w:szCs w:val="16"/>
          <w:color w:val="000000"/>
        </w:rPr>
        <w:t>annual consolidated financial statements and attestation of the effectiveness of the Company’s internal controls over financial reporting, including reviews of the interim financial statements contained in the Company’s Quarterly Reports on Form 10-Q and audits of statutory financial statements.</w:t>
      </w:r>
    </w:p>
    <w:p>
      <w:pPr>
        <w:spacing w:after="0" w:line="2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0033A0"/>
        </w:rPr>
        <w:t xml:space="preserve">Audit-Related Fees </w:t>
      </w:r>
      <w:r>
        <w:rPr>
          <w:rFonts w:ascii="Arial" w:cs="Arial" w:eastAsia="Arial" w:hAnsi="Arial"/>
          <w:sz w:val="16"/>
          <w:szCs w:val="16"/>
          <w:color w:val="000000"/>
        </w:rPr>
        <w:t>– Includes fees for assurance and related services</w:t>
      </w:r>
      <w:r>
        <w:rPr>
          <w:rFonts w:ascii="Arial" w:cs="Arial" w:eastAsia="Arial" w:hAnsi="Arial"/>
          <w:sz w:val="16"/>
          <w:szCs w:val="16"/>
          <w:b w:val="1"/>
          <w:bCs w:val="1"/>
          <w:color w:val="0033A0"/>
        </w:rPr>
        <w:t xml:space="preserve"> </w:t>
      </w:r>
      <w:r>
        <w:rPr>
          <w:rFonts w:ascii="Arial" w:cs="Arial" w:eastAsia="Arial" w:hAnsi="Arial"/>
          <w:sz w:val="16"/>
          <w:szCs w:val="16"/>
          <w:color w:val="000000"/>
        </w:rPr>
        <w:t>that are traditionally performed by the independent registered public accounting firm. More specifically, these services include employee benefit plan audits, comfort letters in connection with funding transactions, other attestation services, and consultation concerning financial accounting and reporting standards.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0033A0"/>
        </w:rPr>
        <w:t xml:space="preserve">Tax Fees </w:t>
      </w:r>
      <w:r>
        <w:rPr>
          <w:rFonts w:ascii="Arial" w:cs="Arial" w:eastAsia="Arial" w:hAnsi="Arial"/>
          <w:sz w:val="16"/>
          <w:szCs w:val="16"/>
          <w:color w:val="000000"/>
        </w:rPr>
        <w:t>– Includes fees for tax compliance, tax planning, and tax advice.</w:t>
      </w:r>
      <w:r>
        <w:rPr>
          <w:rFonts w:ascii="Arial" w:cs="Arial" w:eastAsia="Arial" w:hAnsi="Arial"/>
          <w:sz w:val="16"/>
          <w:szCs w:val="16"/>
          <w:b w:val="1"/>
          <w:bCs w:val="1"/>
          <w:color w:val="0033A0"/>
        </w:rPr>
        <w:t xml:space="preserve"> </w:t>
      </w:r>
      <w:r>
        <w:rPr>
          <w:rFonts w:ascii="Arial" w:cs="Arial" w:eastAsia="Arial" w:hAnsi="Arial"/>
          <w:sz w:val="16"/>
          <w:szCs w:val="16"/>
          <w:color w:val="000000"/>
        </w:rPr>
        <w:t>Tax compliance involves preparation of original and amended tax returns and claims 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0033A0"/>
        </w:rPr>
        <w:t xml:space="preserve">All Other Fees </w:t>
      </w:r>
      <w:r>
        <w:rPr>
          <w:rFonts w:ascii="Arial" w:cs="Arial" w:eastAsia="Arial" w:hAnsi="Arial"/>
          <w:sz w:val="16"/>
          <w:szCs w:val="16"/>
          <w:color w:val="000000"/>
        </w:rPr>
        <w:t>– Includes fees for services that are not contained in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above categories and consists of permissible advisory services.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9"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72 </w:t>
      </w:r>
      <w:r>
        <w:rPr>
          <w:sz w:val="1"/>
          <w:szCs w:val="1"/>
          <w:color w:val="auto"/>
        </w:rPr>
        <w:drawing>
          <wp:inline distT="0" distB="0" distL="0" distR="0">
            <wp:extent cx="6852920" cy="14541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700"/>
        <w:spacing w:after="0"/>
        <w:rPr>
          <w:sz w:val="20"/>
          <w:szCs w:val="20"/>
          <w:color w:val="auto"/>
        </w:rPr>
      </w:pPr>
      <w:r>
        <w:rPr>
          <w:rFonts w:ascii="Arial" w:cs="Arial" w:eastAsia="Arial" w:hAnsi="Arial"/>
          <w:sz w:val="37"/>
          <w:szCs w:val="37"/>
          <w:b w:val="1"/>
          <w:bCs w:val="1"/>
          <w:color w:val="00A1DF"/>
        </w:rPr>
        <w:t xml:space="preserve">ITEM NO. 4 </w:t>
      </w:r>
      <w:r>
        <w:rPr>
          <w:rFonts w:ascii="Arial" w:cs="Arial" w:eastAsia="Arial" w:hAnsi="Arial"/>
          <w:sz w:val="37"/>
          <w:szCs w:val="37"/>
          <w:color w:val="0033A0"/>
        </w:rPr>
        <w:t>– SHAREHOLDER PROPOSAL REGARDING</w:t>
      </w:r>
    </w:p>
    <w:p>
      <w:pPr>
        <w:spacing w:after="0" w:line="54" w:lineRule="exact"/>
        <w:rPr>
          <w:sz w:val="20"/>
          <w:szCs w:val="20"/>
          <w:color w:val="auto"/>
        </w:rPr>
      </w:pPr>
    </w:p>
    <w:p>
      <w:pPr>
        <w:ind w:left="2620"/>
        <w:spacing w:after="0"/>
        <w:rPr>
          <w:sz w:val="20"/>
          <w:szCs w:val="20"/>
          <w:color w:val="auto"/>
        </w:rPr>
      </w:pPr>
      <w:r>
        <w:rPr>
          <w:rFonts w:ascii="Arial" w:cs="Arial" w:eastAsia="Arial" w:hAnsi="Arial"/>
          <w:sz w:val="38"/>
          <w:szCs w:val="38"/>
          <w:color w:val="0033A0"/>
        </w:rPr>
        <w:t>INDEPENDENT BOARD CHAIRMAN</w:t>
      </w:r>
    </w:p>
    <w:p>
      <w:pPr>
        <w:sectPr>
          <w:pgSz w:w="11900" w:h="16838" w:orient="portrait"/>
          <w:cols w:equalWidth="0" w:num="1">
            <w:col w:w="11220"/>
          </w:cols>
          <w:pgMar w:left="240" w:top="459" w:right="439" w:bottom="1440" w:gutter="0" w:footer="0" w:header="0"/>
        </w:sectPr>
      </w:pPr>
    </w:p>
    <w:p>
      <w:pPr>
        <w:spacing w:after="0" w:line="392"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We will provide the name, address, and share ownership of the shareholder who submitted this Rule 14a-8 shareholder proposal upon a shareholder’s request. The shareholder proponent is responsible for the content of the proposal for which we and our Board accept no responsibility.</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4 – Independent Board Chairman</w:t>
      </w:r>
    </w:p>
    <w:p>
      <w:pPr>
        <w:spacing w:after="0" w:line="133"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Shareholders request our Board of Directors to adopt as policy, and amend our governing documents as necessary, to require henceforth that the Chair of the Board of Directors, whenever possible, to be an independent member of the Board. The Board would have the discretion to phase in this policy for the next CEO transition, implemented so it does not violate any existing agreement.</w:t>
      </w:r>
    </w:p>
    <w:p>
      <w:pPr>
        <w:spacing w:after="0" w:line="96"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If the Board determines that a Chairman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Chairman. This proposal requests that all the necessary steps be taken to accomplish the above.</w:t>
      </w:r>
    </w:p>
    <w:p>
      <w:pPr>
        <w:spacing w:after="0" w:line="96"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It was reported that 53% of the Standard &amp; Poors 1,500 firms separate these 2 positions (2015 report): Chairman and CEO. This proposal topic won 50%-plus support at 5 major U.S. companies in 2013 including 73%-support at Netflix.</w:t>
      </w:r>
    </w:p>
    <w:p>
      <w:pPr>
        <w:spacing w:after="0" w:line="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Having a board chairman who is independent of management is a practice that will move in the direction of better vetted management decisions on questionable practices such as promotion of rolling back fuel economy standards and a $14 billion Stock Buyback Plan. This is of the utmost importance since the automobile industry is undergoing the greatest change since 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170815</wp:posOffset>
            </wp:positionV>
            <wp:extent cx="6758305" cy="1282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 December 2018 article had the headline: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Senators Pressuring GM to Halt $14B Stock Buyback Plan</w:t>
      </w:r>
    </w:p>
    <w:p>
      <w:pPr>
        <w:spacing w:after="0" w:line="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deeply concerned about the recent actions by General Motors Company (GM) to close factories in the United States, at the same time that GM is expanding production in Mexico and buying back its own stock. We are writing to request information about how GM may be benefiting from new tax incentives for offshoring that were created by the 2017 tax act, and to ask that GM cancel further stock buybacks,” the senators said in the letter to Mary Barra.</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buybacks make no sense, since GM’s stated purpose for closing factories is to free up cash flow for investments in electric and autonomous vehicles. GM has spent $10.6 billion on stock buybacks since 2015, and plans to continue these buybacks until it has spent $14 billion. These buybacks give a windfall to GM’s executives while diverting cash flow that GM could use to invest in electric and autonomous vehicles without laying off American workers, the letter added.</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Stock buybacks can be a sign of short-termism for executives – sometimes boosting share price without boosting the underlying value, profitability, or ingenuity of the company. A dollar spent repurchasing a share is a dollar that cannot be spent on new equipment, an acquisition or entry into a new market.</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proposal topic won impressive 41%-support at our 2017 annual meeting. This 41%-support would have been higher (perhaps 45%) if all shareholders had access to independent proxy voting advice.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vote yes: </w:t>
      </w:r>
      <w:r>
        <w:rPr>
          <w:rFonts w:ascii="Arial" w:cs="Arial" w:eastAsia="Arial" w:hAnsi="Arial"/>
          <w:sz w:val="16"/>
          <w:szCs w:val="16"/>
          <w:b w:val="1"/>
          <w:bCs w:val="1"/>
          <w:color w:val="auto"/>
        </w:rPr>
        <w:t>Independent Board Chairman</w:t>
      </w:r>
      <w:r>
        <w:rPr>
          <w:rFonts w:ascii="Arial" w:cs="Arial" w:eastAsia="Arial" w:hAnsi="Arial"/>
          <w:sz w:val="16"/>
          <w:szCs w:val="16"/>
          <w:color w:val="auto"/>
        </w:rPr>
        <w:t xml:space="preserve"> - </w:t>
      </w:r>
      <w:r>
        <w:rPr>
          <w:rFonts w:ascii="Arial" w:cs="Arial" w:eastAsia="Arial" w:hAnsi="Arial"/>
          <w:sz w:val="16"/>
          <w:szCs w:val="16"/>
          <w:b w:val="1"/>
          <w:bCs w:val="1"/>
          <w:color w:val="auto"/>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639"/>
        <w:spacing w:after="0"/>
        <w:rPr>
          <w:sz w:val="20"/>
          <w:szCs w:val="20"/>
          <w:color w:val="auto"/>
        </w:rPr>
      </w:pPr>
      <w:r>
        <w:rPr>
          <w:rFonts w:ascii="Arial" w:cs="Arial" w:eastAsia="Arial" w:hAnsi="Arial"/>
          <w:sz w:val="14"/>
          <w:szCs w:val="14"/>
          <w:color w:val="0033A0"/>
        </w:rPr>
        <w:t>73</w:t>
      </w:r>
    </w:p>
    <w:p>
      <w:pPr>
        <w:sectPr>
          <w:pgSz w:w="11900" w:h="16838" w:orient="portrait"/>
          <w:cols w:equalWidth="0" w:num="2">
            <w:col w:w="5500" w:space="320"/>
            <w:col w:w="5400"/>
          </w:cols>
          <w:pgMar w:left="240" w:top="459" w:right="4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SHAREHOLDER PROPOSAL REGARDING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3A0"/>
        </w:rPr>
        <w:t xml:space="preserve">The Board of Directors recommends a vote </w:t>
      </w:r>
      <w:r>
        <w:rPr>
          <w:rFonts w:ascii="Arial" w:cs="Arial" w:eastAsia="Arial" w:hAnsi="Arial"/>
          <w:sz w:val="18"/>
          <w:szCs w:val="18"/>
          <w:b w:val="1"/>
          <w:bCs w:val="1"/>
          <w:u w:val="single" w:color="auto"/>
          <w:color w:val="00A1DF"/>
        </w:rPr>
        <w:t>AGAINST</w:t>
      </w:r>
      <w:r>
        <w:rPr>
          <w:rFonts w:ascii="Arial" w:cs="Arial" w:eastAsia="Arial" w:hAnsi="Arial"/>
          <w:sz w:val="18"/>
          <w:szCs w:val="18"/>
          <w:b w:val="1"/>
          <w:bCs w:val="1"/>
          <w:color w:val="0033A0"/>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172085</wp:posOffset>
            </wp:positionV>
            <wp:extent cx="6989445" cy="61760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89445" cy="617601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both"/>
        <w:ind w:left="660" w:right="28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Board should have the flexibility and is in the best position</w:t>
      </w:r>
      <w:r>
        <w:rPr>
          <w:rFonts w:ascii="Arial" w:cs="Arial" w:eastAsia="Arial" w:hAnsi="Arial"/>
          <w:sz w:val="16"/>
          <w:szCs w:val="16"/>
          <w:color w:val="00A1DF"/>
        </w:rPr>
        <w:t xml:space="preserve"> </w:t>
      </w:r>
      <w:r>
        <w:rPr>
          <w:rFonts w:ascii="Arial" w:cs="Arial" w:eastAsia="Arial" w:hAnsi="Arial"/>
          <w:sz w:val="16"/>
          <w:szCs w:val="16"/>
          <w:color w:val="000000"/>
        </w:rPr>
        <w:t>to decide who should serve as its Chairman.</w:t>
      </w:r>
    </w:p>
    <w:p>
      <w:pPr>
        <w:spacing w:after="0" w:line="173" w:lineRule="exact"/>
        <w:rPr>
          <w:sz w:val="20"/>
          <w:szCs w:val="20"/>
          <w:color w:val="auto"/>
        </w:rPr>
      </w:pPr>
    </w:p>
    <w:p>
      <w:pPr>
        <w:jc w:val="both"/>
        <w:ind w:left="660" w:right="280" w:hanging="161"/>
        <w:spacing w:after="0" w:line="269"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Ms. Barra’s service as Chairman and CEO provides a clear and</w:t>
      </w:r>
      <w:r>
        <w:rPr>
          <w:rFonts w:ascii="Arial" w:cs="Arial" w:eastAsia="Arial" w:hAnsi="Arial"/>
          <w:sz w:val="16"/>
          <w:szCs w:val="16"/>
          <w:color w:val="00A1DF"/>
        </w:rPr>
        <w:t xml:space="preserve"> </w:t>
      </w:r>
      <w:r>
        <w:rPr>
          <w:rFonts w:ascii="Arial" w:cs="Arial" w:eastAsia="Arial" w:hAnsi="Arial"/>
          <w:sz w:val="16"/>
          <w:szCs w:val="16"/>
          <w:color w:val="000000"/>
        </w:rPr>
        <w:t>unified strategic vision for GM that fosters a nimble and responsive Board.</w:t>
      </w:r>
    </w:p>
    <w:p>
      <w:pPr>
        <w:spacing w:after="0" w:line="191" w:lineRule="exact"/>
        <w:rPr>
          <w:sz w:val="20"/>
          <w:szCs w:val="20"/>
          <w:color w:val="auto"/>
        </w:rPr>
      </w:pPr>
    </w:p>
    <w:p>
      <w:pPr>
        <w:jc w:val="both"/>
        <w:ind w:left="660" w:right="260" w:hanging="161"/>
        <w:spacing w:after="0" w:line="269"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GM’s strong Independent Lead Director and commitment to</w:t>
      </w:r>
      <w:r>
        <w:rPr>
          <w:rFonts w:ascii="Arial" w:cs="Arial" w:eastAsia="Arial" w:hAnsi="Arial"/>
          <w:sz w:val="16"/>
          <w:szCs w:val="16"/>
          <w:color w:val="00A1DF"/>
        </w:rPr>
        <w:t xml:space="preserve"> </w:t>
      </w:r>
      <w:r>
        <w:rPr>
          <w:rFonts w:ascii="Arial" w:cs="Arial" w:eastAsia="Arial" w:hAnsi="Arial"/>
          <w:sz w:val="16"/>
          <w:szCs w:val="16"/>
          <w:color w:val="000000"/>
        </w:rPr>
        <w:t>governance best practices already ensure management accountability to shareholders by independent directors.</w:t>
      </w:r>
    </w:p>
    <w:p>
      <w:pPr>
        <w:spacing w:after="0" w:line="169" w:lineRule="exact"/>
        <w:rPr>
          <w:sz w:val="20"/>
          <w:szCs w:val="20"/>
          <w:color w:val="auto"/>
        </w:rPr>
      </w:pPr>
    </w:p>
    <w:p>
      <w:pPr>
        <w:jc w:val="both"/>
        <w:ind w:left="400"/>
        <w:spacing w:after="0" w:line="266" w:lineRule="auto"/>
        <w:rPr>
          <w:sz w:val="20"/>
          <w:szCs w:val="20"/>
          <w:color w:val="auto"/>
        </w:rPr>
      </w:pPr>
      <w:r>
        <w:rPr>
          <w:rFonts w:ascii="Arial" w:cs="Arial" w:eastAsia="Arial" w:hAnsi="Arial"/>
          <w:sz w:val="16"/>
          <w:szCs w:val="16"/>
          <w:b w:val="1"/>
          <w:bCs w:val="1"/>
          <w:i w:val="1"/>
          <w:iCs w:val="1"/>
          <w:color w:val="auto"/>
        </w:rPr>
        <w:t>Your Board should have the flexibility and is in the best position to determine who should serve as Chairman – whether that person is an independent director or CEO.</w:t>
      </w:r>
    </w:p>
    <w:p>
      <w:pPr>
        <w:spacing w:after="0" w:line="83" w:lineRule="exact"/>
        <w:rPr>
          <w:sz w:val="20"/>
          <w:szCs w:val="20"/>
          <w:color w:val="auto"/>
        </w:rPr>
      </w:pPr>
    </w:p>
    <w:p>
      <w:pPr>
        <w:jc w:val="both"/>
        <w:ind w:left="400"/>
        <w:spacing w:after="0" w:line="248" w:lineRule="auto"/>
        <w:rPr>
          <w:sz w:val="20"/>
          <w:szCs w:val="20"/>
          <w:color w:val="auto"/>
        </w:rPr>
      </w:pPr>
      <w:r>
        <w:rPr>
          <w:rFonts w:ascii="Arial" w:cs="Arial" w:eastAsia="Arial" w:hAnsi="Arial"/>
          <w:sz w:val="16"/>
          <w:szCs w:val="16"/>
          <w:color w:val="auto"/>
        </w:rPr>
        <w:t>GM operates in a very competitive and fast-changing industry. Your Board and management must constantly assess industry change and disruption. Your Board is composed of directors with diverse backgrounds, experience, perspectives, and in-depth knowledge about GM. With this expertise, it is uniquely positioned to evaluate GM’s key challenges and needs, including the optimal Board leadership structure.</w:t>
      </w:r>
    </w:p>
    <w:p>
      <w:pPr>
        <w:spacing w:after="0" w:line="289" w:lineRule="exact"/>
        <w:rPr>
          <w:sz w:val="20"/>
          <w:szCs w:val="20"/>
          <w:color w:val="auto"/>
        </w:rPr>
      </w:pPr>
    </w:p>
    <w:p>
      <w:pPr>
        <w:jc w:val="both"/>
        <w:ind w:left="400" w:right="20"/>
        <w:spacing w:after="0" w:line="249" w:lineRule="auto"/>
        <w:rPr>
          <w:sz w:val="20"/>
          <w:szCs w:val="20"/>
          <w:color w:val="auto"/>
        </w:rPr>
      </w:pPr>
      <w:r>
        <w:rPr>
          <w:rFonts w:ascii="Arial" w:cs="Arial" w:eastAsia="Arial" w:hAnsi="Arial"/>
          <w:sz w:val="16"/>
          <w:szCs w:val="16"/>
          <w:color w:val="auto"/>
        </w:rPr>
        <w:t>It is critical that your Board have the flexibility to choose the best person to serve as Chairman and not be arbitrarily constrained by a one-size-fits-all policy that has been empirically shown to have little relation to long-term shareholder value. The proposal would remove the Board’s current flexibility to determine the leadership structure that best serves the interests of GM and its shareholders.</w:t>
      </w:r>
    </w:p>
    <w:p>
      <w:pPr>
        <w:spacing w:after="0" w:line="96" w:lineRule="exact"/>
        <w:rPr>
          <w:sz w:val="20"/>
          <w:szCs w:val="20"/>
          <w:color w:val="auto"/>
        </w:rPr>
      </w:pPr>
    </w:p>
    <w:p>
      <w:pPr>
        <w:jc w:val="both"/>
        <w:ind w:left="400"/>
        <w:spacing w:after="0" w:line="248" w:lineRule="auto"/>
        <w:rPr>
          <w:sz w:val="20"/>
          <w:szCs w:val="20"/>
          <w:color w:val="auto"/>
        </w:rPr>
      </w:pPr>
      <w:r>
        <w:rPr>
          <w:rFonts w:ascii="Arial" w:cs="Arial" w:eastAsia="Arial" w:hAnsi="Arial"/>
          <w:sz w:val="16"/>
          <w:szCs w:val="16"/>
          <w:color w:val="auto"/>
        </w:rPr>
        <w:t>Your Board evaluates its leadership structure annually as well as in connection with any future CEO transition. Although your Board has in the past, and may again in the future, determine that separating the roles of Chairman and CEO would best serve shareholders, your Board presently believes that a combined role, coupled with a strong Independent Lead Director and other governance best practices, is in the best interests of shareholders at this time.</w:t>
      </w:r>
    </w:p>
    <w:p>
      <w:pPr>
        <w:spacing w:after="0" w:line="79" w:lineRule="exact"/>
        <w:rPr>
          <w:sz w:val="20"/>
          <w:szCs w:val="20"/>
          <w:color w:val="auto"/>
        </w:rPr>
      </w:pPr>
    </w:p>
    <w:p>
      <w:pPr>
        <w:jc w:val="both"/>
        <w:ind w:left="400"/>
        <w:spacing w:after="0" w:line="259" w:lineRule="auto"/>
        <w:rPr>
          <w:sz w:val="20"/>
          <w:szCs w:val="20"/>
          <w:color w:val="auto"/>
        </w:rPr>
      </w:pPr>
      <w:r>
        <w:rPr>
          <w:rFonts w:ascii="Arial" w:cs="Arial" w:eastAsia="Arial" w:hAnsi="Arial"/>
          <w:sz w:val="16"/>
          <w:szCs w:val="16"/>
          <w:b w:val="1"/>
          <w:bCs w:val="1"/>
          <w:i w:val="1"/>
          <w:iCs w:val="1"/>
          <w:color w:val="auto"/>
        </w:rPr>
        <w:t>Your Board believes that Mary Barra’s service as Chairman and CEO has provided, and continues to provide, a clear and unified strategic vision for GM during this time of unprecedented industry change.</w:t>
      </w:r>
    </w:p>
    <w:p>
      <w:pPr>
        <w:spacing w:after="0" w:line="89" w:lineRule="exact"/>
        <w:rPr>
          <w:sz w:val="20"/>
          <w:szCs w:val="20"/>
          <w:color w:val="auto"/>
        </w:rPr>
      </w:pPr>
    </w:p>
    <w:p>
      <w:pPr>
        <w:jc w:val="both"/>
        <w:ind w:left="400"/>
        <w:spacing w:after="0" w:line="248" w:lineRule="auto"/>
        <w:rPr>
          <w:sz w:val="20"/>
          <w:szCs w:val="20"/>
          <w:color w:val="auto"/>
        </w:rPr>
      </w:pPr>
      <w:r>
        <w:rPr>
          <w:rFonts w:ascii="Arial" w:cs="Arial" w:eastAsia="Arial" w:hAnsi="Arial"/>
          <w:sz w:val="16"/>
          <w:szCs w:val="16"/>
          <w:color w:val="auto"/>
        </w:rPr>
        <w:t>During Ms. Barra’s tenure, GM has taken bold, strategic actions to grow long-term shareholder value, strengthened its core business, invested to lead in the future of mobility, and articulated GM’s vision for zero crashes, zero emissions, and zero congestion. In 2018, Ms. Barra announced additional plans to accelerate GM’s transformation for the future, which are expected to increase annual adjusted automotive free cash flow by year-end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i w:val="1"/>
          <w:iCs w:val="1"/>
          <w:color w:val="auto"/>
        </w:rPr>
        <w:t>Ms. Barra’s Board leadership is complemented by a strong Independent Lead Director.</w:t>
      </w:r>
    </w:p>
    <w:p>
      <w:pPr>
        <w:spacing w:after="0" w:line="67" w:lineRule="exact"/>
        <w:rPr>
          <w:sz w:val="20"/>
          <w:szCs w:val="20"/>
          <w:color w:val="auto"/>
        </w:rPr>
      </w:pPr>
    </w:p>
    <w:p>
      <w:pPr>
        <w:jc w:val="both"/>
        <w:ind w:right="200"/>
        <w:spacing w:after="0" w:line="248" w:lineRule="auto"/>
        <w:rPr>
          <w:sz w:val="20"/>
          <w:szCs w:val="20"/>
          <w:color w:val="auto"/>
        </w:rPr>
      </w:pPr>
      <w:r>
        <w:rPr>
          <w:rFonts w:ascii="Arial" w:cs="Arial" w:eastAsia="Arial" w:hAnsi="Arial"/>
          <w:sz w:val="16"/>
          <w:szCs w:val="16"/>
          <w:color w:val="auto"/>
        </w:rPr>
        <w:t>While Ms. Barra’s in-depth knowledge of our businesses and understanding of day-to-day operations bring focused leadership to your Board, the independent directors also recognize the importance of strong independent leadership. As the Independent Lead Director, Mr. Solso provides leadership and oversight for shareholders, including focus on strategic risk management, compliance, governance, and CEO succession planning. The specific duties of the Independent Lead Director are discussed on page 23.</w:t>
      </w:r>
    </w:p>
    <w:p>
      <w:pPr>
        <w:spacing w:after="0" w:line="78"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i w:val="1"/>
          <w:iCs w:val="1"/>
          <w:color w:val="auto"/>
        </w:rPr>
        <w:t>GM’s strong corporate governance practices reinforce Board independence and management accountability.</w:t>
      </w:r>
    </w:p>
    <w:p>
      <w:pPr>
        <w:spacing w:after="0" w:line="67"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The Board has established and maintains numerous best-in-class governance practices to reinforce and facilitate management accountability and provide meaningful independent oversight, including:</w:t>
      </w:r>
    </w:p>
    <w:p>
      <w:pPr>
        <w:spacing w:after="0" w:line="106" w:lineRule="exact"/>
        <w:rPr>
          <w:sz w:val="20"/>
          <w:szCs w:val="20"/>
          <w:color w:val="auto"/>
        </w:rPr>
      </w:pPr>
    </w:p>
    <w:p>
      <w:pPr>
        <w:ind w:left="200" w:hanging="197"/>
        <w:spacing w:after="0"/>
        <w:tabs>
          <w:tab w:leader="none" w:pos="200" w:val="left"/>
        </w:tabs>
        <w:numPr>
          <w:ilvl w:val="0"/>
          <w:numId w:val="138"/>
        </w:numPr>
        <w:rPr>
          <w:rFonts w:ascii="Arial" w:cs="Arial" w:eastAsia="Arial" w:hAnsi="Arial"/>
          <w:sz w:val="16"/>
          <w:szCs w:val="16"/>
          <w:color w:val="0033A0"/>
        </w:rPr>
      </w:pPr>
      <w:r>
        <w:rPr>
          <w:rFonts w:ascii="Arial" w:cs="Arial" w:eastAsia="Arial" w:hAnsi="Arial"/>
          <w:sz w:val="16"/>
          <w:szCs w:val="16"/>
          <w:color w:val="auto"/>
        </w:rPr>
        <w:t>Annual election of directors;</w:t>
      </w:r>
    </w:p>
    <w:p>
      <w:pPr>
        <w:spacing w:after="0" w:line="4" w:lineRule="exact"/>
        <w:rPr>
          <w:rFonts w:ascii="Arial" w:cs="Arial" w:eastAsia="Arial" w:hAnsi="Arial"/>
          <w:sz w:val="16"/>
          <w:szCs w:val="16"/>
          <w:color w:val="0033A0"/>
        </w:rPr>
      </w:pPr>
    </w:p>
    <w:p>
      <w:pPr>
        <w:ind w:left="200" w:right="220" w:hanging="197"/>
        <w:spacing w:after="0" w:line="246" w:lineRule="auto"/>
        <w:tabs>
          <w:tab w:leader="none" w:pos="200" w:val="left"/>
        </w:tabs>
        <w:numPr>
          <w:ilvl w:val="0"/>
          <w:numId w:val="138"/>
        </w:numPr>
        <w:rPr>
          <w:rFonts w:ascii="Arial" w:cs="Arial" w:eastAsia="Arial" w:hAnsi="Arial"/>
          <w:sz w:val="16"/>
          <w:szCs w:val="16"/>
          <w:color w:val="0033A0"/>
        </w:rPr>
      </w:pPr>
      <w:r>
        <w:rPr>
          <w:rFonts w:ascii="Arial" w:cs="Arial" w:eastAsia="Arial" w:hAnsi="Arial"/>
          <w:sz w:val="16"/>
          <w:szCs w:val="16"/>
          <w:color w:val="auto"/>
        </w:rPr>
        <w:t>Annual evaluation of CEO performance and compensation by non-management directors;</w:t>
      </w:r>
    </w:p>
    <w:p>
      <w:pPr>
        <w:ind w:left="200" w:right="200" w:hanging="197"/>
        <w:spacing w:after="0" w:line="246" w:lineRule="auto"/>
        <w:tabs>
          <w:tab w:leader="none" w:pos="200" w:val="left"/>
        </w:tabs>
        <w:numPr>
          <w:ilvl w:val="0"/>
          <w:numId w:val="138"/>
        </w:numPr>
        <w:rPr>
          <w:rFonts w:ascii="Arial" w:cs="Arial" w:eastAsia="Arial" w:hAnsi="Arial"/>
          <w:sz w:val="16"/>
          <w:szCs w:val="16"/>
          <w:color w:val="0033A0"/>
        </w:rPr>
      </w:pPr>
      <w:r>
        <w:rPr>
          <w:rFonts w:ascii="Arial" w:cs="Arial" w:eastAsia="Arial" w:hAnsi="Arial"/>
          <w:sz w:val="16"/>
          <w:szCs w:val="16"/>
          <w:color w:val="auto"/>
        </w:rPr>
        <w:t>Executive sessions held at most Board and Committee meetings without management present;</w:t>
      </w:r>
    </w:p>
    <w:p>
      <w:pPr>
        <w:ind w:left="200" w:right="200" w:hanging="197"/>
        <w:spacing w:after="0" w:line="246" w:lineRule="auto"/>
        <w:tabs>
          <w:tab w:leader="none" w:pos="200" w:val="left"/>
        </w:tabs>
        <w:numPr>
          <w:ilvl w:val="0"/>
          <w:numId w:val="138"/>
        </w:numPr>
        <w:rPr>
          <w:rFonts w:ascii="Arial" w:cs="Arial" w:eastAsia="Arial" w:hAnsi="Arial"/>
          <w:sz w:val="16"/>
          <w:szCs w:val="16"/>
          <w:color w:val="0033A0"/>
        </w:rPr>
      </w:pPr>
      <w:r>
        <w:rPr>
          <w:rFonts w:ascii="Arial" w:cs="Arial" w:eastAsia="Arial" w:hAnsi="Arial"/>
          <w:sz w:val="16"/>
          <w:szCs w:val="16"/>
          <w:color w:val="auto"/>
        </w:rPr>
        <w:t>Six of our seven standing Committees, including the Compensation Committee, being composed entirely of independent directors; and</w:t>
      </w:r>
    </w:p>
    <w:p>
      <w:pPr>
        <w:ind w:left="200" w:right="220" w:hanging="197"/>
        <w:spacing w:after="0" w:line="260" w:lineRule="auto"/>
        <w:tabs>
          <w:tab w:leader="none" w:pos="200" w:val="left"/>
        </w:tabs>
        <w:numPr>
          <w:ilvl w:val="0"/>
          <w:numId w:val="138"/>
        </w:numPr>
        <w:rPr>
          <w:rFonts w:ascii="Arial" w:cs="Arial" w:eastAsia="Arial" w:hAnsi="Arial"/>
          <w:sz w:val="16"/>
          <w:szCs w:val="16"/>
          <w:color w:val="0033A0"/>
        </w:rPr>
      </w:pPr>
      <w:r>
        <w:rPr>
          <w:rFonts w:ascii="Arial" w:cs="Arial" w:eastAsia="Arial" w:hAnsi="Arial"/>
          <w:sz w:val="16"/>
          <w:szCs w:val="16"/>
          <w:color w:val="auto"/>
        </w:rPr>
        <w:t>Directors having unrestricted access to management and independent, outside advisors.</w:t>
      </w:r>
    </w:p>
    <w:p>
      <w:pPr>
        <w:spacing w:after="0" w:line="67"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i w:val="1"/>
          <w:iCs w:val="1"/>
          <w:color w:val="auto"/>
        </w:rPr>
        <w:t>Your Board routinely engages directly with shareholders, reinforcing management accountability.</w:t>
      </w:r>
    </w:p>
    <w:p>
      <w:pPr>
        <w:spacing w:after="0" w:line="67" w:lineRule="exact"/>
        <w:rPr>
          <w:sz w:val="20"/>
          <w:szCs w:val="20"/>
          <w:color w:val="auto"/>
        </w:rPr>
      </w:pPr>
    </w:p>
    <w:p>
      <w:pPr>
        <w:jc w:val="both"/>
        <w:ind w:right="200"/>
        <w:spacing w:after="0" w:line="247" w:lineRule="auto"/>
        <w:rPr>
          <w:sz w:val="20"/>
          <w:szCs w:val="20"/>
          <w:color w:val="auto"/>
        </w:rPr>
      </w:pPr>
      <w:r>
        <w:rPr>
          <w:rFonts w:ascii="Arial" w:cs="Arial" w:eastAsia="Arial" w:hAnsi="Arial"/>
          <w:sz w:val="16"/>
          <w:szCs w:val="16"/>
          <w:color w:val="auto"/>
        </w:rPr>
        <w:t>Since implementing the Director-Shareholder Engagement Policy in 2016, directors have annually conducted in-person meetings with our largest shareholders. These engagements help shape the Board’s perspective on many issues, such as Board leadership, succession planning, and refreshment; executive compensation, including the link between corporate strategy and executive compensation; and corporate responsibility, environmental, social, and other current and emerging issues so that your Board and management can understand and address the issues that are important to our shareholders. Examples of the Board incorporating feedback include adopting proxy access (2016), making significant changes to our compensation programs (2017), and integrating three new directors into the Board (2018 to 2019).</w:t>
      </w:r>
    </w:p>
    <w:p>
      <w:pPr>
        <w:spacing w:after="0" w:line="82"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i w:val="1"/>
          <w:iCs w:val="1"/>
          <w:color w:val="auto"/>
        </w:rPr>
        <w:t>GM’s disciplined capital allocation strategy is aligned with the long-term interests of shareholders.</w:t>
      </w:r>
    </w:p>
    <w:p>
      <w:pPr>
        <w:spacing w:after="0" w:line="67"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In the supporting statement for the shareholder’s proposal, the proponent incorrectly suggests that GM’s decision to buy back</w:t>
      </w:r>
    </w:p>
    <w:p>
      <w:pPr>
        <w:spacing w:after="0" w:line="538"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28"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74 </w:t>
      </w:r>
      <w:r>
        <w:rPr>
          <w:sz w:val="1"/>
          <w:szCs w:val="1"/>
          <w:color w:val="auto"/>
        </w:rPr>
        <w:drawing>
          <wp:inline distT="0" distB="0" distL="0" distR="0">
            <wp:extent cx="6852920" cy="14541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SHAREHOLDER PROPOSAL REGARDING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291465</wp:posOffset>
            </wp:positionV>
            <wp:extent cx="6989445" cy="2201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89445" cy="22015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both"/>
        <w:ind w:left="400"/>
        <w:spacing w:after="0" w:line="246" w:lineRule="auto"/>
        <w:rPr>
          <w:sz w:val="20"/>
          <w:szCs w:val="20"/>
          <w:color w:val="auto"/>
        </w:rPr>
      </w:pPr>
      <w:r>
        <w:rPr>
          <w:rFonts w:ascii="Arial" w:cs="Arial" w:eastAsia="Arial" w:hAnsi="Arial"/>
          <w:sz w:val="16"/>
          <w:szCs w:val="16"/>
          <w:color w:val="auto"/>
        </w:rPr>
        <w:t>GM shares was not subject to independent Board oversight. In fact, your Board has worked closely with management in recent years to develop a disciplined capital allocation framework that consists of</w:t>
      </w:r>
    </w:p>
    <w:p>
      <w:pPr>
        <w:spacing w:after="0" w:line="1" w:lineRule="exact"/>
        <w:rPr>
          <w:sz w:val="20"/>
          <w:szCs w:val="20"/>
          <w:color w:val="auto"/>
        </w:rPr>
      </w:pPr>
    </w:p>
    <w:p>
      <w:pPr>
        <w:jc w:val="both"/>
        <w:ind w:left="400" w:hanging="1"/>
        <w:spacing w:after="0" w:line="248"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deploying capital to higher-return opportunities, (2) maintaining an investment grade balance sheet, and (3) returning available cash to shareholders in the form of dividends and share buybacks. Your Board believes that GM’s shares remain under-valued and that returning cash to shareholders through buybacks is a critical component of GM’s capital allocation strategy that is in the long-term best interests of shareholders.</w:t>
      </w:r>
    </w:p>
    <w:p>
      <w:pPr>
        <w:spacing w:after="0" w:line="79" w:lineRule="exact"/>
        <w:rPr>
          <w:sz w:val="20"/>
          <w:szCs w:val="20"/>
          <w:color w:val="auto"/>
        </w:rPr>
      </w:pPr>
    </w:p>
    <w:p>
      <w:pPr>
        <w:ind w:left="400"/>
        <w:spacing w:after="0" w:line="286" w:lineRule="auto"/>
        <w:rPr>
          <w:sz w:val="20"/>
          <w:szCs w:val="20"/>
          <w:color w:val="auto"/>
        </w:rPr>
      </w:pPr>
      <w:r>
        <w:rPr>
          <w:rFonts w:ascii="Arial" w:cs="Arial" w:eastAsia="Arial" w:hAnsi="Arial"/>
          <w:sz w:val="16"/>
          <w:szCs w:val="16"/>
          <w:b w:val="1"/>
          <w:bCs w:val="1"/>
          <w:i w:val="1"/>
          <w:iCs w:val="1"/>
          <w:color w:val="auto"/>
        </w:rPr>
        <w:t>Your Board’s current leadership structure is consistent with the practices of the largest U.S. public companies.</w:t>
      </w:r>
    </w:p>
    <w:p>
      <w:pPr>
        <w:spacing w:after="0" w:line="67" w:lineRule="exact"/>
        <w:rPr>
          <w:sz w:val="20"/>
          <w:szCs w:val="20"/>
          <w:color w:val="auto"/>
        </w:rPr>
      </w:pPr>
    </w:p>
    <w:p>
      <w:pPr>
        <w:ind w:left="400"/>
        <w:spacing w:after="0" w:line="260" w:lineRule="auto"/>
        <w:rPr>
          <w:sz w:val="20"/>
          <w:szCs w:val="20"/>
          <w:color w:val="auto"/>
        </w:rPr>
      </w:pPr>
      <w:r>
        <w:rPr>
          <w:rFonts w:ascii="Arial" w:cs="Arial" w:eastAsia="Arial" w:hAnsi="Arial"/>
          <w:sz w:val="16"/>
          <w:szCs w:val="16"/>
          <w:color w:val="auto"/>
        </w:rPr>
        <w:t>According to a recent Shearman &amp; Sterling’s Corporate Governance &amp; Executive Compensation Survey of the 100 largest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387985</wp:posOffset>
            </wp:positionV>
            <wp:extent cx="6758305" cy="1282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both"/>
        <w:ind w:right="200"/>
        <w:spacing w:after="0" w:line="249" w:lineRule="auto"/>
        <w:rPr>
          <w:sz w:val="20"/>
          <w:szCs w:val="20"/>
          <w:color w:val="auto"/>
        </w:rPr>
      </w:pPr>
      <w:r>
        <w:rPr>
          <w:rFonts w:ascii="Arial" w:cs="Arial" w:eastAsia="Arial" w:hAnsi="Arial"/>
          <w:sz w:val="16"/>
          <w:szCs w:val="16"/>
          <w:color w:val="auto"/>
        </w:rPr>
        <w:t>U.S. public companies, only 12 companies have a policy that requires separate individuals to serve as chairman and CEO; the overwhelming majority of corporate policies provide boards with the flexibility to separate or combine the positions. Contrary to the proponent’s statements, your Board’s flexible approach to its leadership structure does not make it an outlier among its peers.</w:t>
      </w:r>
    </w:p>
    <w:p>
      <w:pPr>
        <w:spacing w:after="0" w:line="74" w:lineRule="exact"/>
        <w:rPr>
          <w:sz w:val="20"/>
          <w:szCs w:val="20"/>
          <w:color w:val="auto"/>
        </w:rPr>
      </w:pPr>
    </w:p>
    <w:p>
      <w:pPr>
        <w:ind w:right="480"/>
        <w:spacing w:after="0" w:line="272" w:lineRule="auto"/>
        <w:rPr>
          <w:sz w:val="20"/>
          <w:szCs w:val="20"/>
          <w:color w:val="auto"/>
        </w:rPr>
      </w:pPr>
      <w:r>
        <w:rPr>
          <w:rFonts w:ascii="Arial" w:cs="Arial" w:eastAsia="Arial" w:hAnsi="Arial"/>
          <w:sz w:val="19"/>
          <w:szCs w:val="19"/>
          <w:b w:val="1"/>
          <w:bCs w:val="1"/>
          <w:color w:val="0033A0"/>
        </w:rPr>
        <w:t xml:space="preserve">Therefore, your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A1DF"/>
        </w:rPr>
        <w:t xml:space="preserve"> </w:t>
      </w:r>
      <w:r>
        <w:rPr>
          <w:rFonts w:ascii="Arial" w:cs="Arial" w:eastAsia="Arial" w:hAnsi="Arial"/>
          <w:sz w:val="19"/>
          <w:szCs w:val="19"/>
          <w:b w:val="1"/>
          <w:bCs w:val="1"/>
          <w:color w:val="0033A0"/>
        </w:rPr>
        <w:t>this shareholder proposal.</w:t>
      </w:r>
    </w:p>
    <w:p>
      <w:pPr>
        <w:spacing w:after="0" w:line="302"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0033A0"/>
        </w:rPr>
        <w:t>Learn More</w:t>
      </w:r>
    </w:p>
    <w:p>
      <w:pPr>
        <w:spacing w:after="0" w:line="146" w:lineRule="exact"/>
        <w:rPr>
          <w:sz w:val="20"/>
          <w:szCs w:val="20"/>
          <w:color w:val="auto"/>
        </w:rPr>
      </w:pPr>
    </w:p>
    <w:p>
      <w:pPr>
        <w:jc w:val="both"/>
        <w:ind w:left="560" w:right="140"/>
        <w:spacing w:after="0" w:line="253" w:lineRule="auto"/>
        <w:rPr>
          <w:sz w:val="20"/>
          <w:szCs w:val="20"/>
          <w:color w:val="auto"/>
        </w:rPr>
      </w:pPr>
      <w:r>
        <w:rPr>
          <w:rFonts w:ascii="Arial" w:cs="Arial" w:eastAsia="Arial" w:hAnsi="Arial"/>
          <w:sz w:val="16"/>
          <w:szCs w:val="16"/>
          <w:color w:val="auto"/>
        </w:rPr>
        <w:t>Our Independent Lead Director, Mr. Solso, shares his perspective on your Board’s current leadership structure in his letter to shareholders on page 23.</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68"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75</w:t>
      </w:r>
    </w:p>
    <w:p>
      <w:pPr>
        <w:sectPr>
          <w:pgSz w:w="11900" w:h="16838" w:orient="portrait"/>
          <w:cols w:equalWidth="0" w:num="1">
            <w:col w:w="11220"/>
          </w:cols>
          <w:pgMar w:left="24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jc w:val="both"/>
        <w:ind w:left="2600" w:right="660" w:hanging="1909"/>
        <w:spacing w:after="0" w:line="255" w:lineRule="auto"/>
        <w:rPr>
          <w:sz w:val="20"/>
          <w:szCs w:val="20"/>
          <w:color w:val="auto"/>
        </w:rPr>
      </w:pPr>
      <w:r>
        <w:rPr>
          <w:rFonts w:ascii="Arial" w:cs="Arial" w:eastAsia="Arial" w:hAnsi="Arial"/>
          <w:sz w:val="38"/>
          <w:szCs w:val="38"/>
          <w:b w:val="1"/>
          <w:bCs w:val="1"/>
          <w:color w:val="00A1DF"/>
        </w:rPr>
        <w:t xml:space="preserve">ITEM NO. 5 </w:t>
      </w:r>
      <w:r>
        <w:rPr>
          <w:rFonts w:ascii="Arial" w:cs="Arial" w:eastAsia="Arial" w:hAnsi="Arial"/>
          <w:sz w:val="38"/>
          <w:szCs w:val="38"/>
          <w:color w:val="0033A0"/>
        </w:rPr>
        <w:t>– SHAREHOLDER PROPOSAL REGARDING</w:t>
      </w:r>
      <w:r>
        <w:rPr>
          <w:rFonts w:ascii="Arial" w:cs="Arial" w:eastAsia="Arial" w:hAnsi="Arial"/>
          <w:sz w:val="38"/>
          <w:szCs w:val="38"/>
          <w:b w:val="1"/>
          <w:bCs w:val="1"/>
          <w:color w:val="00A1DF"/>
        </w:rPr>
        <w:t xml:space="preserve"> </w:t>
      </w:r>
      <w:r>
        <w:rPr>
          <w:rFonts w:ascii="Arial" w:cs="Arial" w:eastAsia="Arial" w:hAnsi="Arial"/>
          <w:sz w:val="38"/>
          <w:szCs w:val="38"/>
          <w:color w:val="0033A0"/>
        </w:rPr>
        <w:t>REPORT ON LOBBYING COMMUNICATIONS AND ACTIVITIES</w:t>
      </w:r>
    </w:p>
    <w:p>
      <w:pPr>
        <w:sectPr>
          <w:pgSz w:w="11900" w:h="16838" w:orient="portrait"/>
          <w:cols w:equalWidth="0" w:num="1">
            <w:col w:w="11220"/>
          </w:cols>
          <w:pgMar w:left="240" w:top="459" w:right="439" w:bottom="1440" w:gutter="0" w:footer="0" w:header="0"/>
        </w:sectPr>
      </w:pPr>
    </w:p>
    <w:p>
      <w:pPr>
        <w:spacing w:after="0" w:line="34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We will provide the name, address, and share ownership of the shareholders who submitted this Rule 14a-8 shareholder proposal upon a shareholder’s request. The shareholder proponents are responsible for the content of the proposal for which we and our Board accept no responsibility.</w:t>
      </w:r>
    </w:p>
    <w:p>
      <w:pPr>
        <w:spacing w:after="0" w:line="78" w:lineRule="exact"/>
        <w:rPr>
          <w:sz w:val="20"/>
          <w:szCs w:val="20"/>
          <w:color w:val="auto"/>
        </w:rPr>
      </w:pPr>
    </w:p>
    <w:p>
      <w:pPr>
        <w:jc w:val="both"/>
        <w:ind w:left="220"/>
        <w:spacing w:after="0" w:line="28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the shareholders of General Motors Company (“GM”)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the preparation of a report, updated annually, disclosing:</w:t>
      </w:r>
    </w:p>
    <w:p>
      <w:pPr>
        <w:spacing w:after="0" w:line="81" w:lineRule="exact"/>
        <w:rPr>
          <w:sz w:val="20"/>
          <w:szCs w:val="20"/>
          <w:color w:val="auto"/>
        </w:rPr>
      </w:pPr>
    </w:p>
    <w:p>
      <w:pPr>
        <w:ind w:left="880" w:right="20" w:hanging="346"/>
        <w:spacing w:after="0" w:line="260" w:lineRule="auto"/>
        <w:tabs>
          <w:tab w:leader="none" w:pos="8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Company policy and procedures governing lobbying, both direct and indirect, and grassroots lobbying communications.</w:t>
      </w:r>
    </w:p>
    <w:p>
      <w:pPr>
        <w:spacing w:after="0" w:line="100" w:lineRule="exact"/>
        <w:rPr>
          <w:rFonts w:ascii="Arial" w:cs="Arial" w:eastAsia="Arial" w:hAnsi="Arial"/>
          <w:sz w:val="16"/>
          <w:szCs w:val="16"/>
          <w:color w:val="auto"/>
        </w:rPr>
      </w:pPr>
    </w:p>
    <w:p>
      <w:pPr>
        <w:ind w:left="880" w:hanging="346"/>
        <w:spacing w:after="0"/>
        <w:tabs>
          <w:tab w:leader="none" w:pos="8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Payments by GM used for (a) direct or indirect lobbying or</w:t>
      </w:r>
    </w:p>
    <w:p>
      <w:pPr>
        <w:spacing w:after="0" w:line="4" w:lineRule="exact"/>
        <w:rPr>
          <w:rFonts w:ascii="Arial" w:cs="Arial" w:eastAsia="Arial" w:hAnsi="Arial"/>
          <w:sz w:val="16"/>
          <w:szCs w:val="16"/>
          <w:color w:val="auto"/>
        </w:rPr>
      </w:pPr>
    </w:p>
    <w:p>
      <w:pPr>
        <w:ind w:left="880" w:right="20"/>
        <w:spacing w:after="0" w:line="260" w:lineRule="auto"/>
        <w:rPr>
          <w:rFonts w:ascii="Arial" w:cs="Arial" w:eastAsia="Arial" w:hAnsi="Arial"/>
          <w:sz w:val="16"/>
          <w:szCs w:val="16"/>
          <w:color w:val="auto"/>
        </w:rPr>
      </w:pPr>
      <w:r>
        <w:rPr>
          <w:rFonts w:ascii="Arial" w:cs="Arial" w:eastAsia="Arial" w:hAnsi="Arial"/>
          <w:sz w:val="16"/>
          <w:szCs w:val="16"/>
          <w:color w:val="auto"/>
        </w:rPr>
        <w:t>(b) grassroots lobbying communications, in each case including the amount of the payment and the recipient.</w:t>
      </w:r>
    </w:p>
    <w:p>
      <w:pPr>
        <w:spacing w:after="0" w:line="100" w:lineRule="exact"/>
        <w:rPr>
          <w:rFonts w:ascii="Arial" w:cs="Arial" w:eastAsia="Arial" w:hAnsi="Arial"/>
          <w:sz w:val="16"/>
          <w:szCs w:val="16"/>
          <w:color w:val="auto"/>
        </w:rPr>
      </w:pPr>
    </w:p>
    <w:p>
      <w:pPr>
        <w:ind w:left="880" w:right="20" w:hanging="346"/>
        <w:spacing w:after="0" w:line="260" w:lineRule="auto"/>
        <w:tabs>
          <w:tab w:leader="none" w:pos="8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Description of management’s decision making process and the Board’s oversight for making payments described above.</w:t>
      </w:r>
    </w:p>
    <w:p>
      <w:pPr>
        <w:spacing w:after="0" w:line="8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GM is a member.</w:t>
      </w:r>
    </w:p>
    <w:p>
      <w:pPr>
        <w:spacing w:after="0" w:line="99"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Both “direct and indirect lobbying” and “grassroots lobbying communications” include efforts at the local, state and federal levels.</w:t>
      </w:r>
    </w:p>
    <w:p>
      <w:pPr>
        <w:spacing w:after="0" w:line="87"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The report shall be presented to the Governance and Corporate Responsibility Committee and posted on GM’s website.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GM spent $71,495,000 from 2010—2017 on federal lobbying (opensecrets.org). This figure does not include state lobbying expenditures in the 49 states where GM lobbies but disclosure is uneven or absent (</w:t>
      </w:r>
      <w:r>
        <w:rPr>
          <w:rFonts w:ascii="Arial" w:cs="Arial" w:eastAsia="Arial" w:hAnsi="Arial"/>
          <w:sz w:val="16"/>
          <w:szCs w:val="16"/>
          <w:u w:val="single" w:color="auto"/>
          <w:color w:val="auto"/>
        </w:rPr>
        <w:t>https://publicintegrity.org/state-politics/amid-federal-gridlock-lobbying-rises-</w:t>
      </w:r>
      <w:r>
        <w:rPr>
          <w:rFonts w:ascii="Arial" w:cs="Arial" w:eastAsia="Arial" w:hAnsi="Arial"/>
          <w:sz w:val="16"/>
          <w:szCs w:val="16"/>
          <w:color w:val="auto"/>
        </w:rPr>
        <w:t>For example, GM spent $2,756,602 on lobbying in California from 2010— 2017. GM’s lobbying over fuel efficiency standards has attracted</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considerable media scrutiny (</w:t>
      </w:r>
      <w:r>
        <w:rPr>
          <w:rFonts w:ascii="Arial" w:cs="Arial" w:eastAsia="Arial" w:hAnsi="Arial"/>
          <w:sz w:val="16"/>
          <w:szCs w:val="16"/>
          <w:u w:val="single" w:color="auto"/>
          <w:color w:val="auto"/>
        </w:rPr>
        <w:t>https://nexusmedianews.com/the-stunning-hypocrisy-of-u-s-automakers-90</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GM belongs to the Business Roundtable, which lobbies against the right of shareholders to file resolutions, and is also a member of the Alliance of Automobile Manufacturers, which spent over $15.5 million on lobbying for 2016 and 2017. GM does not disclose its memberships in, or payments to, trade associations, or the amounts used for lobbying. GM discloses trade association payments used for political contributions, but not payments used for lobbying. This leaves a serious disclosure gap, as trade associations generally spend far more on lobbying than on political contributions.</w:t>
      </w:r>
    </w:p>
    <w:p>
      <w:pPr>
        <w:spacing w:after="0" w:line="28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are concerned that GM’ s lack of lobbying disclosure presents significant reputational risk when it contradicts the company’ s public positions. For example, GM states that it believes climate change is real and is committed to reducing greenhouse gas emissions, yet the Alliance of Automobile Manufacturers has questioned climate science and lobbied to weaken fuel standards, which will severely hamper the ability to meet</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climate goals (</w:t>
      </w:r>
      <w:r>
        <w:rPr>
          <w:rFonts w:ascii="Arial" w:cs="Arial" w:eastAsia="Arial" w:hAnsi="Arial"/>
          <w:sz w:val="16"/>
          <w:szCs w:val="16"/>
          <w:u w:val="single" w:color="auto"/>
          <w:color w:val="auto"/>
        </w:rPr>
        <w:t>http://theconversation.com/when-corporations-take-credit-for-green-deeds-</w:t>
      </w:r>
      <w:r>
        <w:rPr>
          <w:rFonts w:ascii="Arial" w:cs="Arial" w:eastAsia="Arial" w:hAnsi="Arial"/>
          <w:sz w:val="16"/>
          <w:szCs w:val="16"/>
          <w:color w:val="auto"/>
        </w:rPr>
        <w:t>As shareholders, we believe that companies should ensure there is alignment between their own positions and their lobbying, including through trade associations.</w:t>
      </w:r>
    </w:p>
    <w:p>
      <w:pPr>
        <w:spacing w:after="0" w:line="35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ind w:left="220"/>
        <w:spacing w:after="0"/>
        <w:rPr>
          <w:sz w:val="20"/>
          <w:szCs w:val="20"/>
          <w:color w:val="auto"/>
        </w:rPr>
      </w:pPr>
      <w:r>
        <w:rPr>
          <w:rFonts w:ascii="Arial" w:cs="Arial" w:eastAsia="Arial" w:hAnsi="Arial"/>
          <w:sz w:val="20"/>
          <w:szCs w:val="20"/>
          <w:b w:val="1"/>
          <w:bCs w:val="1"/>
          <w:color w:val="auto"/>
        </w:rPr>
        <w:t>Supporting Statement</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encourage transparency in the use of GM’s corporate funds to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influence legislation and regulation, both directly and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indirectly. Investors participating in the Climate Action 100+, representing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$32 trillion in assets under management, seek enhanced disclosure</w:t>
      </w:r>
    </w:p>
    <w:p>
      <w:pPr>
        <w:spacing w:after="0" w:line="5"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6"/>
          <w:szCs w:val="16"/>
          <w:color w:val="auto"/>
        </w:rPr>
        <w:t>regarding</w:t>
        <w:tab/>
        <w:t>alignment  with  the  Paris  agreement  by  GM  and  other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companies.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2"/>
          <w:szCs w:val="12"/>
          <w:color w:val="0033A0"/>
        </w:rPr>
        <w:t xml:space="preserve">76 </w:t>
      </w:r>
      <w:r>
        <w:rPr>
          <w:sz w:val="1"/>
          <w:szCs w:val="1"/>
          <w:color w:val="auto"/>
        </w:rPr>
        <w:drawing>
          <wp:inline distT="0" distB="0" distL="0" distR="0">
            <wp:extent cx="6852920" cy="14541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20"/>
          </w:cols>
          <w:pgMar w:left="240" w:top="459" w:right="4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SHAREHOLDER PROPOSAL REGARDING REPORT ON LOBBYING COMMUNICATIONS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33A0"/>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47625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89445" cy="476250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640" w:right="46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 already provides comprehensive political and lobbying</w:t>
      </w:r>
      <w:r>
        <w:rPr>
          <w:rFonts w:ascii="Arial" w:cs="Arial" w:eastAsia="Arial" w:hAnsi="Arial"/>
          <w:sz w:val="16"/>
          <w:szCs w:val="16"/>
          <w:color w:val="00A1DF"/>
        </w:rPr>
        <w:t xml:space="preserve"> </w:t>
      </w:r>
      <w:r>
        <w:rPr>
          <w:rFonts w:ascii="Arial" w:cs="Arial" w:eastAsia="Arial" w:hAnsi="Arial"/>
          <w:sz w:val="16"/>
          <w:szCs w:val="16"/>
          <w:color w:val="000000"/>
        </w:rPr>
        <w:t>disclosure.</w:t>
      </w:r>
    </w:p>
    <w:p>
      <w:pPr>
        <w:spacing w:after="0" w:line="173" w:lineRule="exact"/>
        <w:rPr>
          <w:sz w:val="20"/>
          <w:szCs w:val="20"/>
          <w:color w:val="auto"/>
        </w:rPr>
      </w:pPr>
    </w:p>
    <w:p>
      <w:pPr>
        <w:ind w:left="640" w:right="48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success of our business depends on our ability to</w:t>
      </w:r>
      <w:r>
        <w:rPr>
          <w:rFonts w:ascii="Arial" w:cs="Arial" w:eastAsia="Arial" w:hAnsi="Arial"/>
          <w:sz w:val="16"/>
          <w:szCs w:val="16"/>
          <w:color w:val="00A1DF"/>
        </w:rPr>
        <w:t xml:space="preserve"> </w:t>
      </w:r>
      <w:r>
        <w:rPr>
          <w:rFonts w:ascii="Arial" w:cs="Arial" w:eastAsia="Arial" w:hAnsi="Arial"/>
          <w:sz w:val="16"/>
          <w:szCs w:val="16"/>
          <w:color w:val="000000"/>
        </w:rPr>
        <w:t>successfully advocate for sound public policies.</w:t>
      </w:r>
    </w:p>
    <w:p>
      <w:pPr>
        <w:spacing w:after="0" w:line="173" w:lineRule="exact"/>
        <w:rPr>
          <w:sz w:val="20"/>
          <w:szCs w:val="20"/>
          <w:color w:val="auto"/>
        </w:rPr>
      </w:pPr>
    </w:p>
    <w:p>
      <w:pPr>
        <w:ind w:left="640" w:right="480" w:hanging="161"/>
        <w:spacing w:after="0" w:line="29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GM’s political activities are subject to thorough Board review</w:t>
      </w:r>
      <w:r>
        <w:rPr>
          <w:rFonts w:ascii="Arial" w:cs="Arial" w:eastAsia="Arial" w:hAnsi="Arial"/>
          <w:sz w:val="16"/>
          <w:szCs w:val="16"/>
          <w:color w:val="00A1DF"/>
        </w:rPr>
        <w:t xml:space="preserve"> </w:t>
      </w:r>
      <w:r>
        <w:rPr>
          <w:rFonts w:ascii="Arial" w:cs="Arial" w:eastAsia="Arial" w:hAnsi="Arial"/>
          <w:sz w:val="16"/>
          <w:szCs w:val="16"/>
          <w:color w:val="000000"/>
        </w:rPr>
        <w:t>and oversight.</w:t>
      </w:r>
    </w:p>
    <w:p>
      <w:pPr>
        <w:spacing w:after="0" w:line="111" w:lineRule="exact"/>
        <w:rPr>
          <w:sz w:val="20"/>
          <w:szCs w:val="20"/>
          <w:color w:val="auto"/>
        </w:rPr>
      </w:pPr>
    </w:p>
    <w:p>
      <w:pPr>
        <w:jc w:val="both"/>
        <w:ind w:left="400" w:right="20"/>
        <w:spacing w:after="0" w:line="286" w:lineRule="auto"/>
        <w:rPr>
          <w:sz w:val="20"/>
          <w:szCs w:val="20"/>
          <w:color w:val="auto"/>
        </w:rPr>
      </w:pPr>
      <w:r>
        <w:rPr>
          <w:rFonts w:ascii="Arial" w:cs="Arial" w:eastAsia="Arial" w:hAnsi="Arial"/>
          <w:sz w:val="16"/>
          <w:szCs w:val="16"/>
          <w:b w:val="1"/>
          <w:bCs w:val="1"/>
          <w:i w:val="1"/>
          <w:iCs w:val="1"/>
          <w:color w:val="auto"/>
        </w:rPr>
        <w:t>GM already provides comprehensive political and lobbying disclosure.</w:t>
      </w:r>
    </w:p>
    <w:p>
      <w:pPr>
        <w:spacing w:after="0" w:line="67" w:lineRule="exact"/>
        <w:rPr>
          <w:sz w:val="20"/>
          <w:szCs w:val="20"/>
          <w:color w:val="auto"/>
        </w:rPr>
      </w:pPr>
    </w:p>
    <w:p>
      <w:pPr>
        <w:jc w:val="both"/>
        <w:ind w:left="400"/>
        <w:spacing w:after="0" w:line="246" w:lineRule="auto"/>
        <w:rPr>
          <w:sz w:val="20"/>
          <w:szCs w:val="20"/>
          <w:color w:val="auto"/>
        </w:rPr>
      </w:pPr>
      <w:r>
        <w:rPr>
          <w:rFonts w:ascii="Arial" w:cs="Arial" w:eastAsia="Arial" w:hAnsi="Arial"/>
          <w:sz w:val="16"/>
          <w:szCs w:val="16"/>
          <w:color w:val="auto"/>
        </w:rPr>
        <w:t xml:space="preserve">As part of our overall effort to promote political transparency and accountability, GM publishes an annual voluntary report of political contributions (available for each of the past five years at </w:t>
      </w:r>
      <w:r>
        <w:rPr>
          <w:rFonts w:ascii="Arial" w:cs="Arial" w:eastAsia="Arial" w:hAnsi="Arial"/>
          <w:sz w:val="16"/>
          <w:szCs w:val="16"/>
          <w:i w:val="1"/>
          <w:iCs w:val="1"/>
          <w:color w:val="00A1DF"/>
        </w:rPr>
        <w:t>investor.gm.com/resources</w:t>
      </w:r>
      <w:r>
        <w:rPr>
          <w:rFonts w:ascii="Arial" w:cs="Arial" w:eastAsia="Arial" w:hAnsi="Arial"/>
          <w:sz w:val="16"/>
          <w:szCs w:val="16"/>
          <w:color w:val="000000"/>
        </w:rPr>
        <w:t>). Included in this report are</w:t>
      </w:r>
    </w:p>
    <w:p>
      <w:pPr>
        <w:spacing w:after="0" w:line="1" w:lineRule="exact"/>
        <w:rPr>
          <w:sz w:val="20"/>
          <w:szCs w:val="20"/>
          <w:color w:val="auto"/>
        </w:rPr>
      </w:pPr>
    </w:p>
    <w:p>
      <w:pPr>
        <w:jc w:val="both"/>
        <w:ind w:left="400" w:hanging="1"/>
        <w:spacing w:after="0" w:line="249" w:lineRule="auto"/>
        <w:tabs>
          <w:tab w:leader="none" w:pos="69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contributions to section 527 organizations; (2) contributions to individual candidates for state and local office; (3) portions of dues or similar payments to 501(c)(6) trade associations and section 501(c)(4) organizations to the extent the dues or other payments equal or exceed $50,000 and are attributable to political purposes; and (4) a link to all contributions by GM PAC.</w:t>
      </w:r>
    </w:p>
    <w:p>
      <w:pPr>
        <w:spacing w:after="0" w:line="96" w:lineRule="exact"/>
        <w:rPr>
          <w:sz w:val="20"/>
          <w:szCs w:val="20"/>
          <w:color w:val="auto"/>
        </w:rPr>
      </w:pPr>
    </w:p>
    <w:p>
      <w:pPr>
        <w:jc w:val="both"/>
        <w:ind w:left="400"/>
        <w:spacing w:after="0" w:line="249" w:lineRule="auto"/>
        <w:rPr>
          <w:sz w:val="20"/>
          <w:szCs w:val="20"/>
          <w:color w:val="auto"/>
        </w:rPr>
      </w:pPr>
      <w:r>
        <w:rPr>
          <w:rFonts w:ascii="Arial" w:cs="Arial" w:eastAsia="Arial" w:hAnsi="Arial"/>
          <w:sz w:val="16"/>
          <w:szCs w:val="16"/>
          <w:color w:val="auto"/>
        </w:rPr>
        <w:t>In addition, GM files publicly available federal Lobbying Disclosure Act Reports each quarter, which disclose GM’s lobbying expenditures, describe legislation and general issues that were the topic of communication, and identify the individual who lobbied on behalf of GM. GM also files similar periodic reports with state agencies.</w:t>
      </w:r>
    </w:p>
    <w:p>
      <w:pPr>
        <w:spacing w:after="0" w:line="78" w:lineRule="exact"/>
        <w:rPr>
          <w:sz w:val="20"/>
          <w:szCs w:val="20"/>
          <w:color w:val="auto"/>
        </w:rPr>
      </w:pPr>
    </w:p>
    <w:p>
      <w:pPr>
        <w:jc w:val="both"/>
        <w:ind w:left="400" w:right="20"/>
        <w:spacing w:after="0" w:line="286" w:lineRule="auto"/>
        <w:rPr>
          <w:sz w:val="20"/>
          <w:szCs w:val="20"/>
          <w:color w:val="auto"/>
        </w:rPr>
      </w:pPr>
      <w:r>
        <w:rPr>
          <w:rFonts w:ascii="Arial" w:cs="Arial" w:eastAsia="Arial" w:hAnsi="Arial"/>
          <w:sz w:val="16"/>
          <w:szCs w:val="16"/>
          <w:b w:val="1"/>
          <w:bCs w:val="1"/>
          <w:i w:val="1"/>
          <w:iCs w:val="1"/>
          <w:color w:val="auto"/>
        </w:rPr>
        <w:t>The 2018 CPA-Zicklin Index of Corporate Political Disclosure and Accountability ranked GM’s lobbying disclosure in the First Tier.</w:t>
      </w:r>
    </w:p>
    <w:p>
      <w:pPr>
        <w:spacing w:after="0" w:line="67" w:lineRule="exact"/>
        <w:rPr>
          <w:sz w:val="20"/>
          <w:szCs w:val="20"/>
          <w:color w:val="auto"/>
        </w:rPr>
      </w:pPr>
    </w:p>
    <w:p>
      <w:pPr>
        <w:jc w:val="both"/>
        <w:ind w:left="400"/>
        <w:spacing w:after="0" w:line="249" w:lineRule="auto"/>
        <w:rPr>
          <w:sz w:val="20"/>
          <w:szCs w:val="20"/>
          <w:color w:val="auto"/>
        </w:rPr>
      </w:pPr>
      <w:r>
        <w:rPr>
          <w:rFonts w:ascii="Arial" w:cs="Arial" w:eastAsia="Arial" w:hAnsi="Arial"/>
          <w:sz w:val="16"/>
          <w:szCs w:val="16"/>
          <w:color w:val="auto"/>
        </w:rPr>
        <w:t>In 2018, the Center for Political Accountability’s Zicklin Index of Corporate Political Accountability and Disclosure, which benchmarks the political disclosure and accountability policies and practices of leading U.S. public companies, has recognized the quality of our disclosure and ranked GM among the First Tier of S&amp;P 500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343535</wp:posOffset>
            </wp:positionV>
            <wp:extent cx="6758305" cy="1282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i w:val="1"/>
          <w:iCs w:val="1"/>
          <w:color w:val="auto"/>
        </w:rPr>
        <w:t>GM protects and promotes shareholder value by participating in the political process.</w:t>
      </w:r>
    </w:p>
    <w:p>
      <w:pPr>
        <w:spacing w:after="0" w:line="67" w:lineRule="exact"/>
        <w:rPr>
          <w:sz w:val="20"/>
          <w:szCs w:val="20"/>
          <w:color w:val="auto"/>
        </w:rPr>
      </w:pPr>
    </w:p>
    <w:p>
      <w:pPr>
        <w:jc w:val="both"/>
        <w:ind w:right="200"/>
        <w:spacing w:after="0" w:line="247" w:lineRule="auto"/>
        <w:rPr>
          <w:sz w:val="20"/>
          <w:szCs w:val="20"/>
          <w:color w:val="auto"/>
        </w:rPr>
      </w:pPr>
      <w:r>
        <w:rPr>
          <w:rFonts w:ascii="Arial" w:cs="Arial" w:eastAsia="Arial" w:hAnsi="Arial"/>
          <w:sz w:val="16"/>
          <w:szCs w:val="16"/>
          <w:color w:val="auto"/>
        </w:rPr>
        <w:t>Public policy decisions can significantly affect GM’s strategies, operations, and, ultimately, shareholder value. To protect shareholder value, GM exercises its fundamental right and responsibility to participate in the legislative, regulatory and political processes to ensure decisionmakers are informed by our expertise and insights when considering policies that impact GM. GM does this by making political contributions to candidates and entities that support our industry and our vision for the future of mobility, by engaging in direct and indirect lobbying, and by participating in various business and policy organizations that advocate positions designed to support GM’s business and enhance long-term shareholder value. For example, we recently proposed a National Zero Emission Vehicle program that we believe could place more than 7 million long-range electric vehicles on the road by 2030.</w:t>
      </w:r>
    </w:p>
    <w:p>
      <w:pPr>
        <w:spacing w:after="0" w:line="81"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i w:val="1"/>
          <w:iCs w:val="1"/>
          <w:color w:val="auto"/>
        </w:rPr>
        <w:t>GM’s political activities are subject to thorough review and independent oversight.</w:t>
      </w:r>
    </w:p>
    <w:p>
      <w:pPr>
        <w:spacing w:after="0" w:line="67" w:lineRule="exact"/>
        <w:rPr>
          <w:sz w:val="20"/>
          <w:szCs w:val="20"/>
          <w:color w:val="auto"/>
        </w:rPr>
      </w:pPr>
    </w:p>
    <w:p>
      <w:pPr>
        <w:jc w:val="both"/>
        <w:ind w:right="200"/>
        <w:spacing w:after="0" w:line="248" w:lineRule="auto"/>
        <w:rPr>
          <w:sz w:val="20"/>
          <w:szCs w:val="20"/>
          <w:color w:val="auto"/>
        </w:rPr>
      </w:pPr>
      <w:r>
        <w:rPr>
          <w:rFonts w:ascii="Arial" w:cs="Arial" w:eastAsia="Arial" w:hAnsi="Arial"/>
          <w:sz w:val="16"/>
          <w:szCs w:val="16"/>
          <w:color w:val="auto"/>
        </w:rPr>
        <w:t>GM participation in the political process is subject to best-in-class corporate governance practices. All corporate political contributions are centrally controlled, budgeted, and reviewed for compliance with the law and consistency with GM’s policies and strategic goals. At least annually, management reviews with the Governance Committee all political contributions, including those made by GM PAC and various GM state political action committees.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lobbying disclosure is unnecessary.</w:t>
      </w:r>
    </w:p>
    <w:p>
      <w:pPr>
        <w:spacing w:after="0" w:line="133"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Your Board believes GM’s lobbying activities are transparent and the adoption of this proposal is unnecessary given the information that is already publicly available.</w:t>
      </w:r>
    </w:p>
    <w:p>
      <w:pPr>
        <w:spacing w:after="0" w:line="71" w:lineRule="exact"/>
        <w:rPr>
          <w:sz w:val="20"/>
          <w:szCs w:val="20"/>
          <w:color w:val="auto"/>
        </w:rPr>
      </w:pPr>
    </w:p>
    <w:p>
      <w:pPr>
        <w:ind w:right="480"/>
        <w:spacing w:after="0" w:line="272" w:lineRule="auto"/>
        <w:rPr>
          <w:sz w:val="20"/>
          <w:szCs w:val="20"/>
          <w:color w:val="auto"/>
        </w:rPr>
      </w:pPr>
      <w:r>
        <w:rPr>
          <w:rFonts w:ascii="Arial" w:cs="Arial" w:eastAsia="Arial" w:hAnsi="Arial"/>
          <w:sz w:val="19"/>
          <w:szCs w:val="19"/>
          <w:b w:val="1"/>
          <w:bCs w:val="1"/>
          <w:color w:val="0033A0"/>
        </w:rPr>
        <w:t xml:space="preserve">Therefore, your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A1DF"/>
        </w:rPr>
        <w:t xml:space="preserve"> </w:t>
      </w:r>
      <w:r>
        <w:rPr>
          <w:rFonts w:ascii="Arial" w:cs="Arial" w:eastAsia="Arial" w:hAnsi="Arial"/>
          <w:sz w:val="19"/>
          <w:szCs w:val="19"/>
          <w:b w:val="1"/>
          <w:bCs w:val="1"/>
          <w:color w:val="0033A0"/>
        </w:rPr>
        <w:t>this shareholder proposal.</w:t>
      </w:r>
    </w:p>
    <w:p>
      <w:pPr>
        <w:spacing w:after="0" w:line="356"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46"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77</w:t>
      </w:r>
    </w:p>
    <w:p>
      <w:pPr>
        <w:sectPr>
          <w:pgSz w:w="11900" w:h="16838" w:orient="portrait"/>
          <w:cols w:equalWidth="0" w:num="1">
            <w:col w:w="11220"/>
          </w:cols>
          <w:pgMar w:left="240" w:top="459" w:right="4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38"/>
          <w:szCs w:val="38"/>
          <w:color w:val="0033A0"/>
        </w:rPr>
        <w:t>GENERAL INFORMATION ABOUT THE ANNUAL MEETING</w:t>
      </w:r>
    </w:p>
    <w:p>
      <w:pPr>
        <w:spacing w:after="0" w:line="338" w:lineRule="exact"/>
        <w:rPr>
          <w:sz w:val="20"/>
          <w:szCs w:val="20"/>
          <w:color w:val="auto"/>
        </w:rPr>
      </w:pPr>
    </w:p>
    <w:p>
      <w:pPr>
        <w:ind w:left="640" w:hanging="430"/>
        <w:spacing w:after="0"/>
        <w:tabs>
          <w:tab w:leader="none" w:pos="640" w:val="left"/>
        </w:tabs>
        <w:numPr>
          <w:ilvl w:val="0"/>
          <w:numId w:val="142"/>
        </w:numPr>
        <w:rPr>
          <w:rFonts w:ascii="Arial" w:cs="Arial" w:eastAsia="Arial" w:hAnsi="Arial"/>
          <w:sz w:val="25"/>
          <w:szCs w:val="25"/>
          <w:color w:val="0033A0"/>
        </w:rPr>
      </w:pPr>
      <w:r>
        <w:rPr>
          <w:rFonts w:ascii="Arial" w:cs="Arial" w:eastAsia="Arial" w:hAnsi="Arial"/>
          <w:sz w:val="25"/>
          <w:szCs w:val="25"/>
          <w:color w:val="auto"/>
        </w:rPr>
        <w:t>Voting and Meeting Information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Vote Requirements and Board Recommendations</w:t>
      </w:r>
    </w:p>
    <w:p>
      <w:pPr>
        <w:spacing w:after="0" w:line="185" w:lineRule="exact"/>
        <w:rPr>
          <w:sz w:val="20"/>
          <w:szCs w:val="20"/>
          <w:color w:val="auto"/>
        </w:rPr>
      </w:pPr>
    </w:p>
    <w:tbl>
      <w:tblPr>
        <w:tblLayout w:type="fixed"/>
        <w:tblInd w:w="230" w:type="dxa"/>
        <w:tblCellMar>
          <w:top w:w="0" w:type="dxa"/>
          <w:left w:w="0" w:type="dxa"/>
          <w:bottom w:w="0" w:type="dxa"/>
          <w:right w:w="0" w:type="dxa"/>
        </w:tblCellMar>
      </w:tblPr>
      <w:tr>
        <w:trPr>
          <w:trHeight w:val="167"/>
        </w:trPr>
        <w:tc>
          <w:tcPr>
            <w:tcW w:w="820" w:type="dxa"/>
            <w:vAlign w:val="bottom"/>
            <w:tcBorders>
              <w:top w:val="single" w:sz="8" w:color="00A1DF"/>
              <w:left w:val="single" w:sz="8" w:color="00A1DF"/>
            </w:tcBorders>
          </w:tcPr>
          <w:p>
            <w:pPr>
              <w:spacing w:after="0"/>
              <w:rPr>
                <w:sz w:val="14"/>
                <w:szCs w:val="14"/>
                <w:color w:val="auto"/>
              </w:rPr>
            </w:pPr>
          </w:p>
        </w:tc>
        <w:tc>
          <w:tcPr>
            <w:tcW w:w="3480" w:type="dxa"/>
            <w:vAlign w:val="bottom"/>
            <w:tcBorders>
              <w:top w:val="single" w:sz="8" w:color="00A1DF"/>
            </w:tcBorders>
          </w:tcPr>
          <w:p>
            <w:pPr>
              <w:spacing w:after="0"/>
              <w:rPr>
                <w:sz w:val="14"/>
                <w:szCs w:val="14"/>
                <w:color w:val="auto"/>
              </w:rPr>
            </w:pPr>
          </w:p>
        </w:tc>
        <w:tc>
          <w:tcPr>
            <w:tcW w:w="1380" w:type="dxa"/>
            <w:vAlign w:val="bottom"/>
            <w:tcBorders>
              <w:top w:val="single" w:sz="8" w:color="00A1DF"/>
            </w:tcBorders>
          </w:tcPr>
          <w:p>
            <w:pPr>
              <w:spacing w:after="0"/>
              <w:rPr>
                <w:sz w:val="14"/>
                <w:szCs w:val="14"/>
                <w:color w:val="auto"/>
              </w:rPr>
            </w:pPr>
          </w:p>
        </w:tc>
        <w:tc>
          <w:tcPr>
            <w:tcW w:w="3280" w:type="dxa"/>
            <w:vAlign w:val="bottom"/>
            <w:tcBorders>
              <w:top w:val="single" w:sz="8" w:color="00A1DF"/>
            </w:tcBorders>
          </w:tcPr>
          <w:p>
            <w:pPr>
              <w:spacing w:after="0"/>
              <w:rPr>
                <w:sz w:val="14"/>
                <w:szCs w:val="14"/>
                <w:color w:val="auto"/>
              </w:rPr>
            </w:pPr>
          </w:p>
        </w:tc>
        <w:tc>
          <w:tcPr>
            <w:tcW w:w="960" w:type="dxa"/>
            <w:vAlign w:val="bottom"/>
            <w:tcBorders>
              <w:top w:val="single" w:sz="8" w:color="00A1DF"/>
            </w:tcBorders>
          </w:tcPr>
          <w:p>
            <w:pPr>
              <w:spacing w:after="0"/>
              <w:rPr>
                <w:sz w:val="14"/>
                <w:szCs w:val="14"/>
                <w:color w:val="auto"/>
              </w:rPr>
            </w:pPr>
          </w:p>
        </w:tc>
        <w:tc>
          <w:tcPr>
            <w:tcW w:w="1100" w:type="dxa"/>
            <w:vAlign w:val="bottom"/>
            <w:tcBorders>
              <w:top w:val="single" w:sz="8" w:color="00A1DF"/>
              <w:right w:val="single" w:sz="8" w:color="00A1DF"/>
            </w:tcBorders>
          </w:tcPr>
          <w:p>
            <w:pPr>
              <w:ind w:left="100"/>
              <w:spacing w:after="0" w:line="167" w:lineRule="exact"/>
              <w:rPr>
                <w:sz w:val="20"/>
                <w:szCs w:val="20"/>
                <w:color w:val="auto"/>
              </w:rPr>
            </w:pPr>
            <w:r>
              <w:rPr>
                <w:rFonts w:ascii="Arial" w:cs="Arial" w:eastAsia="Arial" w:hAnsi="Arial"/>
                <w:sz w:val="15"/>
                <w:szCs w:val="15"/>
                <w:b w:val="1"/>
                <w:bCs w:val="1"/>
                <w:color w:val="00A1DF"/>
              </w:rPr>
              <w:t>Effect of</w:t>
            </w:r>
          </w:p>
        </w:tc>
        <w:tc>
          <w:tcPr>
            <w:tcW w:w="0" w:type="dxa"/>
            <w:vAlign w:val="bottom"/>
          </w:tcPr>
          <w:p>
            <w:pPr>
              <w:spacing w:after="0"/>
              <w:rPr>
                <w:sz w:val="1"/>
                <w:szCs w:val="1"/>
                <w:color w:val="auto"/>
              </w:rPr>
            </w:pPr>
          </w:p>
        </w:tc>
      </w:tr>
      <w:tr>
        <w:trPr>
          <w:trHeight w:val="162"/>
        </w:trPr>
        <w:tc>
          <w:tcPr>
            <w:tcW w:w="820" w:type="dxa"/>
            <w:vAlign w:val="bottom"/>
            <w:tcBorders>
              <w:left w:val="single" w:sz="8" w:color="00A1DF"/>
            </w:tcBorders>
          </w:tcPr>
          <w:p>
            <w:pPr>
              <w:ind w:left="180"/>
              <w:spacing w:after="0" w:line="162" w:lineRule="exact"/>
              <w:rPr>
                <w:sz w:val="20"/>
                <w:szCs w:val="20"/>
                <w:color w:val="auto"/>
              </w:rPr>
            </w:pPr>
            <w:r>
              <w:rPr>
                <w:rFonts w:ascii="Arial" w:cs="Arial" w:eastAsia="Arial" w:hAnsi="Arial"/>
                <w:sz w:val="15"/>
                <w:szCs w:val="15"/>
                <w:b w:val="1"/>
                <w:bCs w:val="1"/>
                <w:color w:val="00A1DF"/>
              </w:rPr>
              <w:t>Agenda</w:t>
            </w:r>
          </w:p>
        </w:tc>
        <w:tc>
          <w:tcPr>
            <w:tcW w:w="34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00A1DF"/>
              </w:rPr>
              <w:t>Board</w:t>
            </w:r>
          </w:p>
        </w:tc>
        <w:tc>
          <w:tcPr>
            <w:tcW w:w="3280" w:type="dxa"/>
            <w:vAlign w:val="bottom"/>
          </w:tcPr>
          <w:p>
            <w:pPr>
              <w:spacing w:after="0"/>
              <w:rPr>
                <w:sz w:val="14"/>
                <w:szCs w:val="14"/>
                <w:color w:val="auto"/>
              </w:rPr>
            </w:pPr>
          </w:p>
        </w:tc>
        <w:tc>
          <w:tcPr>
            <w:tcW w:w="960" w:type="dxa"/>
            <w:vAlign w:val="bottom"/>
          </w:tcPr>
          <w:p>
            <w:pPr>
              <w:ind w:left="60"/>
              <w:spacing w:after="0" w:line="162" w:lineRule="exact"/>
              <w:rPr>
                <w:sz w:val="20"/>
                <w:szCs w:val="20"/>
                <w:color w:val="auto"/>
              </w:rPr>
            </w:pPr>
            <w:r>
              <w:rPr>
                <w:rFonts w:ascii="Arial" w:cs="Arial" w:eastAsia="Arial" w:hAnsi="Arial"/>
                <w:sz w:val="15"/>
                <w:szCs w:val="15"/>
                <w:b w:val="1"/>
                <w:bCs w:val="1"/>
                <w:color w:val="00A1DF"/>
              </w:rPr>
              <w:t>Effect of</w:t>
            </w:r>
          </w:p>
        </w:tc>
        <w:tc>
          <w:tcPr>
            <w:tcW w:w="110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b w:val="1"/>
                <w:bCs w:val="1"/>
                <w:color w:val="00A1DF"/>
              </w:rPr>
              <w:t>Broker</w:t>
            </w:r>
          </w:p>
        </w:tc>
        <w:tc>
          <w:tcPr>
            <w:tcW w:w="0" w:type="dxa"/>
            <w:vAlign w:val="bottom"/>
          </w:tcPr>
          <w:p>
            <w:pPr>
              <w:spacing w:after="0"/>
              <w:rPr>
                <w:sz w:val="1"/>
                <w:szCs w:val="1"/>
                <w:color w:val="auto"/>
              </w:rPr>
            </w:pPr>
          </w:p>
        </w:tc>
      </w:tr>
      <w:tr>
        <w:trPr>
          <w:trHeight w:val="183"/>
        </w:trPr>
        <w:tc>
          <w:tcPr>
            <w:tcW w:w="820" w:type="dxa"/>
            <w:vAlign w:val="bottom"/>
            <w:tcBorders>
              <w:left w:val="single" w:sz="8" w:color="00A1DF"/>
              <w:bottom w:val="single" w:sz="8" w:color="00A1DF"/>
            </w:tcBorders>
          </w:tcPr>
          <w:p>
            <w:pPr>
              <w:ind w:left="200"/>
              <w:spacing w:after="0"/>
              <w:rPr>
                <w:sz w:val="20"/>
                <w:szCs w:val="20"/>
                <w:color w:val="auto"/>
              </w:rPr>
            </w:pPr>
            <w:r>
              <w:rPr>
                <w:rFonts w:ascii="Arial" w:cs="Arial" w:eastAsia="Arial" w:hAnsi="Arial"/>
                <w:sz w:val="15"/>
                <w:szCs w:val="15"/>
                <w:b w:val="1"/>
                <w:bCs w:val="1"/>
                <w:color w:val="00A1DF"/>
              </w:rPr>
              <w:t>Item</w:t>
            </w:r>
          </w:p>
        </w:tc>
        <w:tc>
          <w:tcPr>
            <w:tcW w:w="348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Description</w:t>
            </w:r>
          </w:p>
        </w:tc>
        <w:tc>
          <w:tcPr>
            <w:tcW w:w="1380" w:type="dxa"/>
            <w:vAlign w:val="bottom"/>
            <w:tcBorders>
              <w:bottom w:val="single" w:sz="8" w:color="00A1DF"/>
            </w:tcBorders>
          </w:tcPr>
          <w:p>
            <w:pPr>
              <w:jc w:val="center"/>
              <w:spacing w:after="0"/>
              <w:rPr>
                <w:sz w:val="20"/>
                <w:szCs w:val="20"/>
                <w:color w:val="auto"/>
              </w:rPr>
            </w:pPr>
            <w:r>
              <w:rPr>
                <w:rFonts w:ascii="Arial" w:cs="Arial" w:eastAsia="Arial" w:hAnsi="Arial"/>
                <w:sz w:val="15"/>
                <w:szCs w:val="15"/>
                <w:b w:val="1"/>
                <w:bCs w:val="1"/>
                <w:color w:val="00A1DF"/>
              </w:rPr>
              <w:t>Recommendation</w:t>
            </w:r>
          </w:p>
        </w:tc>
        <w:tc>
          <w:tcPr>
            <w:tcW w:w="328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Vote Requirement for Approval</w:t>
            </w:r>
          </w:p>
        </w:tc>
        <w:tc>
          <w:tcPr>
            <w:tcW w:w="960" w:type="dxa"/>
            <w:vAlign w:val="bottom"/>
            <w:tcBorders>
              <w:bottom w:val="single" w:sz="8" w:color="00A1DF"/>
            </w:tcBorders>
          </w:tcPr>
          <w:p>
            <w:pPr>
              <w:jc w:val="center"/>
              <w:spacing w:after="0"/>
              <w:rPr>
                <w:sz w:val="20"/>
                <w:szCs w:val="20"/>
                <w:color w:val="auto"/>
              </w:rPr>
            </w:pPr>
            <w:r>
              <w:rPr>
                <w:rFonts w:ascii="Arial" w:cs="Arial" w:eastAsia="Arial" w:hAnsi="Arial"/>
                <w:sz w:val="15"/>
                <w:szCs w:val="15"/>
                <w:b w:val="1"/>
                <w:bCs w:val="1"/>
                <w:color w:val="00A1DF"/>
              </w:rPr>
              <w:t>Abstentions</w:t>
            </w:r>
          </w:p>
        </w:tc>
        <w:tc>
          <w:tcPr>
            <w:tcW w:w="1100" w:type="dxa"/>
            <w:vAlign w:val="bottom"/>
            <w:tcBorders>
              <w:bottom w:val="single" w:sz="8" w:color="00A1DF"/>
              <w:right w:val="single" w:sz="8" w:color="00A1DF"/>
            </w:tcBorders>
          </w:tcPr>
          <w:p>
            <w:pPr>
              <w:ind w:left="100"/>
              <w:spacing w:after="0"/>
              <w:rPr>
                <w:sz w:val="20"/>
                <w:szCs w:val="20"/>
                <w:color w:val="auto"/>
              </w:rPr>
            </w:pPr>
            <w:r>
              <w:rPr>
                <w:rFonts w:ascii="Arial" w:cs="Arial" w:eastAsia="Arial" w:hAnsi="Arial"/>
                <w:sz w:val="15"/>
                <w:szCs w:val="15"/>
                <w:b w:val="1"/>
                <w:bCs w:val="1"/>
                <w:color w:val="00A1DF"/>
              </w:rPr>
              <w:t>Non-Vote</w:t>
            </w:r>
          </w:p>
        </w:tc>
        <w:tc>
          <w:tcPr>
            <w:tcW w:w="0" w:type="dxa"/>
            <w:vAlign w:val="bottom"/>
          </w:tcPr>
          <w:p>
            <w:pPr>
              <w:spacing w:after="0"/>
              <w:rPr>
                <w:sz w:val="1"/>
                <w:szCs w:val="1"/>
                <w:color w:val="auto"/>
              </w:rPr>
            </w:pPr>
          </w:p>
        </w:tc>
      </w:tr>
      <w:tr>
        <w:trPr>
          <w:trHeight w:val="155"/>
        </w:trPr>
        <w:tc>
          <w:tcPr>
            <w:tcW w:w="820" w:type="dxa"/>
            <w:vAlign w:val="bottom"/>
            <w:tcBorders>
              <w:left w:val="single" w:sz="8" w:color="00A1DF"/>
              <w:bottom w:val="single" w:sz="8" w:color="auto"/>
            </w:tcBorders>
          </w:tcPr>
          <w:p>
            <w:pPr>
              <w:jc w:val="right"/>
              <w:ind w:right="184"/>
              <w:spacing w:after="0" w:line="156" w:lineRule="exact"/>
              <w:rPr>
                <w:sz w:val="20"/>
                <w:szCs w:val="20"/>
                <w:color w:val="auto"/>
              </w:rPr>
            </w:pPr>
            <w:r>
              <w:rPr>
                <w:rFonts w:ascii="Arial" w:cs="Arial" w:eastAsia="Arial" w:hAnsi="Arial"/>
                <w:sz w:val="15"/>
                <w:szCs w:val="15"/>
                <w:color w:val="auto"/>
              </w:rPr>
              <w:t>1</w:t>
            </w:r>
          </w:p>
        </w:tc>
        <w:tc>
          <w:tcPr>
            <w:tcW w:w="34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 xml:space="preserve">Election of Directors </w:t>
            </w:r>
            <w:r>
              <w:rPr>
                <w:rFonts w:ascii="Arial" w:cs="Arial" w:eastAsia="Arial" w:hAnsi="Arial"/>
                <w:sz w:val="12"/>
                <w:szCs w:val="12"/>
                <w:color w:val="auto"/>
              </w:rPr>
              <w:t>(1)</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00A1DF"/>
              </w:rPr>
              <w:t>FOR</w:t>
            </w:r>
          </w:p>
        </w:tc>
        <w:tc>
          <w:tcPr>
            <w:tcW w:w="3280" w:type="dxa"/>
            <w:vAlign w:val="bottom"/>
            <w:tcBorders>
              <w:bottom w:val="single" w:sz="8" w:color="auto"/>
              <w:right w:val="single" w:sz="8" w:color="auto"/>
            </w:tcBorders>
          </w:tcPr>
          <w:p>
            <w:pPr>
              <w:jc w:val="center"/>
              <w:ind w:left="4"/>
              <w:spacing w:after="0" w:line="156" w:lineRule="exact"/>
              <w:rPr>
                <w:sz w:val="20"/>
                <w:szCs w:val="20"/>
                <w:color w:val="auto"/>
              </w:rPr>
            </w:pPr>
            <w:r>
              <w:rPr>
                <w:rFonts w:ascii="Arial" w:cs="Arial" w:eastAsia="Arial" w:hAnsi="Arial"/>
                <w:sz w:val="15"/>
                <w:szCs w:val="15"/>
                <w:color w:val="auto"/>
              </w:rPr>
              <w:t>Majority of votes cast</w:t>
            </w:r>
          </w:p>
        </w:tc>
        <w:tc>
          <w:tcPr>
            <w:tcW w:w="9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9"/>
              </w:rPr>
              <w:t>No effect</w:t>
            </w:r>
          </w:p>
        </w:tc>
        <w:tc>
          <w:tcPr>
            <w:tcW w:w="1100" w:type="dxa"/>
            <w:vAlign w:val="bottom"/>
            <w:tcBorders>
              <w:bottom w:val="single" w:sz="8" w:color="auto"/>
              <w:right w:val="single" w:sz="8" w:color="00A1DF"/>
            </w:tcBorders>
          </w:tcPr>
          <w:p>
            <w:pPr>
              <w:jc w:val="center"/>
              <w:spacing w:after="0" w:line="156" w:lineRule="exact"/>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vMerge w:val="restart"/>
          </w:tcPr>
          <w:p>
            <w:pPr>
              <w:jc w:val="right"/>
              <w:ind w:right="184"/>
              <w:spacing w:after="0"/>
              <w:rPr>
                <w:sz w:val="20"/>
                <w:szCs w:val="20"/>
                <w:color w:val="auto"/>
              </w:rPr>
            </w:pPr>
            <w:r>
              <w:rPr>
                <w:rFonts w:ascii="Arial" w:cs="Arial" w:eastAsia="Arial" w:hAnsi="Arial"/>
                <w:sz w:val="15"/>
                <w:szCs w:val="15"/>
                <w:color w:val="auto"/>
              </w:rPr>
              <w:t>2</w:t>
            </w:r>
          </w:p>
        </w:tc>
        <w:tc>
          <w:tcPr>
            <w:tcW w:w="34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5"/>
                <w:szCs w:val="15"/>
                <w:color w:val="auto"/>
              </w:rPr>
              <w:t>Approval of, on an Advisory Basis, NEO</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00A1DF"/>
              </w:rPr>
              <w:t>FOR</w:t>
            </w:r>
          </w:p>
        </w:tc>
        <w:tc>
          <w:tcPr>
            <w:tcW w:w="32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restart"/>
          </w:tcPr>
          <w:p>
            <w:pPr>
              <w:ind w:left="80"/>
              <w:spacing w:after="0" w:line="166" w:lineRule="exact"/>
              <w:rPr>
                <w:sz w:val="20"/>
                <w:szCs w:val="20"/>
                <w:color w:val="auto"/>
              </w:rPr>
            </w:pPr>
            <w:r>
              <w:rPr>
                <w:rFonts w:ascii="Arial" w:cs="Arial" w:eastAsia="Arial" w:hAnsi="Arial"/>
                <w:sz w:val="15"/>
                <w:szCs w:val="15"/>
                <w:color w:val="auto"/>
              </w:rPr>
              <w:t>compensation (“Say on Pay”)</w:t>
            </w:r>
          </w:p>
        </w:tc>
        <w:tc>
          <w:tcPr>
            <w:tcW w:w="1380" w:type="dxa"/>
            <w:vAlign w:val="bottom"/>
            <w:tcBorders>
              <w:right w:val="single" w:sz="8" w:color="auto"/>
            </w:tcBorders>
            <w:vMerge w:val="continue"/>
          </w:tcPr>
          <w:p>
            <w:pPr>
              <w:spacing w:after="0"/>
              <w:rPr>
                <w:sz w:val="8"/>
                <w:szCs w:val="8"/>
                <w:color w:val="auto"/>
              </w:rPr>
            </w:pPr>
          </w:p>
        </w:tc>
        <w:tc>
          <w:tcPr>
            <w:tcW w:w="32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line="166" w:lineRule="exact"/>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20" w:type="dxa"/>
            <w:vAlign w:val="bottom"/>
            <w:tcBorders>
              <w:left w:val="single" w:sz="8" w:color="00A1DF"/>
              <w:bottom w:val="single" w:sz="8" w:color="auto"/>
            </w:tcBorders>
          </w:tcPr>
          <w:p>
            <w:pPr>
              <w:spacing w:after="0"/>
              <w:rPr>
                <w:sz w:val="5"/>
                <w:szCs w:val="5"/>
                <w:color w:val="auto"/>
              </w:rPr>
            </w:pPr>
          </w:p>
        </w:tc>
        <w:tc>
          <w:tcPr>
            <w:tcW w:w="3480" w:type="dxa"/>
            <w:vAlign w:val="bottom"/>
            <w:tcBorders>
              <w:bottom w:val="single" w:sz="8" w:color="auto"/>
              <w:right w:val="single" w:sz="8" w:color="auto"/>
            </w:tcBorders>
            <w:vMerge w:val="continue"/>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3280" w:type="dxa"/>
            <w:vAlign w:val="bottom"/>
            <w:tcBorders>
              <w:right w:val="single" w:sz="8" w:color="auto"/>
            </w:tcBorders>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110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tcPr>
          <w:p>
            <w:pPr>
              <w:spacing w:after="0"/>
              <w:rPr>
                <w:sz w:val="13"/>
                <w:szCs w:val="13"/>
                <w:color w:val="auto"/>
              </w:rPr>
            </w:pPr>
          </w:p>
        </w:tc>
        <w:tc>
          <w:tcPr>
            <w:tcW w:w="34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5"/>
                <w:szCs w:val="15"/>
                <w:color w:val="auto"/>
              </w:rPr>
              <w:t>Ratification of the Selection of Ernst &amp; Young LLP</w:t>
            </w:r>
          </w:p>
        </w:tc>
        <w:tc>
          <w:tcPr>
            <w:tcW w:w="1380" w:type="dxa"/>
            <w:vAlign w:val="bottom"/>
            <w:tcBorders>
              <w:right w:val="single" w:sz="8" w:color="auto"/>
            </w:tcBorders>
          </w:tcPr>
          <w:p>
            <w:pPr>
              <w:spacing w:after="0"/>
              <w:rPr>
                <w:sz w:val="13"/>
                <w:szCs w:val="13"/>
                <w:color w:val="auto"/>
              </w:rPr>
            </w:pPr>
          </w:p>
        </w:tc>
        <w:tc>
          <w:tcPr>
            <w:tcW w:w="32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Discretionary</w:t>
            </w:r>
          </w:p>
        </w:tc>
        <w:tc>
          <w:tcPr>
            <w:tcW w:w="0" w:type="dxa"/>
            <w:vAlign w:val="bottom"/>
          </w:tcPr>
          <w:p>
            <w:pPr>
              <w:spacing w:after="0"/>
              <w:rPr>
                <w:sz w:val="1"/>
                <w:szCs w:val="1"/>
                <w:color w:val="auto"/>
              </w:rPr>
            </w:pPr>
          </w:p>
        </w:tc>
      </w:tr>
      <w:tr>
        <w:trPr>
          <w:trHeight w:val="81"/>
        </w:trPr>
        <w:tc>
          <w:tcPr>
            <w:tcW w:w="820" w:type="dxa"/>
            <w:vAlign w:val="bottom"/>
            <w:tcBorders>
              <w:left w:val="single" w:sz="8" w:color="00A1DF"/>
            </w:tcBorders>
            <w:vMerge w:val="restart"/>
          </w:tcPr>
          <w:p>
            <w:pPr>
              <w:jc w:val="right"/>
              <w:ind w:right="184"/>
              <w:spacing w:after="0" w:line="162" w:lineRule="exact"/>
              <w:rPr>
                <w:sz w:val="20"/>
                <w:szCs w:val="20"/>
                <w:color w:val="auto"/>
              </w:rPr>
            </w:pPr>
            <w:r>
              <w:rPr>
                <w:rFonts w:ascii="Arial" w:cs="Arial" w:eastAsia="Arial" w:hAnsi="Arial"/>
                <w:sz w:val="15"/>
                <w:szCs w:val="15"/>
                <w:color w:val="auto"/>
              </w:rPr>
              <w:t>3</w:t>
            </w:r>
          </w:p>
        </w:tc>
        <w:tc>
          <w:tcPr>
            <w:tcW w:w="3480" w:type="dxa"/>
            <w:vAlign w:val="bottom"/>
            <w:tcBorders>
              <w:right w:val="single" w:sz="8" w:color="auto"/>
            </w:tcBorders>
            <w:vMerge w:val="restart"/>
          </w:tcPr>
          <w:p>
            <w:pPr>
              <w:ind w:left="80"/>
              <w:spacing w:after="0" w:line="162" w:lineRule="exact"/>
              <w:rPr>
                <w:sz w:val="20"/>
                <w:szCs w:val="20"/>
                <w:color w:val="auto"/>
              </w:rPr>
            </w:pPr>
            <w:r>
              <w:rPr>
                <w:rFonts w:ascii="Arial" w:cs="Arial" w:eastAsia="Arial" w:hAnsi="Arial"/>
                <w:sz w:val="15"/>
                <w:szCs w:val="15"/>
                <w:color w:val="auto"/>
              </w:rPr>
              <w:t>as the Company’s Independent Registered Public</w:t>
            </w:r>
          </w:p>
        </w:tc>
        <w:tc>
          <w:tcPr>
            <w:tcW w:w="13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00A1DF"/>
              </w:rPr>
              <w:t>FOR</w:t>
            </w:r>
          </w:p>
        </w:tc>
        <w:tc>
          <w:tcPr>
            <w:tcW w:w="3280" w:type="dxa"/>
            <w:vAlign w:val="bottom"/>
            <w:tcBorders>
              <w:right w:val="single" w:sz="8" w:color="auto"/>
            </w:tcBorders>
            <w:vMerge w:val="restart"/>
          </w:tcPr>
          <w:p>
            <w:pPr>
              <w:jc w:val="center"/>
              <w:ind w:left="4"/>
              <w:spacing w:after="0" w:line="162" w:lineRule="exact"/>
              <w:rPr>
                <w:sz w:val="20"/>
                <w:szCs w:val="20"/>
                <w:color w:val="auto"/>
              </w:rPr>
            </w:pPr>
            <w:r>
              <w:rPr>
                <w:rFonts w:ascii="Arial" w:cs="Arial" w:eastAsia="Arial" w:hAnsi="Arial"/>
                <w:sz w:val="15"/>
                <w:szCs w:val="15"/>
                <w:color w:val="auto"/>
              </w:rPr>
              <w:t>Majority of shares present</w:t>
            </w:r>
          </w:p>
        </w:tc>
        <w:tc>
          <w:tcPr>
            <w:tcW w:w="9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00A1D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00A1DF"/>
            </w:tcBorders>
            <w:vMerge w:val="continue"/>
          </w:tcPr>
          <w:p>
            <w:pPr>
              <w:spacing w:after="0"/>
              <w:rPr>
                <w:sz w:val="7"/>
                <w:szCs w:val="7"/>
                <w:color w:val="auto"/>
              </w:rPr>
            </w:pPr>
          </w:p>
        </w:tc>
        <w:tc>
          <w:tcPr>
            <w:tcW w:w="348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32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vote</w:t>
            </w:r>
          </w:p>
        </w:tc>
        <w:tc>
          <w:tcPr>
            <w:tcW w:w="0" w:type="dxa"/>
            <w:vAlign w:val="bottom"/>
          </w:tcPr>
          <w:p>
            <w:pPr>
              <w:spacing w:after="0"/>
              <w:rPr>
                <w:sz w:val="1"/>
                <w:szCs w:val="1"/>
                <w:color w:val="auto"/>
              </w:rPr>
            </w:pPr>
          </w:p>
        </w:tc>
      </w:tr>
      <w:tr>
        <w:trPr>
          <w:trHeight w:val="162"/>
        </w:trPr>
        <w:tc>
          <w:tcPr>
            <w:tcW w:w="820" w:type="dxa"/>
            <w:vAlign w:val="bottom"/>
            <w:tcBorders>
              <w:left w:val="single" w:sz="8" w:color="00A1DF"/>
            </w:tcBorders>
          </w:tcPr>
          <w:p>
            <w:pPr>
              <w:spacing w:after="0"/>
              <w:rPr>
                <w:sz w:val="14"/>
                <w:szCs w:val="14"/>
                <w:color w:val="auto"/>
              </w:rPr>
            </w:pPr>
          </w:p>
        </w:tc>
        <w:tc>
          <w:tcPr>
            <w:tcW w:w="34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Accounting Firm for 2019</w:t>
            </w:r>
          </w:p>
        </w:tc>
        <w:tc>
          <w:tcPr>
            <w:tcW w:w="1380" w:type="dxa"/>
            <w:vAlign w:val="bottom"/>
            <w:tcBorders>
              <w:right w:val="single" w:sz="8" w:color="auto"/>
            </w:tcBorders>
          </w:tcPr>
          <w:p>
            <w:pPr>
              <w:spacing w:after="0"/>
              <w:rPr>
                <w:sz w:val="14"/>
                <w:szCs w:val="14"/>
                <w:color w:val="auto"/>
              </w:rPr>
            </w:pPr>
          </w:p>
        </w:tc>
        <w:tc>
          <w:tcPr>
            <w:tcW w:w="3280" w:type="dxa"/>
            <w:vAlign w:val="bottom"/>
            <w:tcBorders>
              <w:right w:val="single" w:sz="8" w:color="auto"/>
            </w:tcBorders>
          </w:tcPr>
          <w:p>
            <w:pPr>
              <w:jc w:val="center"/>
              <w:ind w:left="4"/>
              <w:spacing w:after="0" w:line="162" w:lineRule="exact"/>
              <w:rPr>
                <w:sz w:val="20"/>
                <w:szCs w:val="20"/>
                <w:color w:val="auto"/>
              </w:rPr>
            </w:pPr>
            <w:r>
              <w:rPr>
                <w:rFonts w:ascii="Arial" w:cs="Arial" w:eastAsia="Arial" w:hAnsi="Arial"/>
                <w:sz w:val="15"/>
                <w:szCs w:val="15"/>
                <w:color w:val="auto"/>
              </w:rPr>
              <w:t>(in person or by proxy)</w:t>
            </w:r>
          </w:p>
        </w:tc>
        <w:tc>
          <w:tcPr>
            <w:tcW w:w="96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00A1D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Borders>
              <w:top w:val="single" w:sz="8" w:color="auto"/>
              <w:left w:val="single" w:sz="8" w:color="00A1DF"/>
            </w:tcBorders>
            <w:vMerge w:val="restart"/>
          </w:tcPr>
          <w:p>
            <w:pPr>
              <w:jc w:val="right"/>
              <w:ind w:right="184"/>
              <w:spacing w:after="0"/>
              <w:rPr>
                <w:sz w:val="20"/>
                <w:szCs w:val="20"/>
                <w:color w:val="auto"/>
              </w:rPr>
            </w:pPr>
            <w:r>
              <w:rPr>
                <w:rFonts w:ascii="Arial" w:cs="Arial" w:eastAsia="Arial" w:hAnsi="Arial"/>
                <w:sz w:val="15"/>
                <w:szCs w:val="15"/>
                <w:color w:val="auto"/>
              </w:rPr>
              <w:t>4</w:t>
            </w:r>
          </w:p>
        </w:tc>
        <w:tc>
          <w:tcPr>
            <w:tcW w:w="3480" w:type="dxa"/>
            <w:vAlign w:val="bottom"/>
            <w:tcBorders>
              <w:top w:val="single" w:sz="8" w:color="auto"/>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Shareholder Proposal Regarding Independent</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00A1DF"/>
              </w:rPr>
              <w:t>AGAINST</w:t>
            </w:r>
          </w:p>
        </w:tc>
        <w:tc>
          <w:tcPr>
            <w:tcW w:w="3280" w:type="dxa"/>
            <w:vAlign w:val="bottom"/>
            <w:tcBorders>
              <w:right w:val="single" w:sz="8" w:color="auto"/>
            </w:tcBorders>
          </w:tcPr>
          <w:p>
            <w:pPr>
              <w:jc w:val="center"/>
              <w:ind w:left="4"/>
              <w:spacing w:after="0" w:line="156" w:lineRule="exact"/>
              <w:rPr>
                <w:sz w:val="20"/>
                <w:szCs w:val="20"/>
                <w:color w:val="auto"/>
              </w:rPr>
            </w:pPr>
            <w:r>
              <w:rPr>
                <w:rFonts w:ascii="Arial" w:cs="Arial" w:eastAsia="Arial" w:hAnsi="Arial"/>
                <w:sz w:val="15"/>
                <w:szCs w:val="15"/>
                <w:color w:val="auto"/>
              </w:rPr>
              <w:t>and entitled to vote</w:t>
            </w:r>
          </w:p>
        </w:tc>
        <w:tc>
          <w:tcPr>
            <w:tcW w:w="960" w:type="dxa"/>
            <w:vAlign w:val="bottom"/>
            <w:tcBorders>
              <w:top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Counted as</w:t>
            </w:r>
          </w:p>
        </w:tc>
        <w:tc>
          <w:tcPr>
            <w:tcW w:w="1100" w:type="dxa"/>
            <w:vAlign w:val="bottom"/>
            <w:tcBorders>
              <w:top w:val="single" w:sz="8" w:color="auto"/>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restart"/>
          </w:tcPr>
          <w:p>
            <w:pPr>
              <w:ind w:left="80"/>
              <w:spacing w:after="0" w:line="166" w:lineRule="exact"/>
              <w:rPr>
                <w:sz w:val="20"/>
                <w:szCs w:val="20"/>
                <w:color w:val="auto"/>
              </w:rPr>
            </w:pPr>
            <w:r>
              <w:rPr>
                <w:rFonts w:ascii="Arial" w:cs="Arial" w:eastAsia="Arial" w:hAnsi="Arial"/>
                <w:sz w:val="15"/>
                <w:szCs w:val="15"/>
                <w:color w:val="auto"/>
              </w:rPr>
              <w:t>Board Chairman</w:t>
            </w:r>
          </w:p>
        </w:tc>
        <w:tc>
          <w:tcPr>
            <w:tcW w:w="1380" w:type="dxa"/>
            <w:vAlign w:val="bottom"/>
            <w:tcBorders>
              <w:right w:val="single" w:sz="8" w:color="auto"/>
            </w:tcBorders>
            <w:vMerge w:val="continue"/>
          </w:tcPr>
          <w:p>
            <w:pPr>
              <w:spacing w:after="0"/>
              <w:rPr>
                <w:sz w:val="8"/>
                <w:szCs w:val="8"/>
                <w:color w:val="auto"/>
              </w:rPr>
            </w:pPr>
          </w:p>
        </w:tc>
        <w:tc>
          <w:tcPr>
            <w:tcW w:w="32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line="166" w:lineRule="exact"/>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20" w:type="dxa"/>
            <w:vAlign w:val="bottom"/>
            <w:tcBorders>
              <w:left w:val="single" w:sz="8" w:color="00A1DF"/>
              <w:bottom w:val="single" w:sz="8" w:color="auto"/>
            </w:tcBorders>
          </w:tcPr>
          <w:p>
            <w:pPr>
              <w:spacing w:after="0"/>
              <w:rPr>
                <w:sz w:val="5"/>
                <w:szCs w:val="5"/>
                <w:color w:val="auto"/>
              </w:rPr>
            </w:pPr>
          </w:p>
        </w:tc>
        <w:tc>
          <w:tcPr>
            <w:tcW w:w="3480" w:type="dxa"/>
            <w:vAlign w:val="bottom"/>
            <w:tcBorders>
              <w:bottom w:val="single" w:sz="8" w:color="auto"/>
              <w:right w:val="single" w:sz="8" w:color="auto"/>
            </w:tcBorders>
            <w:vMerge w:val="continue"/>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3280" w:type="dxa"/>
            <w:vAlign w:val="bottom"/>
            <w:tcBorders>
              <w:right w:val="single" w:sz="8" w:color="auto"/>
            </w:tcBorders>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110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vMerge w:val="restart"/>
          </w:tcPr>
          <w:p>
            <w:pPr>
              <w:jc w:val="right"/>
              <w:ind w:right="184"/>
              <w:spacing w:after="0"/>
              <w:rPr>
                <w:sz w:val="20"/>
                <w:szCs w:val="20"/>
                <w:color w:val="auto"/>
              </w:rPr>
            </w:pPr>
            <w:r>
              <w:rPr>
                <w:rFonts w:ascii="Arial" w:cs="Arial" w:eastAsia="Arial" w:hAnsi="Arial"/>
                <w:sz w:val="15"/>
                <w:szCs w:val="15"/>
                <w:color w:val="auto"/>
              </w:rPr>
              <w:t>5</w:t>
            </w:r>
          </w:p>
        </w:tc>
        <w:tc>
          <w:tcPr>
            <w:tcW w:w="34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5"/>
                <w:szCs w:val="15"/>
                <w:color w:val="auto"/>
              </w:rPr>
              <w:t>Shareholder Proposal Regarding Report on</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00A1DF"/>
              </w:rPr>
              <w:t>AGAINST</w:t>
            </w:r>
          </w:p>
        </w:tc>
        <w:tc>
          <w:tcPr>
            <w:tcW w:w="32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restart"/>
          </w:tcPr>
          <w:p>
            <w:pPr>
              <w:ind w:left="80"/>
              <w:spacing w:after="0" w:line="165" w:lineRule="exact"/>
              <w:rPr>
                <w:sz w:val="20"/>
                <w:szCs w:val="20"/>
                <w:color w:val="auto"/>
              </w:rPr>
            </w:pPr>
            <w:r>
              <w:rPr>
                <w:rFonts w:ascii="Arial" w:cs="Arial" w:eastAsia="Arial" w:hAnsi="Arial"/>
                <w:sz w:val="15"/>
                <w:szCs w:val="15"/>
                <w:color w:val="auto"/>
              </w:rPr>
              <w:t>Lobbying Communications and Activities</w:t>
            </w:r>
          </w:p>
        </w:tc>
        <w:tc>
          <w:tcPr>
            <w:tcW w:w="1380" w:type="dxa"/>
            <w:vAlign w:val="bottom"/>
            <w:tcBorders>
              <w:right w:val="single" w:sz="8" w:color="auto"/>
            </w:tcBorders>
            <w:vMerge w:val="continue"/>
          </w:tcPr>
          <w:p>
            <w:pPr>
              <w:spacing w:after="0"/>
              <w:rPr>
                <w:sz w:val="8"/>
                <w:szCs w:val="8"/>
                <w:color w:val="auto"/>
              </w:rPr>
            </w:pPr>
          </w:p>
        </w:tc>
        <w:tc>
          <w:tcPr>
            <w:tcW w:w="32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line="165" w:lineRule="exact"/>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20" w:type="dxa"/>
            <w:vAlign w:val="bottom"/>
            <w:tcBorders>
              <w:left w:val="single" w:sz="8" w:color="00A1DF"/>
              <w:bottom w:val="single" w:sz="8" w:color="0033A0"/>
            </w:tcBorders>
          </w:tcPr>
          <w:p>
            <w:pPr>
              <w:spacing w:after="0"/>
              <w:rPr>
                <w:sz w:val="5"/>
                <w:szCs w:val="5"/>
                <w:color w:val="auto"/>
              </w:rPr>
            </w:pPr>
          </w:p>
        </w:tc>
        <w:tc>
          <w:tcPr>
            <w:tcW w:w="3480" w:type="dxa"/>
            <w:vAlign w:val="bottom"/>
            <w:tcBorders>
              <w:bottom w:val="single" w:sz="8" w:color="0033A0"/>
              <w:right w:val="single" w:sz="8" w:color="auto"/>
            </w:tcBorders>
            <w:vMerge w:val="continue"/>
          </w:tcPr>
          <w:p>
            <w:pPr>
              <w:spacing w:after="0"/>
              <w:rPr>
                <w:sz w:val="5"/>
                <w:szCs w:val="5"/>
                <w:color w:val="auto"/>
              </w:rPr>
            </w:pPr>
          </w:p>
        </w:tc>
        <w:tc>
          <w:tcPr>
            <w:tcW w:w="1380" w:type="dxa"/>
            <w:vAlign w:val="bottom"/>
            <w:tcBorders>
              <w:bottom w:val="single" w:sz="8" w:color="0033A0"/>
              <w:right w:val="single" w:sz="8" w:color="auto"/>
            </w:tcBorders>
          </w:tcPr>
          <w:p>
            <w:pPr>
              <w:spacing w:after="0"/>
              <w:rPr>
                <w:sz w:val="5"/>
                <w:szCs w:val="5"/>
                <w:color w:val="auto"/>
              </w:rPr>
            </w:pPr>
          </w:p>
        </w:tc>
        <w:tc>
          <w:tcPr>
            <w:tcW w:w="3280" w:type="dxa"/>
            <w:vAlign w:val="bottom"/>
            <w:tcBorders>
              <w:bottom w:val="single" w:sz="8" w:color="0033A0"/>
              <w:right w:val="single" w:sz="8" w:color="auto"/>
            </w:tcBorders>
          </w:tcPr>
          <w:p>
            <w:pPr>
              <w:spacing w:after="0"/>
              <w:rPr>
                <w:sz w:val="5"/>
                <w:szCs w:val="5"/>
                <w:color w:val="auto"/>
              </w:rPr>
            </w:pPr>
          </w:p>
        </w:tc>
        <w:tc>
          <w:tcPr>
            <w:tcW w:w="960" w:type="dxa"/>
            <w:vAlign w:val="bottom"/>
            <w:tcBorders>
              <w:bottom w:val="single" w:sz="8" w:color="0033A0"/>
              <w:right w:val="single" w:sz="8" w:color="auto"/>
            </w:tcBorders>
            <w:vMerge w:val="continue"/>
          </w:tcPr>
          <w:p>
            <w:pPr>
              <w:spacing w:after="0"/>
              <w:rPr>
                <w:sz w:val="5"/>
                <w:szCs w:val="5"/>
                <w:color w:val="auto"/>
              </w:rPr>
            </w:pPr>
          </w:p>
        </w:tc>
        <w:tc>
          <w:tcPr>
            <w:tcW w:w="1100" w:type="dxa"/>
            <w:vAlign w:val="bottom"/>
            <w:tcBorders>
              <w:bottom w:val="single" w:sz="8" w:color="0033A0"/>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40" w:right="20" w:hanging="330"/>
        <w:spacing w:after="0" w:line="260" w:lineRule="auto"/>
        <w:tabs>
          <w:tab w:leader="none" w:pos="540" w:val="left"/>
        </w:tabs>
        <w:numPr>
          <w:ilvl w:val="0"/>
          <w:numId w:val="143"/>
        </w:numPr>
        <w:rPr>
          <w:rFonts w:ascii="Arial" w:cs="Arial" w:eastAsia="Arial" w:hAnsi="Arial"/>
          <w:sz w:val="14"/>
          <w:szCs w:val="14"/>
          <w:i w:val="1"/>
          <w:iCs w:val="1"/>
          <w:color w:val="auto"/>
        </w:rPr>
      </w:pPr>
      <w:r>
        <w:rPr>
          <w:rFonts w:ascii="Arial" w:cs="Arial" w:eastAsia="Arial" w:hAnsi="Arial"/>
          <w:sz w:val="14"/>
          <w:szCs w:val="14"/>
          <w:i w:val="1"/>
          <w:iCs w:val="1"/>
          <w:color w:val="auto"/>
        </w:rPr>
        <w:t>Each person elected as director will serve a one-year term and until his or her successor has been duly elected and qualified or until his or her earlier resignation or removal. If any nominee becomes unable to serve, proxies will be voted for the election of such other person as the Board may designate, unless the Board chooses to reduce the number of directors.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Other Matters to Be Presented at the Annual Meeting</w:t>
      </w:r>
    </w:p>
    <w:p>
      <w:pPr>
        <w:spacing w:after="0" w:line="167" w:lineRule="exact"/>
        <w:rPr>
          <w:sz w:val="20"/>
          <w:szCs w:val="20"/>
          <w:color w:val="auto"/>
        </w:rPr>
      </w:pPr>
    </w:p>
    <w:p>
      <w:pPr>
        <w:jc w:val="both"/>
        <w:ind w:left="220" w:right="20"/>
        <w:spacing w:after="0" w:line="249" w:lineRule="auto"/>
        <w:rPr>
          <w:sz w:val="20"/>
          <w:szCs w:val="20"/>
          <w:color w:val="auto"/>
        </w:rPr>
      </w:pPr>
      <w:r>
        <w:rPr>
          <w:rFonts w:ascii="Arial" w:cs="Arial" w:eastAsia="Arial" w:hAnsi="Arial"/>
          <w:sz w:val="16"/>
          <w:szCs w:val="16"/>
          <w:color w:val="auto"/>
        </w:rPr>
        <w:t>We do not know of any matters to be voted on by shareholders at the Annual Meeting other than those included in this Proxy Statement. The Company received notice that one individual (who purportedly owns 52 shares of common stock) intended to nominate himself and one other person for election as a director. This individual’s notice did not comply with the Company’s Bylaws, and therefore the Company does not intend to submit his nominations for shareholder election. If any matter, other than the election of the Company’s nominees for director or items 2 to 5 in this Proxy Statement, is properly presented at the meeting, your executed proxy gives the Proxies (as defined below) discretionary authority to vote your shares in accordance with their best judgment with respect to the matter.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Attending the Online Annual Meeting</w:t>
      </w:r>
    </w:p>
    <w:p>
      <w:pPr>
        <w:spacing w:after="0" w:line="180"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 xml:space="preserve">This year the Annual Meeting will be conducted online only, via a live video webcast. To participate in the online meeting, visit </w:t>
      </w:r>
      <w:r>
        <w:rPr>
          <w:rFonts w:ascii="Arial" w:cs="Arial" w:eastAsia="Arial" w:hAnsi="Arial"/>
          <w:sz w:val="16"/>
          <w:szCs w:val="16"/>
          <w:i w:val="1"/>
          <w:iCs w:val="1"/>
          <w:color w:val="00A1DF"/>
        </w:rPr>
        <w:t xml:space="preserve">gm.onlineshareholdermeeting.com </w:t>
      </w:r>
      <w:r>
        <w:rPr>
          <w:rFonts w:ascii="Arial" w:cs="Arial" w:eastAsia="Arial" w:hAnsi="Arial"/>
          <w:sz w:val="16"/>
          <w:szCs w:val="16"/>
          <w:color w:val="000000"/>
        </w:rPr>
        <w:t>and enter the 16-digit control number included on your notice of internet availability of the proxy materials (“Notice”),</w:t>
      </w:r>
      <w:r>
        <w:rPr>
          <w:rFonts w:ascii="Arial" w:cs="Arial" w:eastAsia="Arial" w:hAnsi="Arial"/>
          <w:sz w:val="16"/>
          <w:szCs w:val="16"/>
          <w:i w:val="1"/>
          <w:iCs w:val="1"/>
          <w:color w:val="00A1DF"/>
        </w:rPr>
        <w:t xml:space="preserve"> </w:t>
      </w:r>
      <w:r>
        <w:rPr>
          <w:rFonts w:ascii="Arial" w:cs="Arial" w:eastAsia="Arial" w:hAnsi="Arial"/>
          <w:sz w:val="16"/>
          <w:szCs w:val="16"/>
          <w:color w:val="000000"/>
        </w:rPr>
        <w:t>on your proxy card, or on the instructions that accompanied your proxy materials. You may begin to log into the meeting platform beginning at 7:45 a.m. Eastern Time on June 4, 2019. The meeting will begin promptly at 8:00 a.m. Eastern Time on June 4, 2019.</w:t>
      </w:r>
    </w:p>
    <w:p>
      <w:pPr>
        <w:spacing w:after="0" w:line="97" w:lineRule="exact"/>
        <w:rPr>
          <w:sz w:val="20"/>
          <w:szCs w:val="20"/>
          <w:color w:val="auto"/>
        </w:rPr>
      </w:pPr>
    </w:p>
    <w:p>
      <w:pPr>
        <w:jc w:val="both"/>
        <w:ind w:left="220" w:right="40"/>
        <w:spacing w:after="0" w:line="260" w:lineRule="auto"/>
        <w:rPr>
          <w:sz w:val="20"/>
          <w:szCs w:val="20"/>
          <w:color w:val="auto"/>
        </w:rPr>
      </w:pPr>
      <w:r>
        <w:rPr>
          <w:rFonts w:ascii="Arial" w:cs="Arial" w:eastAsia="Arial" w:hAnsi="Arial"/>
          <w:sz w:val="16"/>
          <w:szCs w:val="16"/>
          <w:color w:val="auto"/>
        </w:rPr>
        <w:t>If you do not have internet access or you have lost your 16-digit control number, you can call (877) 328-2502 (toll free) or (412) 317-5419 (international) to listen to the meeting proceedings; however, you will not be able to vote your shares or submit questions during the meeting.</w:t>
      </w:r>
    </w:p>
    <w:p>
      <w:pPr>
        <w:spacing w:after="0" w:line="87" w:lineRule="exact"/>
        <w:rPr>
          <w:sz w:val="20"/>
          <w:szCs w:val="20"/>
          <w:color w:val="auto"/>
        </w:rPr>
      </w:pPr>
    </w:p>
    <w:p>
      <w:pPr>
        <w:jc w:val="both"/>
        <w:ind w:left="220" w:right="20"/>
        <w:spacing w:after="0" w:line="257" w:lineRule="auto"/>
        <w:rPr>
          <w:sz w:val="20"/>
          <w:szCs w:val="20"/>
          <w:color w:val="auto"/>
        </w:rPr>
      </w:pPr>
      <w:r>
        <w:rPr>
          <w:rFonts w:ascii="Arial" w:cs="Arial" w:eastAsia="Arial" w:hAnsi="Arial"/>
          <w:sz w:val="16"/>
          <w:szCs w:val="16"/>
          <w:color w:val="auto"/>
        </w:rPr>
        <w:t xml:space="preserve">If you experience technical difficulties during the check-in process or during the meeting, please call (800) 586-1548 (U.S.) or (303) 562-9288 (international) for assistance. If you need additional shareholder support, please e-mail </w:t>
      </w:r>
      <w:r>
        <w:rPr>
          <w:rFonts w:ascii="Arial" w:cs="Arial" w:eastAsia="Arial" w:hAnsi="Arial"/>
          <w:sz w:val="16"/>
          <w:szCs w:val="16"/>
          <w:i w:val="1"/>
          <w:iCs w:val="1"/>
          <w:color w:val="auto"/>
        </w:rPr>
        <w:t>shareholder.relations@gm.com</w:t>
      </w:r>
      <w:r>
        <w:rPr>
          <w:rFonts w:ascii="Arial" w:cs="Arial" w:eastAsia="Arial" w:hAnsi="Arial"/>
          <w:sz w:val="16"/>
          <w:szCs w:val="16"/>
          <w:color w:val="auto"/>
        </w:rPr>
        <w:t xml:space="preserve"> or call (313) 667-1432 for assistance.</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Submitting Questions</w:t>
      </w:r>
    </w:p>
    <w:p>
      <w:pPr>
        <w:spacing w:after="0" w:line="151" w:lineRule="exact"/>
        <w:rPr>
          <w:sz w:val="20"/>
          <w:szCs w:val="20"/>
          <w:color w:val="auto"/>
        </w:rPr>
      </w:pPr>
    </w:p>
    <w:p>
      <w:pPr>
        <w:jc w:val="both"/>
        <w:ind w:left="220" w:right="20"/>
        <w:spacing w:after="0" w:line="254" w:lineRule="auto"/>
        <w:rPr>
          <w:sz w:val="20"/>
          <w:szCs w:val="20"/>
          <w:color w:val="auto"/>
        </w:rPr>
      </w:pPr>
      <w:r>
        <w:rPr>
          <w:rFonts w:ascii="Arial" w:cs="Arial" w:eastAsia="Arial" w:hAnsi="Arial"/>
          <w:sz w:val="16"/>
          <w:szCs w:val="16"/>
          <w:color w:val="auto"/>
        </w:rPr>
        <w:t xml:space="preserve">Shareholders may submit questions either before or during the meeting. If you want to ask a question before the meeting, log in to </w:t>
      </w:r>
      <w:r>
        <w:rPr>
          <w:rFonts w:ascii="Arial" w:cs="Arial" w:eastAsia="Arial" w:hAnsi="Arial"/>
          <w:sz w:val="16"/>
          <w:szCs w:val="16"/>
          <w:i w:val="1"/>
          <w:iCs w:val="1"/>
          <w:color w:val="00A1DF"/>
        </w:rPr>
        <w:t>proxyvote.com</w:t>
      </w:r>
      <w:r>
        <w:rPr>
          <w:rFonts w:ascii="Arial" w:cs="Arial" w:eastAsia="Arial" w:hAnsi="Arial"/>
          <w:sz w:val="16"/>
          <w:szCs w:val="16"/>
          <w:color w:val="auto"/>
        </w:rPr>
        <w:t xml:space="preserve"> and enter your 16-digit control number. Once past the login screen, click on “Questions for Management,” type in your question and click “Submit.” If you want to ask a question during the meeting you may do so in two ways: either log into the online meeting platform at </w:t>
      </w:r>
      <w:r>
        <w:rPr>
          <w:rFonts w:ascii="Arial" w:cs="Arial" w:eastAsia="Arial" w:hAnsi="Arial"/>
          <w:sz w:val="16"/>
          <w:szCs w:val="16"/>
          <w:i w:val="1"/>
          <w:iCs w:val="1"/>
          <w:color w:val="00A1DF"/>
        </w:rPr>
        <w:t>gm.onlineshareholdermeeting.com</w:t>
      </w:r>
      <w:r>
        <w:rPr>
          <w:rFonts w:ascii="Arial" w:cs="Arial" w:eastAsia="Arial" w:hAnsi="Arial"/>
          <w:sz w:val="16"/>
          <w:szCs w:val="16"/>
          <w:color w:val="auto"/>
        </w:rPr>
        <w:t>, type your question into the “Ask a Question” field, and click “Submit”; or call (877) 328-2502 (toll free) or (412) 317-5419 (international). Only shareholders with a valid control number will be allowed to ask questions.</w:t>
      </w:r>
    </w:p>
    <w:p>
      <w:pPr>
        <w:spacing w:after="0" w:line="95"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 xml:space="preserve">Questions pertinent to meeting matters will be answered during the meeting, subject to time constraints. If there are questions pertinent to meeting matters that cannot be answered during the meeting due to time constraints, management will post answers to a representative set of such questions at </w:t>
      </w:r>
      <w:r>
        <w:rPr>
          <w:rFonts w:ascii="Arial" w:cs="Arial" w:eastAsia="Arial" w:hAnsi="Arial"/>
          <w:sz w:val="16"/>
          <w:szCs w:val="16"/>
          <w:i w:val="1"/>
          <w:iCs w:val="1"/>
          <w:color w:val="00A1DF"/>
        </w:rPr>
        <w:t>investor.gm.com/shareholder</w:t>
      </w:r>
      <w:r>
        <w:rPr>
          <w:rFonts w:ascii="Arial" w:cs="Arial" w:eastAsia="Arial" w:hAnsi="Arial"/>
          <w:sz w:val="16"/>
          <w:szCs w:val="16"/>
          <w:color w:val="000000"/>
        </w:rPr>
        <w:t>. The questions and answers will be available as soon as practicable after the meeting and will remain available until GM’s</w:t>
      </w:r>
      <w:r>
        <w:rPr>
          <w:rFonts w:ascii="Arial" w:cs="Arial" w:eastAsia="Arial" w:hAnsi="Arial"/>
          <w:sz w:val="16"/>
          <w:szCs w:val="16"/>
          <w:i w:val="1"/>
          <w:iCs w:val="1"/>
          <w:color w:val="00A1DF"/>
        </w:rPr>
        <w:t xml:space="preserve"> </w:t>
      </w:r>
      <w:r>
        <w:rPr>
          <w:rFonts w:ascii="Arial" w:cs="Arial" w:eastAsia="Arial" w:hAnsi="Arial"/>
          <w:sz w:val="16"/>
          <w:szCs w:val="16"/>
          <w:color w:val="000000"/>
        </w:rPr>
        <w:t>2020 Proxy Statement is filed.</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Voting at the Annual Meeting</w:t>
      </w:r>
    </w:p>
    <w:p>
      <w:pPr>
        <w:spacing w:after="0" w:line="167"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Shareholders of record and beneficial owners will be able to vote their shares electronically during the Annual Meeting. However, even if you plan to participate in the Annual Meeting online, we recommend that you also vote by proxy as described below so that your votes will be counted if you later decide not to participate in the Annual Meeting.</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3"/>
          <w:szCs w:val="13"/>
          <w:color w:val="0033A0"/>
        </w:rPr>
        <w:t xml:space="preserve">78 </w:t>
      </w:r>
      <w:r>
        <w:rPr>
          <w:sz w:val="1"/>
          <w:szCs w:val="1"/>
          <w:color w:val="auto"/>
        </w:rPr>
        <w:drawing>
          <wp:inline distT="0" distB="0" distL="0" distR="0">
            <wp:extent cx="6852920" cy="14541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2920" cy="145415"/>
                    </a:xfrm>
                    <a:prstGeom prst="rect">
                      <a:avLst/>
                    </a:prstGeom>
                    <a:noFill/>
                    <a:ln>
                      <a:noFill/>
                    </a:ln>
                  </pic:spPr>
                </pic:pic>
              </a:graphicData>
            </a:graphic>
          </wp:inline>
        </w:drawing>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Quorum</w:t>
      </w:r>
    </w:p>
    <w:p>
      <w:pPr>
        <w:spacing w:after="0" w:line="167"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Proxies</w:t>
      </w:r>
    </w:p>
    <w:p>
      <w:pPr>
        <w:spacing w:after="0" w:line="16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Board appointed the following executive officers to act as proxies: Mary T. Barra and Craig B. Glidden (collectively, the “Proxies”).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Who Can Vote</w:t>
      </w:r>
    </w:p>
    <w:p>
      <w:pPr>
        <w:spacing w:after="0" w:line="18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If you are a holder of the Company’s common stock as of the close of business on April 8, 2019, or you hold a valid proxy, you are entitled to vote at the Annual Meeting. On that date, the Company had 1,420,831,726 shares of common stock outstanding and entitled to vote. Each share of our common stock entitles the holder to one vote.</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Voting Without Attending the Annual Meeting</w:t>
      </w:r>
    </w:p>
    <w:p>
      <w:pPr>
        <w:spacing w:after="0" w:line="16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To vote your shares without attending the meeting, please follow the instructions for voting on the Notice, on your proxy card, or on the voting instructions form. When you timely submit your proxy or voting instructions in the proper form, your shares will be voted according to your instructions. You may give instructions to vote for or against or abstain from voting for the election of all the Board of Directors’ nominees or any individual nominee and to vote for or against or abstain from voting on each of the other matters submitted for voting. If you sign, date, and return the proxy card or voting instruction form without specifying how you wish to cast your vote, your shares will be voted by the Proxies according to the recommendations of the Board of Directors, as indicated above. internet and telephone voting is available 24 hours a day, through 11:59 p.m. Eastern Time on Monday, June 3, 2019.</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Revoking Your Proxy</w:t>
      </w:r>
    </w:p>
    <w:p>
      <w:pPr>
        <w:spacing w:after="0" w:line="16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 xml:space="preserve">After you have submitted your proxy or voting instructions by Internet, telephone, or mail, you may revoke your proxy at any time until it is voted at the Annual Meeting. If you are a shareholder of record, you may do this by (1) granting a new proxy bearing a later date (which automatically revokes the earlier proxy); (2) sending a written notice of revocation to the Corporate Secretary at Mail Code 482-C24-A68, 300 Renaissance Center, Detroit, Michigan 48265, or by e-mail to </w:t>
      </w:r>
      <w:r>
        <w:rPr>
          <w:rFonts w:ascii="Arial" w:cs="Arial" w:eastAsia="Arial" w:hAnsi="Arial"/>
          <w:sz w:val="16"/>
          <w:szCs w:val="16"/>
          <w:i w:val="1"/>
          <w:iCs w:val="1"/>
          <w:color w:val="auto"/>
        </w:rPr>
        <w:t>shareholder.relations@gm.com</w:t>
      </w:r>
      <w:r>
        <w:rPr>
          <w:rFonts w:ascii="Arial" w:cs="Arial" w:eastAsia="Arial" w:hAnsi="Arial"/>
          <w:sz w:val="16"/>
          <w:szCs w:val="16"/>
          <w:color w:val="auto"/>
        </w:rPr>
        <w:t>; or (3) by participating in the Annual Meeting and voting your shares electronically during the meeting. Participation in the Annual Meeting will not cause your previously granted proxy to be revoked unless you specifically make that request. For shares that you hold beneficially in the name of a broker, bank, or other nominee (that is, in “street name”), you may change your vote by submitting new voting instructions to your broker, bank, or nominee, or by participating in the meeting and electronically voting your shares during the meeting.</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Annual Meeting Voting Results</w:t>
      </w:r>
    </w:p>
    <w:p>
      <w:pPr>
        <w:spacing w:after="0" w:line="180"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Our independent inspector of elections, Broadridge Financial Services, Inc., will tabulate the vote at the Annual Meeting. We will provide voting results on our website and in a Current Report on Form 8-K filed with the SEC.</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“Shareholder of Record” and “Beneficial Shareholder”</w:t>
      </w:r>
    </w:p>
    <w:p>
      <w:pPr>
        <w:spacing w:after="0" w:line="16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 xml:space="preserve">If your shares are owned directly in your name in an account with GM’s stock transfer agent, Computershare Trust Company, N.A. (“Computershare”), you are considered the “shareholder of record” of those shares in your account. If your shares are held in an account with a broker, bank, or other nominee as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w:t>
      </w:r>
      <w:r>
        <w:rPr>
          <w:rFonts w:ascii="Arial" w:cs="Arial" w:eastAsia="Arial" w:hAnsi="Arial"/>
          <w:sz w:val="16"/>
          <w:szCs w:val="16"/>
          <w:b w:val="1"/>
          <w:bCs w:val="1"/>
          <w:u w:val="single" w:color="auto"/>
          <w:color w:val="auto"/>
        </w:rPr>
        <w:t>must</w:t>
      </w:r>
      <w:r>
        <w:rPr>
          <w:rFonts w:ascii="Arial" w:cs="Arial" w:eastAsia="Arial" w:hAnsi="Arial"/>
          <w:sz w:val="16"/>
          <w:szCs w:val="16"/>
          <w:color w:val="auto"/>
        </w:rPr>
        <w:t xml:space="preserve">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3 (“Ratification of the Selection of Ernst &amp; Young LLP as the Company’s Independent Registered Public Accounting Firm for 2019”) even if you do not provide voting instructions because it is considered a routine matter. </w:t>
      </w:r>
      <w:r>
        <w:rPr>
          <w:rFonts w:ascii="Arial" w:cs="Arial" w:eastAsia="Arial" w:hAnsi="Arial"/>
          <w:sz w:val="16"/>
          <w:szCs w:val="16"/>
          <w:b w:val="1"/>
          <w:bCs w:val="1"/>
          <w:color w:val="auto"/>
        </w:rPr>
        <w:t>Your broker is not permitted to vote on the other agenda</w:t>
      </w:r>
      <w:r>
        <w:rPr>
          <w:rFonts w:ascii="Arial" w:cs="Arial" w:eastAsia="Arial" w:hAnsi="Arial"/>
          <w:sz w:val="16"/>
          <w:szCs w:val="16"/>
          <w:color w:val="auto"/>
        </w:rPr>
        <w:t xml:space="preserve"> </w:t>
      </w:r>
      <w:r>
        <w:rPr>
          <w:rFonts w:ascii="Arial" w:cs="Arial" w:eastAsia="Arial" w:hAnsi="Arial"/>
          <w:sz w:val="16"/>
          <w:szCs w:val="16"/>
          <w:b w:val="1"/>
          <w:bCs w:val="1"/>
          <w:color w:val="auto"/>
        </w:rPr>
        <w:t>Items if you do not provide voting instructions because those items involve matters that are considered nonroutine.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89535</wp:posOffset>
            </wp:positionV>
            <wp:extent cx="6758305" cy="1282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26"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79</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20"/>
          <w:szCs w:val="20"/>
          <w:color w:val="00A1DF"/>
        </w:rPr>
        <w:t>Householding</w:t>
      </w:r>
    </w:p>
    <w:p>
      <w:pPr>
        <w:spacing w:after="0" w:line="167" w:lineRule="exact"/>
        <w:rPr>
          <w:sz w:val="20"/>
          <w:szCs w:val="20"/>
          <w:color w:val="auto"/>
        </w:rPr>
      </w:pPr>
    </w:p>
    <w:p>
      <w:pPr>
        <w:jc w:val="both"/>
        <w:ind w:left="220" w:right="20"/>
        <w:spacing w:after="0" w:line="249" w:lineRule="auto"/>
        <w:rPr>
          <w:sz w:val="20"/>
          <w:szCs w:val="20"/>
          <w:color w:val="auto"/>
        </w:rPr>
      </w:pPr>
      <w:r>
        <w:rPr>
          <w:rFonts w:ascii="Arial" w:cs="Arial" w:eastAsia="Arial" w:hAnsi="Arial"/>
          <w:sz w:val="16"/>
          <w:szCs w:val="16"/>
          <w:color w:val="auto"/>
        </w:rPr>
        <w:t>SEC rules permit companies to send a single Proxy Statement and Annual Report on Form 10-K or Notice to two or more shareholders that share the same address, subject to certain conditions. Each shareholder will continue to receive a separate proxy card, voting instruction form, or Notice,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98"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 Financial Solutions, Inc., by calling toll-free at 866-540-7095 or by writing to Broadridge Financial Solutions, Inc., Householding Department, 51 Mercedes Way, Edgewood, New York 11717.</w:t>
      </w:r>
    </w:p>
    <w:p>
      <w:pPr>
        <w:spacing w:after="0" w:line="97"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If a broker, bank, or other nominee holds your shares, please contact your broker, bank, or other nominee directly if you have questions about delivery of materials, require additional copies of the Proxy Statement or Annual Report on Form 10-K, or wish to receive multiple copies of proxy materials, which would require you to state that you do not consent to householding.</w:t>
      </w:r>
    </w:p>
    <w:p>
      <w:pPr>
        <w:spacing w:after="0" w:line="322" w:lineRule="exact"/>
        <w:rPr>
          <w:sz w:val="20"/>
          <w:szCs w:val="20"/>
          <w:color w:val="auto"/>
        </w:rPr>
      </w:pPr>
    </w:p>
    <w:p>
      <w:pPr>
        <w:ind w:left="640" w:hanging="430"/>
        <w:spacing w:after="0"/>
        <w:tabs>
          <w:tab w:leader="none" w:pos="640" w:val="left"/>
        </w:tabs>
        <w:numPr>
          <w:ilvl w:val="0"/>
          <w:numId w:val="144"/>
        </w:numPr>
        <w:rPr>
          <w:rFonts w:ascii="Arial" w:cs="Arial" w:eastAsia="Arial" w:hAnsi="Arial"/>
          <w:sz w:val="25"/>
          <w:szCs w:val="25"/>
          <w:color w:val="0033A0"/>
        </w:rPr>
      </w:pPr>
      <w:r>
        <w:rPr>
          <w:rFonts w:ascii="Arial" w:cs="Arial" w:eastAsia="Arial" w:hAnsi="Arial"/>
          <w:sz w:val="25"/>
          <w:szCs w:val="25"/>
          <w:color w:val="auto"/>
        </w:rPr>
        <w:t>Shareholder Proposals and Director Nominations</w:t>
      </w:r>
    </w:p>
    <w:p>
      <w:pPr>
        <w:spacing w:after="0" w:line="204"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2580" w:type="dxa"/>
            <w:vAlign w:val="bottom"/>
            <w:tcBorders>
              <w:top w:val="single" w:sz="8" w:color="00A1DF"/>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Type of Proposal</w:t>
            </w:r>
          </w:p>
        </w:tc>
        <w:tc>
          <w:tcPr>
            <w:tcW w:w="3060" w:type="dxa"/>
            <w:vAlign w:val="bottom"/>
            <w:tcBorders>
              <w:top w:val="single" w:sz="8" w:color="00A1DF"/>
              <w:right w:val="single" w:sz="8" w:color="auto"/>
            </w:tcBorders>
          </w:tcPr>
          <w:p>
            <w:pPr>
              <w:jc w:val="center"/>
              <w:spacing w:after="0"/>
              <w:rPr>
                <w:sz w:val="20"/>
                <w:szCs w:val="20"/>
                <w:color w:val="auto"/>
              </w:rPr>
            </w:pPr>
            <w:r>
              <w:rPr>
                <w:rFonts w:ascii="Arial" w:cs="Arial" w:eastAsia="Arial" w:hAnsi="Arial"/>
                <w:sz w:val="16"/>
                <w:szCs w:val="16"/>
                <w:b w:val="1"/>
                <w:bCs w:val="1"/>
                <w:color w:val="auto"/>
              </w:rPr>
              <w:t>Rule 14a-8 Proposals by</w:t>
            </w:r>
          </w:p>
        </w:tc>
        <w:tc>
          <w:tcPr>
            <w:tcW w:w="2660" w:type="dxa"/>
            <w:vAlign w:val="bottom"/>
            <w:tcBorders>
              <w:top w:val="single" w:sz="8" w:color="00A1DF"/>
              <w:right w:val="single" w:sz="8" w:color="auto"/>
            </w:tcBorders>
          </w:tcPr>
          <w:p>
            <w:pPr>
              <w:ind w:left="60"/>
              <w:spacing w:after="0"/>
              <w:rPr>
                <w:sz w:val="20"/>
                <w:szCs w:val="20"/>
                <w:color w:val="auto"/>
              </w:rPr>
            </w:pPr>
            <w:r>
              <w:rPr>
                <w:rFonts w:ascii="Arial" w:cs="Arial" w:eastAsia="Arial" w:hAnsi="Arial"/>
                <w:sz w:val="16"/>
                <w:szCs w:val="16"/>
                <w:b w:val="1"/>
                <w:bCs w:val="1"/>
                <w:color w:val="auto"/>
              </w:rPr>
              <w:t>Director Nominees for</w:t>
            </w:r>
          </w:p>
        </w:tc>
        <w:tc>
          <w:tcPr>
            <w:tcW w:w="2720" w:type="dxa"/>
            <w:vAlign w:val="bottom"/>
            <w:tcBorders>
              <w:top w:val="single" w:sz="8" w:color="00A1DF"/>
              <w:right w:val="single" w:sz="8" w:color="00A1DF"/>
            </w:tcBorders>
          </w:tcPr>
          <w:p>
            <w:pPr>
              <w:ind w:left="100"/>
              <w:spacing w:after="0"/>
              <w:rPr>
                <w:sz w:val="20"/>
                <w:szCs w:val="20"/>
                <w:color w:val="auto"/>
              </w:rPr>
            </w:pPr>
            <w:r>
              <w:rPr>
                <w:rFonts w:ascii="Arial" w:cs="Arial" w:eastAsia="Arial" w:hAnsi="Arial"/>
                <w:sz w:val="16"/>
                <w:szCs w:val="16"/>
                <w:b w:val="1"/>
                <w:bCs w:val="1"/>
                <w:color w:val="auto"/>
              </w:rPr>
              <w:t>Other Proposals or</w:t>
            </w:r>
          </w:p>
        </w:tc>
      </w:tr>
      <w:tr>
        <w:trPr>
          <w:trHeight w:val="189"/>
        </w:trPr>
        <w:tc>
          <w:tcPr>
            <w:tcW w:w="2580" w:type="dxa"/>
            <w:vAlign w:val="bottom"/>
            <w:tcBorders>
              <w:left w:val="single" w:sz="8" w:color="00A1DF"/>
              <w:right w:val="single" w:sz="8" w:color="auto"/>
            </w:tcBorders>
          </w:tcPr>
          <w:p>
            <w:pPr>
              <w:spacing w:after="0"/>
              <w:rPr>
                <w:sz w:val="16"/>
                <w:szCs w:val="16"/>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Shareholders</w:t>
            </w: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Inclusion in Next Year’s</w:t>
            </w:r>
          </w:p>
        </w:tc>
        <w:tc>
          <w:tcPr>
            <w:tcW w:w="2720" w:type="dxa"/>
            <w:vAlign w:val="bottom"/>
            <w:tcBorders>
              <w:right w:val="single" w:sz="8" w:color="00A1DF"/>
            </w:tcBorders>
          </w:tcPr>
          <w:p>
            <w:pPr>
              <w:ind w:left="100"/>
              <w:spacing w:after="0"/>
              <w:rPr>
                <w:sz w:val="20"/>
                <w:szCs w:val="20"/>
                <w:color w:val="auto"/>
              </w:rPr>
            </w:pPr>
            <w:r>
              <w:rPr>
                <w:rFonts w:ascii="Arial" w:cs="Arial" w:eastAsia="Arial" w:hAnsi="Arial"/>
                <w:sz w:val="16"/>
                <w:szCs w:val="16"/>
                <w:b w:val="1"/>
                <w:bCs w:val="1"/>
                <w:color w:val="auto"/>
              </w:rPr>
              <w:t>Nominees for</w:t>
            </w:r>
          </w:p>
        </w:tc>
      </w:tr>
      <w:tr>
        <w:trPr>
          <w:trHeight w:val="189"/>
        </w:trPr>
        <w:tc>
          <w:tcPr>
            <w:tcW w:w="2580" w:type="dxa"/>
            <w:vAlign w:val="bottom"/>
            <w:tcBorders>
              <w:left w:val="single" w:sz="8" w:color="00A1DF"/>
              <w:right w:val="single" w:sz="8" w:color="auto"/>
            </w:tcBorders>
          </w:tcPr>
          <w:p>
            <w:pPr>
              <w:spacing w:after="0"/>
              <w:rPr>
                <w:sz w:val="16"/>
                <w:szCs w:val="16"/>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 Inclusion in Next Year’s Proxy</w:t>
            </w: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Proxy Statement</w:t>
            </w:r>
          </w:p>
        </w:tc>
        <w:tc>
          <w:tcPr>
            <w:tcW w:w="2720" w:type="dxa"/>
            <w:vAlign w:val="bottom"/>
            <w:tcBorders>
              <w:right w:val="single" w:sz="8" w:color="00A1DF"/>
            </w:tcBorders>
          </w:tcPr>
          <w:p>
            <w:pPr>
              <w:ind w:left="100"/>
              <w:spacing w:after="0"/>
              <w:rPr>
                <w:sz w:val="20"/>
                <w:szCs w:val="20"/>
                <w:color w:val="auto"/>
              </w:rPr>
            </w:pPr>
            <w:r>
              <w:rPr>
                <w:rFonts w:ascii="Arial" w:cs="Arial" w:eastAsia="Arial" w:hAnsi="Arial"/>
                <w:sz w:val="16"/>
                <w:szCs w:val="16"/>
                <w:b w:val="1"/>
                <w:bCs w:val="1"/>
                <w:color w:val="auto"/>
              </w:rPr>
              <w:t>Representation at Next Year’s</w:t>
            </w:r>
          </w:p>
        </w:tc>
      </w:tr>
      <w:tr>
        <w:trPr>
          <w:trHeight w:val="214"/>
        </w:trPr>
        <w:tc>
          <w:tcPr>
            <w:tcW w:w="2580" w:type="dxa"/>
            <w:vAlign w:val="bottom"/>
            <w:tcBorders>
              <w:left w:val="single" w:sz="8" w:color="00A1DF"/>
              <w:right w:val="single" w:sz="8" w:color="auto"/>
            </w:tcBorders>
          </w:tcPr>
          <w:p>
            <w:pPr>
              <w:spacing w:after="0"/>
              <w:rPr>
                <w:sz w:val="18"/>
                <w:szCs w:val="18"/>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Statement</w:t>
            </w: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(Proxy Access)</w:t>
            </w:r>
          </w:p>
        </w:tc>
        <w:tc>
          <w:tcPr>
            <w:tcW w:w="2720" w:type="dxa"/>
            <w:vAlign w:val="bottom"/>
            <w:tcBorders>
              <w:right w:val="single" w:sz="8" w:color="00A1DF"/>
            </w:tcBorders>
          </w:tcPr>
          <w:p>
            <w:pPr>
              <w:ind w:left="100"/>
              <w:spacing w:after="0"/>
              <w:rPr>
                <w:sz w:val="20"/>
                <w:szCs w:val="20"/>
                <w:color w:val="auto"/>
              </w:rPr>
            </w:pPr>
            <w:r>
              <w:rPr>
                <w:rFonts w:ascii="Arial" w:cs="Arial" w:eastAsia="Arial" w:hAnsi="Arial"/>
                <w:sz w:val="16"/>
                <w:szCs w:val="16"/>
                <w:b w:val="1"/>
                <w:bCs w:val="1"/>
                <w:color w:val="auto"/>
              </w:rPr>
              <w:t>Annual Meeting</w:t>
            </w:r>
          </w:p>
        </w:tc>
      </w:tr>
      <w:tr>
        <w:trPr>
          <w:trHeight w:val="87"/>
        </w:trPr>
        <w:tc>
          <w:tcPr>
            <w:tcW w:w="2580" w:type="dxa"/>
            <w:vAlign w:val="bottom"/>
            <w:tcBorders>
              <w:left w:val="single" w:sz="8" w:color="00A1DF"/>
              <w:bottom w:val="single" w:sz="8" w:color="00A1DF"/>
              <w:right w:val="single" w:sz="8" w:color="auto"/>
            </w:tcBorders>
          </w:tcPr>
          <w:p>
            <w:pPr>
              <w:spacing w:after="0"/>
              <w:rPr>
                <w:sz w:val="7"/>
                <w:szCs w:val="7"/>
                <w:color w:val="auto"/>
              </w:rPr>
            </w:pPr>
          </w:p>
        </w:tc>
        <w:tc>
          <w:tcPr>
            <w:tcW w:w="3060" w:type="dxa"/>
            <w:vAlign w:val="bottom"/>
            <w:tcBorders>
              <w:bottom w:val="single" w:sz="8" w:color="00A1DF"/>
              <w:right w:val="single" w:sz="8" w:color="auto"/>
            </w:tcBorders>
          </w:tcPr>
          <w:p>
            <w:pPr>
              <w:spacing w:after="0"/>
              <w:rPr>
                <w:sz w:val="7"/>
                <w:szCs w:val="7"/>
                <w:color w:val="auto"/>
              </w:rPr>
            </w:pPr>
          </w:p>
        </w:tc>
        <w:tc>
          <w:tcPr>
            <w:tcW w:w="2660" w:type="dxa"/>
            <w:vAlign w:val="bottom"/>
            <w:tcBorders>
              <w:bottom w:val="single" w:sz="8" w:color="00A1DF"/>
              <w:right w:val="single" w:sz="8" w:color="auto"/>
            </w:tcBorders>
          </w:tcPr>
          <w:p>
            <w:pPr>
              <w:spacing w:after="0"/>
              <w:rPr>
                <w:sz w:val="7"/>
                <w:szCs w:val="7"/>
                <w:color w:val="auto"/>
              </w:rPr>
            </w:pPr>
          </w:p>
        </w:tc>
        <w:tc>
          <w:tcPr>
            <w:tcW w:w="2720" w:type="dxa"/>
            <w:vAlign w:val="bottom"/>
            <w:tcBorders>
              <w:bottom w:val="single" w:sz="8" w:color="00A1DF"/>
              <w:right w:val="single" w:sz="8" w:color="00A1DF"/>
            </w:tcBorders>
          </w:tcPr>
          <w:p>
            <w:pPr>
              <w:spacing w:after="0"/>
              <w:rPr>
                <w:sz w:val="7"/>
                <w:szCs w:val="7"/>
                <w:color w:val="auto"/>
              </w:rPr>
            </w:pPr>
          </w:p>
        </w:tc>
      </w:tr>
      <w:tr>
        <w:trPr>
          <w:trHeight w:val="219"/>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Rules/Provisions</w:t>
            </w: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SEC rules and our Bylaws permit</w:t>
            </w:r>
          </w:p>
        </w:tc>
        <w:tc>
          <w:tcPr>
            <w:tcW w:w="26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Our Bylaws permit a shareholder or</w:t>
            </w:r>
          </w:p>
        </w:tc>
        <w:tc>
          <w:tcPr>
            <w:tcW w:w="2720" w:type="dxa"/>
            <w:vAlign w:val="bottom"/>
            <w:tcBorders>
              <w:right w:val="single" w:sz="8" w:color="00A1DF"/>
            </w:tcBorders>
          </w:tcPr>
          <w:p>
            <w:pPr>
              <w:ind w:left="100"/>
              <w:spacing w:after="0"/>
              <w:rPr>
                <w:sz w:val="20"/>
                <w:szCs w:val="20"/>
                <w:color w:val="auto"/>
              </w:rPr>
            </w:pPr>
            <w:r>
              <w:rPr>
                <w:rFonts w:ascii="Arial" w:cs="Arial" w:eastAsia="Arial" w:hAnsi="Arial"/>
                <w:sz w:val="15"/>
                <w:szCs w:val="15"/>
                <w:color w:val="auto"/>
              </w:rPr>
              <w:t>Our Bylaws require that any</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shareholders to submit proposals for</w:t>
            </w: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group of shareholders (up to 20) who</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shareholder proposal, including a</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inclusion in our Proxy Statement if the</w:t>
            </w: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have owned a significant amount of</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director nomination, that is not</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shareholder and the proposal meet the</w:t>
            </w: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common stock (at least 3%) for a</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submitted for inclusion in next year’s</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requirements specified in SEC Rule 14a-8.</w:t>
            </w: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significant amount of time (at least</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Proxy Statement (either under SEC</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three years) to submit director</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Rule 14a-8 or our proxy access</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nominees (up to 20% of the Board or</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bylaw), but is instead sought to be</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two directors, whichever is greater)</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presented directly at the next year’s</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for inclusion in our Proxy Statement if</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Annual Meeting must be received at</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the shareholder(s) and the</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our principal executive offices no</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nominee(s) satisfy the requirements</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earlier than 180 days and no later</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specified in our Bylaws.</w:t>
            </w: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than 120 days before the first</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2720" w:type="dxa"/>
            <w:vAlign w:val="bottom"/>
            <w:tcBorders>
              <w:right w:val="single" w:sz="8" w:color="00A1DF"/>
            </w:tcBorders>
          </w:tcPr>
          <w:p>
            <w:pPr>
              <w:ind w:left="100"/>
              <w:spacing w:after="0" w:line="162" w:lineRule="exact"/>
              <w:rPr>
                <w:sz w:val="20"/>
                <w:szCs w:val="20"/>
                <w:color w:val="auto"/>
              </w:rPr>
            </w:pPr>
            <w:r>
              <w:rPr>
                <w:rFonts w:ascii="Arial" w:cs="Arial" w:eastAsia="Arial" w:hAnsi="Arial"/>
                <w:sz w:val="15"/>
                <w:szCs w:val="15"/>
                <w:color w:val="auto"/>
              </w:rPr>
              <w:t>anniversary of this year’s Annual</w:t>
            </w:r>
          </w:p>
        </w:tc>
      </w:tr>
      <w:tr>
        <w:trPr>
          <w:trHeight w:val="184"/>
        </w:trPr>
        <w:tc>
          <w:tcPr>
            <w:tcW w:w="2580" w:type="dxa"/>
            <w:vAlign w:val="bottom"/>
            <w:tcBorders>
              <w:left w:val="single" w:sz="8" w:color="00A1DF"/>
              <w:right w:val="single" w:sz="8" w:color="auto"/>
            </w:tcBorders>
          </w:tcPr>
          <w:p>
            <w:pPr>
              <w:spacing w:after="0"/>
              <w:rPr>
                <w:sz w:val="16"/>
                <w:szCs w:val="16"/>
                <w:color w:val="auto"/>
              </w:rPr>
            </w:pPr>
          </w:p>
        </w:tc>
        <w:tc>
          <w:tcPr>
            <w:tcW w:w="306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2720" w:type="dxa"/>
            <w:vAlign w:val="bottom"/>
            <w:tcBorders>
              <w:right w:val="single" w:sz="8" w:color="00A1DF"/>
            </w:tcBorders>
          </w:tcPr>
          <w:p>
            <w:pPr>
              <w:ind w:left="100"/>
              <w:spacing w:after="0"/>
              <w:rPr>
                <w:sz w:val="20"/>
                <w:szCs w:val="20"/>
                <w:color w:val="auto"/>
              </w:rPr>
            </w:pPr>
            <w:r>
              <w:rPr>
                <w:rFonts w:ascii="Arial" w:cs="Arial" w:eastAsia="Arial" w:hAnsi="Arial"/>
                <w:sz w:val="15"/>
                <w:szCs w:val="15"/>
                <w:color w:val="auto"/>
              </w:rPr>
              <w:t>Meeting.</w:t>
            </w:r>
          </w:p>
        </w:tc>
      </w:tr>
      <w:tr>
        <w:trPr>
          <w:trHeight w:val="62"/>
        </w:trPr>
        <w:tc>
          <w:tcPr>
            <w:tcW w:w="2580" w:type="dxa"/>
            <w:vAlign w:val="bottom"/>
            <w:tcBorders>
              <w:left w:val="single" w:sz="8" w:color="00A1DF"/>
              <w:bottom w:val="single" w:sz="8" w:color="auto"/>
              <w:right w:val="single" w:sz="8" w:color="auto"/>
            </w:tcBorders>
          </w:tcPr>
          <w:p>
            <w:pPr>
              <w:spacing w:after="0"/>
              <w:rPr>
                <w:sz w:val="5"/>
                <w:szCs w:val="5"/>
                <w:color w:val="auto"/>
              </w:rPr>
            </w:pPr>
          </w:p>
        </w:tc>
        <w:tc>
          <w:tcPr>
            <w:tcW w:w="30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00A1DF"/>
            </w:tcBorders>
          </w:tcPr>
          <w:p>
            <w:pPr>
              <w:spacing w:after="0"/>
              <w:rPr>
                <w:sz w:val="5"/>
                <w:szCs w:val="5"/>
                <w:color w:val="auto"/>
              </w:rPr>
            </w:pPr>
          </w:p>
        </w:tc>
      </w:tr>
      <w:tr>
        <w:trPr>
          <w:trHeight w:val="201"/>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When to Send These Proposals</w:t>
            </w: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Proposals must be received at our principal</w:t>
            </w:r>
          </w:p>
        </w:tc>
        <w:tc>
          <w:tcPr>
            <w:tcW w:w="5380" w:type="dxa"/>
            <w:vAlign w:val="bottom"/>
            <w:tcBorders>
              <w:right w:val="single" w:sz="8" w:color="00A1DF"/>
            </w:tcBorders>
            <w:gridSpan w:val="2"/>
          </w:tcPr>
          <w:p>
            <w:pPr>
              <w:ind w:left="60"/>
              <w:spacing w:after="0"/>
              <w:rPr>
                <w:sz w:val="20"/>
                <w:szCs w:val="20"/>
                <w:color w:val="auto"/>
              </w:rPr>
            </w:pPr>
            <w:r>
              <w:rPr>
                <w:rFonts w:ascii="Arial" w:cs="Arial" w:eastAsia="Arial" w:hAnsi="Arial"/>
                <w:sz w:val="15"/>
                <w:szCs w:val="15"/>
                <w:color w:val="auto"/>
              </w:rPr>
              <w:t xml:space="preserve">Proposals must be sent no earlier than </w:t>
            </w:r>
            <w:r>
              <w:rPr>
                <w:rFonts w:ascii="Arial" w:cs="Arial" w:eastAsia="Arial" w:hAnsi="Arial"/>
                <w:sz w:val="15"/>
                <w:szCs w:val="15"/>
                <w:b w:val="1"/>
                <w:bCs w:val="1"/>
                <w:color w:val="auto"/>
              </w:rPr>
              <w:t>December 7, 2019</w:t>
            </w:r>
            <w:r>
              <w:rPr>
                <w:rFonts w:ascii="Arial" w:cs="Arial" w:eastAsia="Arial" w:hAnsi="Arial"/>
                <w:sz w:val="15"/>
                <w:szCs w:val="15"/>
                <w:color w:val="auto"/>
              </w:rPr>
              <w:t>, and no later than</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executive offices no later than 11:59 p.m.</w:t>
            </w:r>
          </w:p>
        </w:tc>
        <w:tc>
          <w:tcPr>
            <w:tcW w:w="5380" w:type="dxa"/>
            <w:vAlign w:val="bottom"/>
            <w:tcBorders>
              <w:right w:val="single" w:sz="8" w:color="00A1DF"/>
            </w:tcBorders>
            <w:gridSpan w:val="2"/>
          </w:tcPr>
          <w:p>
            <w:pPr>
              <w:ind w:left="60"/>
              <w:spacing w:after="0" w:line="162" w:lineRule="exact"/>
              <w:rPr>
                <w:sz w:val="20"/>
                <w:szCs w:val="20"/>
                <w:color w:val="auto"/>
              </w:rPr>
            </w:pPr>
            <w:r>
              <w:rPr>
                <w:rFonts w:ascii="Arial" w:cs="Arial" w:eastAsia="Arial" w:hAnsi="Arial"/>
                <w:sz w:val="15"/>
                <w:szCs w:val="15"/>
                <w:color w:val="auto"/>
              </w:rPr>
              <w:t xml:space="preserve">11:59 p.m. Eastern Time on </w:t>
            </w:r>
            <w:r>
              <w:rPr>
                <w:rFonts w:ascii="Arial" w:cs="Arial" w:eastAsia="Arial" w:hAnsi="Arial"/>
                <w:sz w:val="15"/>
                <w:szCs w:val="15"/>
                <w:b w:val="1"/>
                <w:bCs w:val="1"/>
                <w:color w:val="auto"/>
              </w:rPr>
              <w:t>February 5, 2020.</w:t>
            </w:r>
          </w:p>
        </w:tc>
      </w:tr>
      <w:tr>
        <w:trPr>
          <w:trHeight w:val="202"/>
        </w:trPr>
        <w:tc>
          <w:tcPr>
            <w:tcW w:w="2580" w:type="dxa"/>
            <w:vAlign w:val="bottom"/>
            <w:tcBorders>
              <w:left w:val="single" w:sz="8" w:color="00A1DF"/>
              <w:right w:val="single" w:sz="8" w:color="auto"/>
            </w:tcBorders>
          </w:tcPr>
          <w:p>
            <w:pPr>
              <w:spacing w:after="0"/>
              <w:rPr>
                <w:sz w:val="17"/>
                <w:szCs w:val="17"/>
                <w:color w:val="auto"/>
              </w:rPr>
            </w:pP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Eastern Time on </w:t>
            </w:r>
            <w:r>
              <w:rPr>
                <w:rFonts w:ascii="Arial" w:cs="Arial" w:eastAsia="Arial" w:hAnsi="Arial"/>
                <w:sz w:val="15"/>
                <w:szCs w:val="15"/>
                <w:b w:val="1"/>
                <w:bCs w:val="1"/>
                <w:color w:val="auto"/>
              </w:rPr>
              <w:t>December 20, 2019</w:t>
            </w:r>
            <w:r>
              <w:rPr>
                <w:rFonts w:ascii="Arial" w:cs="Arial" w:eastAsia="Arial" w:hAnsi="Arial"/>
                <w:sz w:val="15"/>
                <w:szCs w:val="15"/>
                <w:color w:val="auto"/>
              </w:rPr>
              <w:t>.</w:t>
            </w:r>
          </w:p>
        </w:tc>
        <w:tc>
          <w:tcPr>
            <w:tcW w:w="2660" w:type="dxa"/>
            <w:vAlign w:val="bottom"/>
          </w:tcPr>
          <w:p>
            <w:pPr>
              <w:spacing w:after="0"/>
              <w:rPr>
                <w:sz w:val="17"/>
                <w:szCs w:val="17"/>
                <w:color w:val="auto"/>
              </w:rPr>
            </w:pPr>
          </w:p>
        </w:tc>
        <w:tc>
          <w:tcPr>
            <w:tcW w:w="2720" w:type="dxa"/>
            <w:vAlign w:val="bottom"/>
            <w:tcBorders>
              <w:right w:val="single" w:sz="8" w:color="00A1DF"/>
            </w:tcBorders>
          </w:tcPr>
          <w:p>
            <w:pPr>
              <w:spacing w:after="0"/>
              <w:rPr>
                <w:sz w:val="17"/>
                <w:szCs w:val="17"/>
                <w:color w:val="auto"/>
              </w:rPr>
            </w:pPr>
          </w:p>
        </w:tc>
      </w:tr>
      <w:tr>
        <w:trPr>
          <w:trHeight w:val="62"/>
        </w:trPr>
        <w:tc>
          <w:tcPr>
            <w:tcW w:w="2580" w:type="dxa"/>
            <w:vAlign w:val="bottom"/>
            <w:tcBorders>
              <w:left w:val="single" w:sz="8" w:color="00A1DF"/>
              <w:bottom w:val="single" w:sz="8" w:color="auto"/>
              <w:right w:val="single" w:sz="8" w:color="auto"/>
            </w:tcBorders>
          </w:tcPr>
          <w:p>
            <w:pPr>
              <w:spacing w:after="0"/>
              <w:rPr>
                <w:sz w:val="5"/>
                <w:szCs w:val="5"/>
                <w:color w:val="auto"/>
              </w:rPr>
            </w:pPr>
          </w:p>
        </w:tc>
        <w:tc>
          <w:tcPr>
            <w:tcW w:w="30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00A1DF"/>
            </w:tcBorders>
          </w:tcPr>
          <w:p>
            <w:pPr>
              <w:spacing w:after="0"/>
              <w:rPr>
                <w:sz w:val="5"/>
                <w:szCs w:val="5"/>
                <w:color w:val="auto"/>
              </w:rPr>
            </w:pPr>
          </w:p>
        </w:tc>
      </w:tr>
      <w:tr>
        <w:trPr>
          <w:trHeight w:val="203"/>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Where to Send These Proposals</w:t>
            </w:r>
          </w:p>
        </w:tc>
        <w:tc>
          <w:tcPr>
            <w:tcW w:w="8440" w:type="dxa"/>
            <w:vAlign w:val="bottom"/>
            <w:tcBorders>
              <w:right w:val="single" w:sz="8" w:color="00A1DF"/>
            </w:tcBorders>
            <w:gridSpan w:val="3"/>
          </w:tcPr>
          <w:p>
            <w:pPr>
              <w:ind w:left="80"/>
              <w:spacing w:after="0"/>
              <w:rPr>
                <w:sz w:val="20"/>
                <w:szCs w:val="20"/>
                <w:color w:val="auto"/>
              </w:rPr>
            </w:pPr>
            <w:r>
              <w:rPr>
                <w:rFonts w:ascii="Arial" w:cs="Arial" w:eastAsia="Arial" w:hAnsi="Arial"/>
                <w:sz w:val="15"/>
                <w:szCs w:val="15"/>
                <w:color w:val="auto"/>
              </w:rPr>
              <w:t>Mail proposals to our Corporate Secretary at Mail Code 482-C24-A68, 300 Renaissance Center, Detroit, Michigan 48265,</w:t>
            </w:r>
          </w:p>
        </w:tc>
      </w:tr>
      <w:tr>
        <w:trPr>
          <w:trHeight w:val="200"/>
        </w:trPr>
        <w:tc>
          <w:tcPr>
            <w:tcW w:w="2580" w:type="dxa"/>
            <w:vAlign w:val="bottom"/>
            <w:tcBorders>
              <w:left w:val="single" w:sz="8" w:color="00A1DF"/>
              <w:right w:val="single" w:sz="8" w:color="auto"/>
            </w:tcBorders>
          </w:tcPr>
          <w:p>
            <w:pPr>
              <w:spacing w:after="0"/>
              <w:rPr>
                <w:sz w:val="17"/>
                <w:szCs w:val="17"/>
                <w:color w:val="auto"/>
              </w:rPr>
            </w:pPr>
          </w:p>
        </w:tc>
        <w:tc>
          <w:tcPr>
            <w:tcW w:w="5720" w:type="dxa"/>
            <w:vAlign w:val="bottom"/>
            <w:gridSpan w:val="2"/>
          </w:tcPr>
          <w:p>
            <w:pPr>
              <w:ind w:left="80"/>
              <w:spacing w:after="0"/>
              <w:rPr>
                <w:sz w:val="20"/>
                <w:szCs w:val="20"/>
                <w:color w:val="auto"/>
              </w:rPr>
            </w:pPr>
            <w:r>
              <w:rPr>
                <w:rFonts w:ascii="Arial" w:cs="Arial" w:eastAsia="Arial" w:hAnsi="Arial"/>
                <w:sz w:val="15"/>
                <w:szCs w:val="15"/>
                <w:color w:val="auto"/>
              </w:rPr>
              <w:t xml:space="preserve">or send proposals by e-mail to </w:t>
            </w:r>
            <w:r>
              <w:rPr>
                <w:rFonts w:ascii="Arial" w:cs="Arial" w:eastAsia="Arial" w:hAnsi="Arial"/>
                <w:sz w:val="15"/>
                <w:szCs w:val="15"/>
                <w:i w:val="1"/>
                <w:iCs w:val="1"/>
                <w:color w:val="auto"/>
              </w:rPr>
              <w:t>shareholder.relations@gm.com.</w:t>
            </w:r>
          </w:p>
        </w:tc>
        <w:tc>
          <w:tcPr>
            <w:tcW w:w="2720" w:type="dxa"/>
            <w:vAlign w:val="bottom"/>
            <w:tcBorders>
              <w:right w:val="single" w:sz="8" w:color="00A1DF"/>
            </w:tcBorders>
          </w:tcPr>
          <w:p>
            <w:pPr>
              <w:spacing w:after="0"/>
              <w:rPr>
                <w:sz w:val="17"/>
                <w:szCs w:val="17"/>
                <w:color w:val="auto"/>
              </w:rPr>
            </w:pPr>
          </w:p>
        </w:tc>
      </w:tr>
      <w:tr>
        <w:trPr>
          <w:trHeight w:val="62"/>
        </w:trPr>
        <w:tc>
          <w:tcPr>
            <w:tcW w:w="2580" w:type="dxa"/>
            <w:vAlign w:val="bottom"/>
            <w:tcBorders>
              <w:left w:val="single" w:sz="8" w:color="00A1DF"/>
              <w:bottom w:val="single" w:sz="8" w:color="auto"/>
              <w:right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00A1DF"/>
            </w:tcBorders>
          </w:tcPr>
          <w:p>
            <w:pPr>
              <w:spacing w:after="0"/>
              <w:rPr>
                <w:sz w:val="5"/>
                <w:szCs w:val="5"/>
                <w:color w:val="auto"/>
              </w:rPr>
            </w:pPr>
          </w:p>
        </w:tc>
      </w:tr>
      <w:tr>
        <w:trPr>
          <w:trHeight w:val="219"/>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What to Include</w:t>
            </w: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Proposals must conform to and include the</w:t>
            </w:r>
          </w:p>
        </w:tc>
        <w:tc>
          <w:tcPr>
            <w:tcW w:w="5380" w:type="dxa"/>
            <w:vAlign w:val="bottom"/>
            <w:tcBorders>
              <w:right w:val="single" w:sz="8" w:color="00A1DF"/>
            </w:tcBorders>
            <w:gridSpan w:val="2"/>
          </w:tcPr>
          <w:p>
            <w:pPr>
              <w:ind w:left="60"/>
              <w:spacing w:after="0"/>
              <w:rPr>
                <w:sz w:val="20"/>
                <w:szCs w:val="20"/>
                <w:color w:val="auto"/>
              </w:rPr>
            </w:pPr>
            <w:r>
              <w:rPr>
                <w:rFonts w:ascii="Arial" w:cs="Arial" w:eastAsia="Arial" w:hAnsi="Arial"/>
                <w:sz w:val="15"/>
                <w:szCs w:val="15"/>
                <w:color w:val="auto"/>
              </w:rPr>
              <w:t>Proposals must include information required by our Bylaws, which are</w:t>
            </w:r>
          </w:p>
        </w:tc>
      </w:tr>
      <w:tr>
        <w:trPr>
          <w:trHeight w:val="146"/>
        </w:trPr>
        <w:tc>
          <w:tcPr>
            <w:tcW w:w="2580" w:type="dxa"/>
            <w:vAlign w:val="bottom"/>
            <w:tcBorders>
              <w:left w:val="single" w:sz="8" w:color="00A1DF"/>
              <w:right w:val="single" w:sz="8" w:color="auto"/>
            </w:tcBorders>
          </w:tcPr>
          <w:p>
            <w:pPr>
              <w:spacing w:after="0"/>
              <w:rPr>
                <w:sz w:val="12"/>
                <w:szCs w:val="12"/>
                <w:color w:val="auto"/>
              </w:rPr>
            </w:pPr>
          </w:p>
        </w:tc>
        <w:tc>
          <w:tcPr>
            <w:tcW w:w="30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information required by SEC Rule 14a-8.</w:t>
            </w:r>
          </w:p>
        </w:tc>
        <w:tc>
          <w:tcPr>
            <w:tcW w:w="2660" w:type="dxa"/>
            <w:vAlign w:val="bottom"/>
          </w:tcPr>
          <w:p>
            <w:pPr>
              <w:ind w:left="60"/>
              <w:spacing w:after="0" w:line="146" w:lineRule="exact"/>
              <w:rPr>
                <w:sz w:val="20"/>
                <w:szCs w:val="20"/>
                <w:color w:val="auto"/>
              </w:rPr>
            </w:pPr>
            <w:r>
              <w:rPr>
                <w:rFonts w:ascii="Arial" w:cs="Arial" w:eastAsia="Arial" w:hAnsi="Arial"/>
                <w:sz w:val="15"/>
                <w:szCs w:val="15"/>
                <w:color w:val="auto"/>
              </w:rPr>
              <w:t>available on our website at</w:t>
            </w:r>
          </w:p>
        </w:tc>
        <w:tc>
          <w:tcPr>
            <w:tcW w:w="2720" w:type="dxa"/>
            <w:vAlign w:val="bottom"/>
            <w:tcBorders>
              <w:right w:val="single" w:sz="8" w:color="00A1DF"/>
            </w:tcBorders>
          </w:tcPr>
          <w:p>
            <w:pPr>
              <w:spacing w:after="0"/>
              <w:rPr>
                <w:sz w:val="12"/>
                <w:szCs w:val="12"/>
                <w:color w:val="auto"/>
              </w:rPr>
            </w:pPr>
          </w:p>
        </w:tc>
      </w:tr>
      <w:tr>
        <w:trPr>
          <w:trHeight w:val="204"/>
        </w:trPr>
        <w:tc>
          <w:tcPr>
            <w:tcW w:w="2580" w:type="dxa"/>
            <w:vAlign w:val="bottom"/>
            <w:tcBorders>
              <w:left w:val="single" w:sz="8" w:color="00A1DF"/>
              <w:bottom w:val="single" w:sz="8" w:color="0033A0"/>
              <w:right w:val="single" w:sz="8" w:color="auto"/>
            </w:tcBorders>
          </w:tcPr>
          <w:p>
            <w:pPr>
              <w:spacing w:after="0"/>
              <w:rPr>
                <w:sz w:val="17"/>
                <w:szCs w:val="17"/>
                <w:color w:val="auto"/>
              </w:rPr>
            </w:pPr>
          </w:p>
        </w:tc>
        <w:tc>
          <w:tcPr>
            <w:tcW w:w="3060" w:type="dxa"/>
            <w:vAlign w:val="bottom"/>
            <w:tcBorders>
              <w:bottom w:val="single" w:sz="8" w:color="0033A0"/>
              <w:right w:val="single" w:sz="8" w:color="auto"/>
            </w:tcBorders>
          </w:tcPr>
          <w:p>
            <w:pPr>
              <w:spacing w:after="0"/>
              <w:rPr>
                <w:sz w:val="17"/>
                <w:szCs w:val="17"/>
                <w:color w:val="auto"/>
              </w:rPr>
            </w:pPr>
          </w:p>
        </w:tc>
        <w:tc>
          <w:tcPr>
            <w:tcW w:w="2660" w:type="dxa"/>
            <w:vAlign w:val="bottom"/>
            <w:tcBorders>
              <w:bottom w:val="single" w:sz="8" w:color="0033A0"/>
            </w:tcBorders>
          </w:tcPr>
          <w:p>
            <w:pPr>
              <w:ind w:left="60"/>
              <w:spacing w:after="0"/>
              <w:rPr>
                <w:sz w:val="20"/>
                <w:szCs w:val="20"/>
                <w:color w:val="auto"/>
              </w:rPr>
            </w:pPr>
            <w:r>
              <w:rPr>
                <w:rFonts w:ascii="Arial" w:cs="Arial" w:eastAsia="Arial" w:hAnsi="Arial"/>
                <w:sz w:val="15"/>
                <w:szCs w:val="15"/>
                <w:i w:val="1"/>
                <w:iCs w:val="1"/>
                <w:color w:val="00A1DF"/>
              </w:rPr>
              <w:t>investor/gm.com/resources.</w:t>
            </w:r>
          </w:p>
        </w:tc>
        <w:tc>
          <w:tcPr>
            <w:tcW w:w="2720" w:type="dxa"/>
            <w:vAlign w:val="bottom"/>
            <w:tcBorders>
              <w:bottom w:val="single" w:sz="8" w:color="0033A0"/>
              <w:right w:val="single" w:sz="8" w:color="00A1DF"/>
            </w:tcBorders>
          </w:tcPr>
          <w:p>
            <w:pPr>
              <w:spacing w:after="0"/>
              <w:rPr>
                <w:sz w:val="17"/>
                <w:szCs w:val="17"/>
                <w:color w:val="auto"/>
              </w:rPr>
            </w:pPr>
          </w:p>
        </w:tc>
      </w:tr>
    </w:tbl>
    <w:p>
      <w:pPr>
        <w:spacing w:after="0" w:line="339" w:lineRule="exact"/>
        <w:rPr>
          <w:sz w:val="20"/>
          <w:szCs w:val="20"/>
          <w:color w:val="auto"/>
        </w:rPr>
      </w:pPr>
    </w:p>
    <w:p>
      <w:pPr>
        <w:ind w:left="640" w:hanging="430"/>
        <w:spacing w:after="0"/>
        <w:tabs>
          <w:tab w:leader="none" w:pos="640" w:val="left"/>
        </w:tabs>
        <w:numPr>
          <w:ilvl w:val="0"/>
          <w:numId w:val="145"/>
        </w:numPr>
        <w:rPr>
          <w:rFonts w:ascii="Arial" w:cs="Arial" w:eastAsia="Arial" w:hAnsi="Arial"/>
          <w:sz w:val="25"/>
          <w:szCs w:val="25"/>
          <w:color w:val="0033A0"/>
        </w:rPr>
      </w:pPr>
      <w:r>
        <w:rPr>
          <w:rFonts w:ascii="Arial" w:cs="Arial" w:eastAsia="Arial" w:hAnsi="Arial"/>
          <w:sz w:val="25"/>
          <w:szCs w:val="25"/>
          <w:color w:val="auto"/>
        </w:rPr>
        <w:t>Annual Report on Form 10-K and Other Investor Materials</w:t>
      </w:r>
    </w:p>
    <w:p>
      <w:pPr>
        <w:spacing w:after="0" w:line="102" w:lineRule="exact"/>
        <w:rPr>
          <w:sz w:val="20"/>
          <w:szCs w:val="20"/>
          <w:color w:val="auto"/>
        </w:rPr>
      </w:pPr>
    </w:p>
    <w:p>
      <w:pPr>
        <w:jc w:val="both"/>
        <w:ind w:left="220" w:right="20"/>
        <w:spacing w:after="0" w:line="257" w:lineRule="auto"/>
        <w:rPr>
          <w:sz w:val="20"/>
          <w:szCs w:val="20"/>
          <w:color w:val="auto"/>
        </w:rPr>
      </w:pPr>
      <w:r>
        <w:rPr>
          <w:rFonts w:ascii="Arial" w:cs="Arial" w:eastAsia="Arial" w:hAnsi="Arial"/>
          <w:sz w:val="16"/>
          <w:szCs w:val="16"/>
          <w:color w:val="auto"/>
        </w:rPr>
        <w:t xml:space="preserve">You may download a copy of our 2018 Annual Report on Form 10-K by visiting the “SEC Filings” section of our website at </w:t>
      </w:r>
      <w:r>
        <w:rPr>
          <w:rFonts w:ascii="Arial" w:cs="Arial" w:eastAsia="Arial" w:hAnsi="Arial"/>
          <w:sz w:val="16"/>
          <w:szCs w:val="16"/>
          <w:i w:val="1"/>
          <w:iCs w:val="1"/>
          <w:color w:val="00A1DF"/>
        </w:rPr>
        <w:t>investor.gm.com/sec-filings.</w:t>
      </w:r>
      <w:r>
        <w:rPr>
          <w:rFonts w:ascii="Arial" w:cs="Arial" w:eastAsia="Arial" w:hAnsi="Arial"/>
          <w:sz w:val="16"/>
          <w:szCs w:val="16"/>
          <w:color w:val="auto"/>
        </w:rPr>
        <w:t xml:space="preserve"> Other publications available for download at this website include our Proxy Statement and our quarterly reports on Form 10-Q, and our code of conduct, “Winning with Integrity.” Alternatively, you may request a printed copy of these publications by writing to Shareholder Relations at General Motors Company, Mail Code: 482-C23-A68, 300 Renaissance Center, Detroit, Michigan 48265 or by e-mail to </w:t>
      </w:r>
      <w:r>
        <w:rPr>
          <w:rFonts w:ascii="Arial" w:cs="Arial" w:eastAsia="Arial" w:hAnsi="Arial"/>
          <w:sz w:val="16"/>
          <w:szCs w:val="16"/>
          <w:i w:val="1"/>
          <w:iCs w:val="1"/>
          <w:color w:val="auto"/>
        </w:rPr>
        <w:t>shareholder.relations@gm.com.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82550</wp:posOffset>
            </wp:positionV>
            <wp:extent cx="6852920" cy="145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80</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wp:posOffset>
            </wp:positionV>
            <wp:extent cx="698944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40" w:hanging="430"/>
        <w:spacing w:after="0"/>
        <w:tabs>
          <w:tab w:leader="none" w:pos="640" w:val="left"/>
        </w:tabs>
        <w:numPr>
          <w:ilvl w:val="0"/>
          <w:numId w:val="146"/>
        </w:numPr>
        <w:rPr>
          <w:rFonts w:ascii="Arial" w:cs="Arial" w:eastAsia="Arial" w:hAnsi="Arial"/>
          <w:sz w:val="25"/>
          <w:szCs w:val="25"/>
          <w:color w:val="0033A0"/>
        </w:rPr>
      </w:pPr>
      <w:r>
        <w:rPr>
          <w:rFonts w:ascii="Arial" w:cs="Arial" w:eastAsia="Arial" w:hAnsi="Arial"/>
          <w:sz w:val="25"/>
          <w:szCs w:val="25"/>
          <w:color w:val="auto"/>
        </w:rPr>
        <w:t>Cost of Proxy Solicitation</w:t>
      </w:r>
    </w:p>
    <w:p>
      <w:pPr>
        <w:spacing w:after="0" w:line="11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We will pay our cost for soliciting proxies for the Annual Meeting. The Company will distribute proxy materials and follow-up reminders, if any, by mail and electronic means. We have engaged Morrow Sodali, LLC (“Morrow”), a professional proxy solicitation firm, located at 470 West Avenue, Stamford, Connecticut 06902 to assist with the solicitation of proxies and to provide related advice and informational support for a service fee, plus customary disbursements. We expect to pay Morrow an aggregate fee, including reasonable out-of-pocket expenses, of up to $25,000, depending on the level of services actually provided. GM directors, officers, and employees may also solicit proxies by mail, telephone, or personal visits. They will not receive any additional compensation for their services.</w:t>
      </w:r>
    </w:p>
    <w:p>
      <w:pPr>
        <w:spacing w:after="0" w:line="96"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General Motors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6758305" cy="1282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16" w:lineRule="exact"/>
        <w:rPr>
          <w:sz w:val="20"/>
          <w:szCs w:val="20"/>
          <w:color w:val="auto"/>
        </w:rPr>
      </w:pPr>
    </w:p>
    <w:p>
      <w:pPr>
        <w:jc w:val="center"/>
        <w:ind w:left="10700"/>
        <w:spacing w:after="0"/>
        <w:rPr>
          <w:sz w:val="20"/>
          <w:szCs w:val="20"/>
          <w:color w:val="auto"/>
        </w:rPr>
      </w:pPr>
      <w:r>
        <w:rPr>
          <w:rFonts w:ascii="Arial" w:cs="Arial" w:eastAsia="Arial" w:hAnsi="Arial"/>
          <w:sz w:val="14"/>
          <w:szCs w:val="14"/>
          <w:color w:val="0033A0"/>
        </w:rPr>
        <w:t>81</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20"/>
        <w:spacing w:after="0"/>
        <w:rPr>
          <w:sz w:val="20"/>
          <w:szCs w:val="20"/>
          <w:color w:val="auto"/>
        </w:rPr>
      </w:pPr>
      <w:r>
        <w:rPr>
          <w:rFonts w:ascii="Arial" w:cs="Arial" w:eastAsia="Arial" w:hAnsi="Arial"/>
          <w:sz w:val="37"/>
          <w:szCs w:val="37"/>
          <w:b w:val="1"/>
          <w:bCs w:val="1"/>
          <w:color w:val="00A1DF"/>
        </w:rPr>
        <w:t xml:space="preserve">APPENDIX A: </w:t>
      </w:r>
      <w:r>
        <w:rPr>
          <w:rFonts w:ascii="Arial" w:cs="Arial" w:eastAsia="Arial" w:hAnsi="Arial"/>
          <w:sz w:val="37"/>
          <w:szCs w:val="37"/>
          <w:color w:val="0033A0"/>
        </w:rPr>
        <w:t>NON-GAAP FINANCIAL MEASURES</w:t>
      </w:r>
    </w:p>
    <w:p>
      <w:pPr>
        <w:spacing w:after="0" w:line="354"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Non-GAAP Reconciliations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Our Company reports its financial results in accordance with generally accepted accounting principles in the United States (“GAAP”). However, management believes that certain non-GAAP financial measures provide users with additional meaningful financial information.</w:t>
      </w:r>
    </w:p>
    <w:p>
      <w:pPr>
        <w:spacing w:after="0" w:line="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Our non-GAAP measures presented in this Proxy Statement include earnings before interest and taxes (“EBIT”)–adjusted, presented net of noncontrolling interests, earnings per share (“EPS”)–diluted–adjusted, and ROIC-adjusted. These measures relate to our continuing operations and not our discontinued operations. Our calculation of these non-GAAP measures may</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2018, and our subsequent filings with the SEC for additional information about the non-GAAP measures presented herein, including a description of the use of such measures. The numbers in the tables below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419735</wp:posOffset>
            </wp:positionV>
            <wp:extent cx="69894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6280" w:type="dxa"/>
            <w:vAlign w:val="bottom"/>
          </w:tcPr>
          <w:p>
            <w:pPr>
              <w:spacing w:after="0"/>
              <w:rPr>
                <w:sz w:val="20"/>
                <w:szCs w:val="20"/>
                <w:color w:val="auto"/>
              </w:rPr>
            </w:pPr>
            <w:r>
              <w:rPr>
                <w:rFonts w:ascii="Arial" w:cs="Arial" w:eastAsia="Arial" w:hAnsi="Arial"/>
                <w:sz w:val="15"/>
                <w:szCs w:val="15"/>
                <w:b w:val="1"/>
                <w:bCs w:val="1"/>
                <w:color w:val="00A1DF"/>
              </w:rPr>
              <w:t>($B)</w:t>
            </w:r>
          </w:p>
        </w:tc>
        <w:tc>
          <w:tcPr>
            <w:tcW w:w="3620" w:type="dxa"/>
            <w:vAlign w:val="bottom"/>
          </w:tcPr>
          <w:p>
            <w:pPr>
              <w:jc w:val="right"/>
              <w:ind w:right="344"/>
              <w:spacing w:after="0"/>
              <w:rPr>
                <w:sz w:val="20"/>
                <w:szCs w:val="20"/>
                <w:color w:val="auto"/>
              </w:rPr>
            </w:pPr>
            <w:r>
              <w:rPr>
                <w:rFonts w:ascii="Arial" w:cs="Arial" w:eastAsia="Arial" w:hAnsi="Arial"/>
                <w:sz w:val="15"/>
                <w:szCs w:val="15"/>
                <w:b w:val="1"/>
                <w:bCs w:val="1"/>
                <w:color w:val="00A1DF"/>
              </w:rPr>
              <w:t>2018</w:t>
            </w:r>
          </w:p>
        </w:tc>
        <w:tc>
          <w:tcPr>
            <w:tcW w:w="1100" w:type="dxa"/>
            <w:vAlign w:val="bottom"/>
          </w:tcPr>
          <w:p>
            <w:pPr>
              <w:jc w:val="right"/>
              <w:ind w:right="244"/>
              <w:spacing w:after="0"/>
              <w:rPr>
                <w:sz w:val="20"/>
                <w:szCs w:val="20"/>
                <w:color w:val="auto"/>
              </w:rPr>
            </w:pPr>
            <w:r>
              <w:rPr>
                <w:rFonts w:ascii="Arial" w:cs="Arial" w:eastAsia="Arial" w:hAnsi="Arial"/>
                <w:sz w:val="15"/>
                <w:szCs w:val="15"/>
                <w:b w:val="1"/>
                <w:bCs w:val="1"/>
                <w:color w:val="00A1DF"/>
              </w:rPr>
              <w:t>2017</w:t>
            </w:r>
          </w:p>
        </w:tc>
      </w:tr>
      <w:tr>
        <w:trPr>
          <w:trHeight w:val="21"/>
        </w:trPr>
        <w:tc>
          <w:tcPr>
            <w:tcW w:w="6280" w:type="dxa"/>
            <w:vAlign w:val="bottom"/>
            <w:tcBorders>
              <w:bottom w:val="single" w:sz="8" w:color="00A1DF"/>
            </w:tcBorders>
          </w:tcPr>
          <w:p>
            <w:pPr>
              <w:spacing w:after="0" w:line="20" w:lineRule="exact"/>
              <w:rPr>
                <w:sz w:val="1"/>
                <w:szCs w:val="1"/>
                <w:color w:val="auto"/>
              </w:rPr>
            </w:pPr>
          </w:p>
        </w:tc>
        <w:tc>
          <w:tcPr>
            <w:tcW w:w="3620" w:type="dxa"/>
            <w:vAlign w:val="bottom"/>
            <w:tcBorders>
              <w:bottom w:val="single" w:sz="8" w:color="00A1DF"/>
            </w:tcBorders>
          </w:tcPr>
          <w:p>
            <w:pPr>
              <w:spacing w:after="0" w:line="20" w:lineRule="exact"/>
              <w:rPr>
                <w:sz w:val="1"/>
                <w:szCs w:val="1"/>
                <w:color w:val="auto"/>
              </w:rPr>
            </w:pPr>
          </w:p>
        </w:tc>
        <w:tc>
          <w:tcPr>
            <w:tcW w:w="1100" w:type="dxa"/>
            <w:vAlign w:val="bottom"/>
            <w:tcBorders>
              <w:bottom w:val="single" w:sz="8" w:color="00A1DF"/>
            </w:tcBorders>
          </w:tcPr>
          <w:p>
            <w:pPr>
              <w:spacing w:after="0" w:line="20" w:lineRule="exact"/>
              <w:rPr>
                <w:sz w:val="1"/>
                <w:szCs w:val="1"/>
                <w:color w:val="auto"/>
              </w:rPr>
            </w:pP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Net Income (Loss) Attributable to Stockholders</w:t>
            </w:r>
          </w:p>
        </w:tc>
        <w:tc>
          <w:tcPr>
            <w:tcW w:w="3620" w:type="dxa"/>
            <w:vAlign w:val="bottom"/>
          </w:tcPr>
          <w:p>
            <w:pPr>
              <w:jc w:val="right"/>
              <w:ind w:right="344"/>
              <w:spacing w:after="0"/>
              <w:rPr>
                <w:sz w:val="20"/>
                <w:szCs w:val="20"/>
                <w:color w:val="auto"/>
              </w:rPr>
            </w:pPr>
            <w:r>
              <w:rPr>
                <w:rFonts w:ascii="Arial" w:cs="Arial" w:eastAsia="Arial" w:hAnsi="Arial"/>
                <w:sz w:val="15"/>
                <w:szCs w:val="15"/>
                <w:b w:val="1"/>
                <w:bCs w:val="1"/>
                <w:color w:val="auto"/>
              </w:rPr>
              <w:t>8.0</w:t>
            </w:r>
          </w:p>
        </w:tc>
        <w:tc>
          <w:tcPr>
            <w:tcW w:w="1100" w:type="dxa"/>
            <w:vAlign w:val="bottom"/>
          </w:tcPr>
          <w:p>
            <w:pPr>
              <w:jc w:val="right"/>
              <w:ind w:right="204"/>
              <w:spacing w:after="0"/>
              <w:rPr>
                <w:sz w:val="20"/>
                <w:szCs w:val="20"/>
                <w:color w:val="auto"/>
              </w:rPr>
            </w:pPr>
            <w:r>
              <w:rPr>
                <w:rFonts w:ascii="Arial" w:cs="Arial" w:eastAsia="Arial" w:hAnsi="Arial"/>
                <w:sz w:val="15"/>
                <w:szCs w:val="15"/>
                <w:b w:val="1"/>
                <w:bCs w:val="1"/>
                <w:color w:val="auto"/>
              </w:rPr>
              <w:t>(3.9)</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Loss from Discontinued Operations, Net of Tax</w:t>
            </w:r>
          </w:p>
        </w:tc>
        <w:tc>
          <w:tcPr>
            <w:tcW w:w="3620" w:type="dxa"/>
            <w:vAlign w:val="bottom"/>
          </w:tcPr>
          <w:p>
            <w:pPr>
              <w:jc w:val="right"/>
              <w:ind w:right="344"/>
              <w:spacing w:after="0"/>
              <w:rPr>
                <w:sz w:val="20"/>
                <w:szCs w:val="20"/>
                <w:color w:val="auto"/>
              </w:rPr>
            </w:pPr>
            <w:r>
              <w:rPr>
                <w:rFonts w:ascii="Arial" w:cs="Arial" w:eastAsia="Arial" w:hAnsi="Arial"/>
                <w:sz w:val="15"/>
                <w:szCs w:val="15"/>
                <w:b w:val="1"/>
                <w:bCs w:val="1"/>
                <w:color w:val="auto"/>
              </w:rPr>
              <w:t>0.1</w:t>
            </w:r>
          </w:p>
        </w:tc>
        <w:tc>
          <w:tcPr>
            <w:tcW w:w="1100" w:type="dxa"/>
            <w:vAlign w:val="bottom"/>
          </w:tcPr>
          <w:p>
            <w:pPr>
              <w:jc w:val="right"/>
              <w:ind w:right="244"/>
              <w:spacing w:after="0"/>
              <w:rPr>
                <w:sz w:val="20"/>
                <w:szCs w:val="20"/>
                <w:color w:val="auto"/>
              </w:rPr>
            </w:pPr>
            <w:r>
              <w:rPr>
                <w:rFonts w:ascii="Arial" w:cs="Arial" w:eastAsia="Arial" w:hAnsi="Arial"/>
                <w:sz w:val="15"/>
                <w:szCs w:val="15"/>
                <w:b w:val="1"/>
                <w:bCs w:val="1"/>
                <w:color w:val="auto"/>
              </w:rPr>
              <w:t>4.2</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Subtract:</w:t>
            </w: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300"/>
              <w:spacing w:after="0"/>
              <w:rPr>
                <w:sz w:val="20"/>
                <w:szCs w:val="20"/>
                <w:color w:val="auto"/>
              </w:rPr>
            </w:pPr>
            <w:r>
              <w:rPr>
                <w:rFonts w:ascii="Arial" w:cs="Arial" w:eastAsia="Arial" w:hAnsi="Arial"/>
                <w:sz w:val="15"/>
                <w:szCs w:val="15"/>
                <w:color w:val="auto"/>
              </w:rPr>
              <w:t>Income tax expense</w:t>
            </w:r>
          </w:p>
        </w:tc>
        <w:tc>
          <w:tcPr>
            <w:tcW w:w="3620" w:type="dxa"/>
            <w:vAlign w:val="bottom"/>
          </w:tcPr>
          <w:p>
            <w:pPr>
              <w:jc w:val="right"/>
              <w:ind w:right="344"/>
              <w:spacing w:after="0"/>
              <w:rPr>
                <w:sz w:val="20"/>
                <w:szCs w:val="20"/>
                <w:color w:val="auto"/>
              </w:rPr>
            </w:pPr>
            <w:r>
              <w:rPr>
                <w:rFonts w:ascii="Arial" w:cs="Arial" w:eastAsia="Arial" w:hAnsi="Arial"/>
                <w:sz w:val="15"/>
                <w:szCs w:val="15"/>
                <w:color w:val="auto"/>
              </w:rPr>
              <w:t>0.5</w:t>
            </w:r>
          </w:p>
        </w:tc>
        <w:tc>
          <w:tcPr>
            <w:tcW w:w="1100" w:type="dxa"/>
            <w:vAlign w:val="bottom"/>
          </w:tcPr>
          <w:p>
            <w:pPr>
              <w:jc w:val="right"/>
              <w:ind w:right="244"/>
              <w:spacing w:after="0"/>
              <w:rPr>
                <w:sz w:val="20"/>
                <w:szCs w:val="20"/>
                <w:color w:val="auto"/>
              </w:rPr>
            </w:pPr>
            <w:r>
              <w:rPr>
                <w:rFonts w:ascii="Arial" w:cs="Arial" w:eastAsia="Arial" w:hAnsi="Arial"/>
                <w:sz w:val="15"/>
                <w:szCs w:val="15"/>
                <w:color w:val="auto"/>
              </w:rPr>
              <w:t>11.5</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300"/>
              <w:spacing w:after="0"/>
              <w:rPr>
                <w:sz w:val="20"/>
                <w:szCs w:val="20"/>
                <w:color w:val="auto"/>
              </w:rPr>
            </w:pPr>
            <w:r>
              <w:rPr>
                <w:rFonts w:ascii="Arial" w:cs="Arial" w:eastAsia="Arial" w:hAnsi="Arial"/>
                <w:sz w:val="15"/>
                <w:szCs w:val="15"/>
                <w:color w:val="auto"/>
              </w:rPr>
              <w:t>Automotive interest expense</w:t>
            </w:r>
          </w:p>
        </w:tc>
        <w:tc>
          <w:tcPr>
            <w:tcW w:w="3620" w:type="dxa"/>
            <w:vAlign w:val="bottom"/>
          </w:tcPr>
          <w:p>
            <w:pPr>
              <w:jc w:val="right"/>
              <w:ind w:right="344"/>
              <w:spacing w:after="0"/>
              <w:rPr>
                <w:sz w:val="20"/>
                <w:szCs w:val="20"/>
                <w:color w:val="auto"/>
              </w:rPr>
            </w:pPr>
            <w:r>
              <w:rPr>
                <w:rFonts w:ascii="Arial" w:cs="Arial" w:eastAsia="Arial" w:hAnsi="Arial"/>
                <w:sz w:val="15"/>
                <w:szCs w:val="15"/>
                <w:color w:val="auto"/>
              </w:rPr>
              <w:t>0.7</w:t>
            </w:r>
          </w:p>
        </w:tc>
        <w:tc>
          <w:tcPr>
            <w:tcW w:w="1100" w:type="dxa"/>
            <w:vAlign w:val="bottom"/>
          </w:tcPr>
          <w:p>
            <w:pPr>
              <w:jc w:val="right"/>
              <w:ind w:right="244"/>
              <w:spacing w:after="0"/>
              <w:rPr>
                <w:sz w:val="20"/>
                <w:szCs w:val="20"/>
                <w:color w:val="auto"/>
              </w:rPr>
            </w:pPr>
            <w:r>
              <w:rPr>
                <w:rFonts w:ascii="Arial" w:cs="Arial" w:eastAsia="Arial" w:hAnsi="Arial"/>
                <w:sz w:val="15"/>
                <w:szCs w:val="15"/>
                <w:color w:val="auto"/>
              </w:rPr>
              <w:t>0.6</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300"/>
              <w:spacing w:after="0"/>
              <w:rPr>
                <w:sz w:val="20"/>
                <w:szCs w:val="20"/>
                <w:color w:val="auto"/>
              </w:rPr>
            </w:pPr>
            <w:r>
              <w:rPr>
                <w:rFonts w:ascii="Arial" w:cs="Arial" w:eastAsia="Arial" w:hAnsi="Arial"/>
                <w:sz w:val="15"/>
                <w:szCs w:val="15"/>
                <w:color w:val="auto"/>
              </w:rPr>
              <w:t>Automotive interest income</w:t>
            </w:r>
          </w:p>
        </w:tc>
        <w:tc>
          <w:tcPr>
            <w:tcW w:w="3620" w:type="dxa"/>
            <w:vAlign w:val="bottom"/>
          </w:tcPr>
          <w:p>
            <w:pPr>
              <w:jc w:val="right"/>
              <w:ind w:right="284"/>
              <w:spacing w:after="0"/>
              <w:rPr>
                <w:sz w:val="20"/>
                <w:szCs w:val="20"/>
                <w:color w:val="auto"/>
              </w:rPr>
            </w:pPr>
            <w:r>
              <w:rPr>
                <w:rFonts w:ascii="Arial" w:cs="Arial" w:eastAsia="Arial" w:hAnsi="Arial"/>
                <w:sz w:val="15"/>
                <w:szCs w:val="15"/>
                <w:color w:val="auto"/>
              </w:rPr>
              <w:t>(0.3)</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(0.3)</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Add Back Special Items:</w:t>
            </w: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6280" w:type="dxa"/>
            <w:vAlign w:val="bottom"/>
            <w:tcBorders>
              <w:bottom w:val="single" w:sz="8" w:color="auto"/>
            </w:tcBorders>
          </w:tcPr>
          <w:p>
            <w:pPr>
              <w:ind w:left="300"/>
              <w:spacing w:after="0" w:line="236" w:lineRule="exact"/>
              <w:rPr>
                <w:sz w:val="20"/>
                <w:szCs w:val="20"/>
                <w:color w:val="auto"/>
              </w:rPr>
            </w:pPr>
            <w:r>
              <w:rPr>
                <w:rFonts w:ascii="Arial" w:cs="Arial" w:eastAsia="Arial" w:hAnsi="Arial"/>
                <w:sz w:val="15"/>
                <w:szCs w:val="15"/>
                <w:color w:val="auto"/>
              </w:rPr>
              <w:t>Transformation activities</w:t>
            </w:r>
            <w:r>
              <w:rPr>
                <w:rFonts w:ascii="Arial" w:cs="Arial" w:eastAsia="Arial" w:hAnsi="Arial"/>
                <w:sz w:val="25"/>
                <w:szCs w:val="25"/>
                <w:color w:val="auto"/>
                <w:vertAlign w:val="superscript"/>
              </w:rPr>
              <w:t>(1)</w:t>
            </w:r>
          </w:p>
        </w:tc>
        <w:tc>
          <w:tcPr>
            <w:tcW w:w="36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1.3</w:t>
            </w:r>
          </w:p>
        </w:tc>
        <w:tc>
          <w:tcPr>
            <w:tcW w:w="11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w:t>
            </w:r>
          </w:p>
        </w:tc>
      </w:tr>
      <w:tr>
        <w:trPr>
          <w:trHeight w:val="236"/>
        </w:trPr>
        <w:tc>
          <w:tcPr>
            <w:tcW w:w="6280" w:type="dxa"/>
            <w:vAlign w:val="bottom"/>
            <w:tcBorders>
              <w:bottom w:val="single" w:sz="8" w:color="auto"/>
            </w:tcBorders>
          </w:tcPr>
          <w:p>
            <w:pPr>
              <w:ind w:left="300"/>
              <w:spacing w:after="0" w:line="236" w:lineRule="exact"/>
              <w:rPr>
                <w:sz w:val="20"/>
                <w:szCs w:val="20"/>
                <w:color w:val="auto"/>
              </w:rPr>
            </w:pPr>
            <w:r>
              <w:rPr>
                <w:rFonts w:ascii="Arial" w:cs="Arial" w:eastAsia="Arial" w:hAnsi="Arial"/>
                <w:sz w:val="15"/>
                <w:szCs w:val="15"/>
                <w:color w:val="auto"/>
              </w:rPr>
              <w:t>GMI restructuring</w:t>
            </w:r>
            <w:r>
              <w:rPr>
                <w:rFonts w:ascii="Arial" w:cs="Arial" w:eastAsia="Arial" w:hAnsi="Arial"/>
                <w:sz w:val="25"/>
                <w:szCs w:val="25"/>
                <w:color w:val="auto"/>
                <w:vertAlign w:val="superscript"/>
              </w:rPr>
              <w:t>(2)</w:t>
            </w:r>
          </w:p>
        </w:tc>
        <w:tc>
          <w:tcPr>
            <w:tcW w:w="36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1.1</w:t>
            </w:r>
          </w:p>
        </w:tc>
        <w:tc>
          <w:tcPr>
            <w:tcW w:w="11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0.5</w:t>
            </w:r>
          </w:p>
        </w:tc>
      </w:tr>
      <w:tr>
        <w:trPr>
          <w:trHeight w:val="236"/>
        </w:trPr>
        <w:tc>
          <w:tcPr>
            <w:tcW w:w="6280" w:type="dxa"/>
            <w:vAlign w:val="bottom"/>
            <w:tcBorders>
              <w:bottom w:val="single" w:sz="8" w:color="auto"/>
            </w:tcBorders>
          </w:tcPr>
          <w:p>
            <w:pPr>
              <w:ind w:left="300"/>
              <w:spacing w:after="0" w:line="236" w:lineRule="exact"/>
              <w:rPr>
                <w:sz w:val="20"/>
                <w:szCs w:val="20"/>
                <w:color w:val="auto"/>
              </w:rPr>
            </w:pPr>
            <w:r>
              <w:rPr>
                <w:rFonts w:ascii="Arial" w:cs="Arial" w:eastAsia="Arial" w:hAnsi="Arial"/>
                <w:sz w:val="15"/>
                <w:szCs w:val="15"/>
                <w:color w:val="auto"/>
              </w:rPr>
              <w:t>Ignition switch recall and related legal matters</w:t>
            </w:r>
            <w:r>
              <w:rPr>
                <w:rFonts w:ascii="Arial" w:cs="Arial" w:eastAsia="Arial" w:hAnsi="Arial"/>
                <w:sz w:val="25"/>
                <w:szCs w:val="25"/>
                <w:color w:val="auto"/>
                <w:vertAlign w:val="superscript"/>
              </w:rPr>
              <w:t>(3)</w:t>
            </w:r>
          </w:p>
        </w:tc>
        <w:tc>
          <w:tcPr>
            <w:tcW w:w="36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0.4</w:t>
            </w:r>
          </w:p>
        </w:tc>
        <w:tc>
          <w:tcPr>
            <w:tcW w:w="11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0.1</w:t>
            </w: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Total Special items</w:t>
            </w:r>
          </w:p>
        </w:tc>
        <w:tc>
          <w:tcPr>
            <w:tcW w:w="3620" w:type="dxa"/>
            <w:vAlign w:val="bottom"/>
          </w:tcPr>
          <w:p>
            <w:pPr>
              <w:jc w:val="right"/>
              <w:ind w:right="344"/>
              <w:spacing w:after="0"/>
              <w:rPr>
                <w:sz w:val="20"/>
                <w:szCs w:val="20"/>
                <w:color w:val="auto"/>
              </w:rPr>
            </w:pPr>
            <w:r>
              <w:rPr>
                <w:rFonts w:ascii="Arial" w:cs="Arial" w:eastAsia="Arial" w:hAnsi="Arial"/>
                <w:sz w:val="15"/>
                <w:szCs w:val="15"/>
                <w:b w:val="1"/>
                <w:bCs w:val="1"/>
                <w:color w:val="auto"/>
              </w:rPr>
              <w:t>2.9</w:t>
            </w:r>
          </w:p>
        </w:tc>
        <w:tc>
          <w:tcPr>
            <w:tcW w:w="1100" w:type="dxa"/>
            <w:vAlign w:val="bottom"/>
          </w:tcPr>
          <w:p>
            <w:pPr>
              <w:jc w:val="right"/>
              <w:ind w:right="244"/>
              <w:spacing w:after="0"/>
              <w:rPr>
                <w:sz w:val="20"/>
                <w:szCs w:val="20"/>
                <w:color w:val="auto"/>
              </w:rPr>
            </w:pPr>
            <w:r>
              <w:rPr>
                <w:rFonts w:ascii="Arial" w:cs="Arial" w:eastAsia="Arial" w:hAnsi="Arial"/>
                <w:sz w:val="15"/>
                <w:szCs w:val="15"/>
                <w:b w:val="1"/>
                <w:bCs w:val="1"/>
                <w:color w:val="auto"/>
              </w:rPr>
              <w:t>0.7</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00A1DF"/>
              </w:rPr>
              <w:t>EBIT-adjusted</w:t>
            </w:r>
          </w:p>
        </w:tc>
        <w:tc>
          <w:tcPr>
            <w:tcW w:w="3620" w:type="dxa"/>
            <w:vAlign w:val="bottom"/>
          </w:tcPr>
          <w:p>
            <w:pPr>
              <w:jc w:val="right"/>
              <w:ind w:right="344"/>
              <w:spacing w:after="0"/>
              <w:rPr>
                <w:sz w:val="20"/>
                <w:szCs w:val="20"/>
                <w:color w:val="auto"/>
              </w:rPr>
            </w:pPr>
            <w:r>
              <w:rPr>
                <w:rFonts w:ascii="Arial" w:cs="Arial" w:eastAsia="Arial" w:hAnsi="Arial"/>
                <w:sz w:val="15"/>
                <w:szCs w:val="15"/>
                <w:b w:val="1"/>
                <w:bCs w:val="1"/>
                <w:color w:val="00A1DF"/>
              </w:rPr>
              <w:t>$ 11.8</w:t>
            </w:r>
          </w:p>
        </w:tc>
        <w:tc>
          <w:tcPr>
            <w:tcW w:w="1100" w:type="dxa"/>
            <w:vAlign w:val="bottom"/>
          </w:tcPr>
          <w:p>
            <w:pPr>
              <w:jc w:val="right"/>
              <w:ind w:right="244"/>
              <w:spacing w:after="0"/>
              <w:rPr>
                <w:sz w:val="20"/>
                <w:szCs w:val="20"/>
                <w:color w:val="auto"/>
              </w:rPr>
            </w:pPr>
            <w:r>
              <w:rPr>
                <w:rFonts w:ascii="Arial" w:cs="Arial" w:eastAsia="Arial" w:hAnsi="Arial"/>
                <w:sz w:val="15"/>
                <w:szCs w:val="15"/>
                <w:b w:val="1"/>
                <w:bCs w:val="1"/>
                <w:color w:val="00A1DF"/>
              </w:rPr>
              <w:t>$ 12.8</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00A1DF"/>
              </w:rPr>
              <w:t>Net Sales and Revenue</w:t>
            </w:r>
          </w:p>
        </w:tc>
        <w:tc>
          <w:tcPr>
            <w:tcW w:w="3620" w:type="dxa"/>
            <w:vAlign w:val="bottom"/>
          </w:tcPr>
          <w:p>
            <w:pPr>
              <w:jc w:val="right"/>
              <w:ind w:right="344"/>
              <w:spacing w:after="0"/>
              <w:rPr>
                <w:sz w:val="20"/>
                <w:szCs w:val="20"/>
                <w:color w:val="auto"/>
              </w:rPr>
            </w:pPr>
            <w:r>
              <w:rPr>
                <w:rFonts w:ascii="Arial" w:cs="Arial" w:eastAsia="Arial" w:hAnsi="Arial"/>
                <w:sz w:val="15"/>
                <w:szCs w:val="15"/>
                <w:b w:val="1"/>
                <w:bCs w:val="1"/>
                <w:color w:val="00A1DF"/>
              </w:rPr>
              <w:t>147.0</w:t>
            </w:r>
          </w:p>
        </w:tc>
        <w:tc>
          <w:tcPr>
            <w:tcW w:w="1100" w:type="dxa"/>
            <w:vAlign w:val="bottom"/>
          </w:tcPr>
          <w:p>
            <w:pPr>
              <w:jc w:val="right"/>
              <w:ind w:right="244"/>
              <w:spacing w:after="0"/>
              <w:rPr>
                <w:sz w:val="20"/>
                <w:szCs w:val="20"/>
                <w:color w:val="auto"/>
              </w:rPr>
            </w:pPr>
            <w:r>
              <w:rPr>
                <w:rFonts w:ascii="Arial" w:cs="Arial" w:eastAsia="Arial" w:hAnsi="Arial"/>
                <w:sz w:val="15"/>
                <w:szCs w:val="15"/>
                <w:b w:val="1"/>
                <w:bCs w:val="1"/>
                <w:color w:val="00A1DF"/>
              </w:rPr>
              <w:t>145.6</w:t>
            </w: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80" w:type="dxa"/>
            <w:vAlign w:val="bottom"/>
          </w:tcPr>
          <w:p>
            <w:pPr>
              <w:ind w:left="60"/>
              <w:spacing w:after="0"/>
              <w:rPr>
                <w:sz w:val="20"/>
                <w:szCs w:val="20"/>
                <w:color w:val="auto"/>
              </w:rPr>
            </w:pPr>
            <w:r>
              <w:rPr>
                <w:rFonts w:ascii="Arial" w:cs="Arial" w:eastAsia="Arial" w:hAnsi="Arial"/>
                <w:sz w:val="15"/>
                <w:szCs w:val="15"/>
                <w:b w:val="1"/>
                <w:bCs w:val="1"/>
                <w:color w:val="00A1DF"/>
              </w:rPr>
              <w:t>EBIT-adjusted Margin</w:t>
            </w:r>
          </w:p>
        </w:tc>
        <w:tc>
          <w:tcPr>
            <w:tcW w:w="3620" w:type="dxa"/>
            <w:vAlign w:val="bottom"/>
          </w:tcPr>
          <w:p>
            <w:pPr>
              <w:jc w:val="right"/>
              <w:ind w:right="204"/>
              <w:spacing w:after="0"/>
              <w:rPr>
                <w:sz w:val="20"/>
                <w:szCs w:val="20"/>
                <w:color w:val="auto"/>
              </w:rPr>
            </w:pPr>
            <w:r>
              <w:rPr>
                <w:rFonts w:ascii="Arial" w:cs="Arial" w:eastAsia="Arial" w:hAnsi="Arial"/>
                <w:sz w:val="15"/>
                <w:szCs w:val="15"/>
                <w:b w:val="1"/>
                <w:bCs w:val="1"/>
                <w:color w:val="00A1DF"/>
              </w:rPr>
              <w:t>8.0%</w:t>
            </w:r>
          </w:p>
        </w:tc>
        <w:tc>
          <w:tcPr>
            <w:tcW w:w="1100" w:type="dxa"/>
            <w:vAlign w:val="bottom"/>
          </w:tcPr>
          <w:p>
            <w:pPr>
              <w:jc w:val="right"/>
              <w:ind w:right="124"/>
              <w:spacing w:after="0"/>
              <w:rPr>
                <w:sz w:val="20"/>
                <w:szCs w:val="20"/>
                <w:color w:val="auto"/>
              </w:rPr>
            </w:pPr>
            <w:r>
              <w:rPr>
                <w:rFonts w:ascii="Arial" w:cs="Arial" w:eastAsia="Arial" w:hAnsi="Arial"/>
                <w:sz w:val="15"/>
                <w:szCs w:val="15"/>
                <w:b w:val="1"/>
                <w:bCs w:val="1"/>
                <w:color w:val="00A1DF"/>
              </w:rPr>
              <w:t>8.8%</w:t>
            </w:r>
          </w:p>
        </w:tc>
      </w:tr>
      <w:tr>
        <w:trPr>
          <w:trHeight w:val="21"/>
        </w:trPr>
        <w:tc>
          <w:tcPr>
            <w:tcW w:w="6280" w:type="dxa"/>
            <w:vAlign w:val="bottom"/>
            <w:tcBorders>
              <w:bottom w:val="single" w:sz="8" w:color="0033A0"/>
            </w:tcBorders>
          </w:tcPr>
          <w:p>
            <w:pPr>
              <w:spacing w:after="0" w:line="20" w:lineRule="exact"/>
              <w:rPr>
                <w:sz w:val="1"/>
                <w:szCs w:val="1"/>
                <w:color w:val="auto"/>
              </w:rPr>
            </w:pPr>
          </w:p>
        </w:tc>
        <w:tc>
          <w:tcPr>
            <w:tcW w:w="3620" w:type="dxa"/>
            <w:vAlign w:val="bottom"/>
            <w:tcBorders>
              <w:bottom w:val="single" w:sz="8" w:color="0033A0"/>
            </w:tcBorders>
          </w:tcPr>
          <w:p>
            <w:pPr>
              <w:spacing w:after="0" w:line="20" w:lineRule="exact"/>
              <w:rPr>
                <w:sz w:val="1"/>
                <w:szCs w:val="1"/>
                <w:color w:val="auto"/>
              </w:rPr>
            </w:pPr>
          </w:p>
        </w:tc>
        <w:tc>
          <w:tcPr>
            <w:tcW w:w="1100" w:type="dxa"/>
            <w:vAlign w:val="bottom"/>
            <w:tcBorders>
              <w:bottom w:val="single" w:sz="8" w:color="0033A0"/>
            </w:tcBorders>
          </w:tcPr>
          <w:p>
            <w:pPr>
              <w:spacing w:after="0" w:line="20" w:lineRule="exact"/>
              <w:rPr>
                <w:sz w:val="1"/>
                <w:szCs w:val="1"/>
                <w:color w:val="auto"/>
              </w:rPr>
            </w:pPr>
          </w:p>
        </w:tc>
      </w:tr>
    </w:tbl>
    <w:p>
      <w:pPr>
        <w:spacing w:after="0" w:line="58" w:lineRule="exact"/>
        <w:rPr>
          <w:sz w:val="20"/>
          <w:szCs w:val="20"/>
          <w:color w:val="auto"/>
        </w:rPr>
      </w:pPr>
    </w:p>
    <w:p>
      <w:pPr>
        <w:ind w:left="540" w:hanging="330"/>
        <w:spacing w:after="0" w:line="278" w:lineRule="auto"/>
        <w:tabs>
          <w:tab w:leader="none" w:pos="540" w:val="left"/>
        </w:tabs>
        <w:numPr>
          <w:ilvl w:val="0"/>
          <w:numId w:val="147"/>
        </w:numPr>
        <w:rPr>
          <w:rFonts w:ascii="Arial" w:cs="Arial" w:eastAsia="Arial" w:hAnsi="Arial"/>
          <w:sz w:val="14"/>
          <w:szCs w:val="14"/>
          <w:i w:val="1"/>
          <w:iCs w:val="1"/>
          <w:color w:val="auto"/>
        </w:rPr>
      </w:pPr>
      <w:r>
        <w:rPr>
          <w:rFonts w:ascii="Arial" w:cs="Arial" w:eastAsia="Arial" w:hAnsi="Arial"/>
          <w:sz w:val="14"/>
          <w:szCs w:val="14"/>
          <w:i w:val="1"/>
          <w:iCs w:val="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employee separation charges and accelerated depreciation.</w:t>
      </w:r>
    </w:p>
    <w:p>
      <w:pPr>
        <w:spacing w:after="0" w:line="18" w:lineRule="exact"/>
        <w:rPr>
          <w:rFonts w:ascii="Arial" w:cs="Arial" w:eastAsia="Arial" w:hAnsi="Arial"/>
          <w:sz w:val="14"/>
          <w:szCs w:val="14"/>
          <w:i w:val="1"/>
          <w:iCs w:val="1"/>
          <w:color w:val="auto"/>
        </w:rPr>
      </w:pPr>
    </w:p>
    <w:p>
      <w:pPr>
        <w:jc w:val="both"/>
        <w:ind w:left="540" w:hanging="330"/>
        <w:spacing w:after="0" w:line="253" w:lineRule="auto"/>
        <w:tabs>
          <w:tab w:leader="none" w:pos="540" w:val="left"/>
        </w:tabs>
        <w:numPr>
          <w:ilvl w:val="0"/>
          <w:numId w:val="147"/>
        </w:numPr>
        <w:rPr>
          <w:rFonts w:ascii="Arial" w:cs="Arial" w:eastAsia="Arial" w:hAnsi="Arial"/>
          <w:sz w:val="14"/>
          <w:szCs w:val="14"/>
          <w:i w:val="1"/>
          <w:iCs w:val="1"/>
          <w:color w:val="auto"/>
        </w:rPr>
      </w:pPr>
      <w:r>
        <w:rPr>
          <w:rFonts w:ascii="Arial" w:cs="Arial" w:eastAsia="Arial" w:hAnsi="Arial"/>
          <w:sz w:val="14"/>
          <w:szCs w:val="14"/>
          <w:i w:val="1"/>
          <w:iCs w:val="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asset impairments, and supplier claims in the year ended December 31, 2018, all in Korea. The adjustment in the year ended December 31, 2017, primarily consists of asset impairments and other restructuring actions in India, South Africa, and Venezuela.</w:t>
      </w:r>
    </w:p>
    <w:p>
      <w:pPr>
        <w:spacing w:after="0" w:line="36" w:lineRule="exact"/>
        <w:rPr>
          <w:rFonts w:ascii="Arial" w:cs="Arial" w:eastAsia="Arial" w:hAnsi="Arial"/>
          <w:sz w:val="14"/>
          <w:szCs w:val="14"/>
          <w:i w:val="1"/>
          <w:iCs w:val="1"/>
          <w:color w:val="auto"/>
        </w:rPr>
      </w:pPr>
    </w:p>
    <w:p>
      <w:pPr>
        <w:ind w:left="540" w:right="20" w:hanging="330"/>
        <w:spacing w:after="0" w:line="278" w:lineRule="auto"/>
        <w:tabs>
          <w:tab w:leader="none" w:pos="540" w:val="left"/>
        </w:tabs>
        <w:numPr>
          <w:ilvl w:val="0"/>
          <w:numId w:val="147"/>
        </w:numPr>
        <w:rPr>
          <w:rFonts w:ascii="Arial" w:cs="Arial" w:eastAsia="Arial" w:hAnsi="Arial"/>
          <w:sz w:val="14"/>
          <w:szCs w:val="14"/>
          <w:i w:val="1"/>
          <w:iCs w:val="1"/>
          <w:color w:val="auto"/>
        </w:rPr>
      </w:pPr>
      <w:r>
        <w:rPr>
          <w:rFonts w:ascii="Arial" w:cs="Arial" w:eastAsia="Arial" w:hAnsi="Arial"/>
          <w:sz w:val="14"/>
          <w:szCs w:val="14"/>
          <w:i w:val="1"/>
          <w:iCs w:val="1"/>
          <w:color w:val="auto"/>
        </w:rPr>
        <w:t>These adjustments were excluded because of the unique events associated with the ignition switch recall, which included various investigations, inquiries, and complaints from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128905</wp:posOffset>
            </wp:positionV>
            <wp:extent cx="698944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6720" w:type="dxa"/>
            <w:vAlign w:val="bottom"/>
          </w:tcPr>
          <w:p>
            <w:pPr>
              <w:spacing w:after="0"/>
              <w:rPr>
                <w:sz w:val="20"/>
                <w:szCs w:val="20"/>
                <w:color w:val="auto"/>
              </w:rPr>
            </w:pPr>
            <w:r>
              <w:rPr>
                <w:rFonts w:ascii="Arial" w:cs="Arial" w:eastAsia="Arial" w:hAnsi="Arial"/>
                <w:sz w:val="15"/>
                <w:szCs w:val="15"/>
                <w:b w:val="1"/>
                <w:bCs w:val="1"/>
                <w:color w:val="00A1DF"/>
              </w:rPr>
              <w:t>$ per Share</w:t>
            </w:r>
          </w:p>
        </w:tc>
        <w:tc>
          <w:tcPr>
            <w:tcW w:w="3320" w:type="dxa"/>
            <w:vAlign w:val="bottom"/>
          </w:tcPr>
          <w:p>
            <w:pPr>
              <w:jc w:val="right"/>
              <w:ind w:right="264"/>
              <w:spacing w:after="0"/>
              <w:rPr>
                <w:sz w:val="20"/>
                <w:szCs w:val="20"/>
                <w:color w:val="auto"/>
              </w:rPr>
            </w:pPr>
            <w:r>
              <w:rPr>
                <w:rFonts w:ascii="Arial" w:cs="Arial" w:eastAsia="Arial" w:hAnsi="Arial"/>
                <w:sz w:val="15"/>
                <w:szCs w:val="15"/>
                <w:b w:val="1"/>
                <w:bCs w:val="1"/>
                <w:color w:val="00A1DF"/>
              </w:rPr>
              <w:t>2018</w:t>
            </w:r>
          </w:p>
        </w:tc>
        <w:tc>
          <w:tcPr>
            <w:tcW w:w="960" w:type="dxa"/>
            <w:vAlign w:val="bottom"/>
          </w:tcPr>
          <w:p>
            <w:pPr>
              <w:jc w:val="right"/>
              <w:ind w:right="144"/>
              <w:spacing w:after="0"/>
              <w:rPr>
                <w:sz w:val="20"/>
                <w:szCs w:val="20"/>
                <w:color w:val="auto"/>
              </w:rPr>
            </w:pPr>
            <w:r>
              <w:rPr>
                <w:rFonts w:ascii="Arial" w:cs="Arial" w:eastAsia="Arial" w:hAnsi="Arial"/>
                <w:sz w:val="15"/>
                <w:szCs w:val="15"/>
                <w:b w:val="1"/>
                <w:bCs w:val="1"/>
                <w:color w:val="00A1DF"/>
              </w:rPr>
              <w:t>2017</w:t>
            </w:r>
          </w:p>
        </w:tc>
      </w:tr>
      <w:tr>
        <w:trPr>
          <w:trHeight w:val="21"/>
        </w:trPr>
        <w:tc>
          <w:tcPr>
            <w:tcW w:w="6720" w:type="dxa"/>
            <w:vAlign w:val="bottom"/>
            <w:tcBorders>
              <w:bottom w:val="single" w:sz="8" w:color="00A1DF"/>
            </w:tcBorders>
          </w:tcPr>
          <w:p>
            <w:pPr>
              <w:spacing w:after="0" w:line="20" w:lineRule="exact"/>
              <w:rPr>
                <w:sz w:val="1"/>
                <w:szCs w:val="1"/>
                <w:color w:val="auto"/>
              </w:rPr>
            </w:pPr>
          </w:p>
        </w:tc>
        <w:tc>
          <w:tcPr>
            <w:tcW w:w="3320" w:type="dxa"/>
            <w:vAlign w:val="bottom"/>
            <w:tcBorders>
              <w:bottom w:val="single" w:sz="8" w:color="00A1DF"/>
            </w:tcBorders>
          </w:tcPr>
          <w:p>
            <w:pPr>
              <w:spacing w:after="0" w:line="20" w:lineRule="exact"/>
              <w:rPr>
                <w:sz w:val="1"/>
                <w:szCs w:val="1"/>
                <w:color w:val="auto"/>
              </w:rPr>
            </w:pPr>
          </w:p>
        </w:tc>
        <w:tc>
          <w:tcPr>
            <w:tcW w:w="960" w:type="dxa"/>
            <w:vAlign w:val="bottom"/>
            <w:tcBorders>
              <w:bottom w:val="single" w:sz="8" w:color="00A1DF"/>
            </w:tcBorders>
          </w:tcPr>
          <w:p>
            <w:pPr>
              <w:spacing w:after="0" w:line="20" w:lineRule="exact"/>
              <w:rPr>
                <w:sz w:val="1"/>
                <w:szCs w:val="1"/>
                <w:color w:val="auto"/>
              </w:rPr>
            </w:pPr>
          </w:p>
        </w:tc>
      </w:tr>
      <w:tr>
        <w:trPr>
          <w:trHeight w:val="215"/>
        </w:trPr>
        <w:tc>
          <w:tcPr>
            <w:tcW w:w="6720" w:type="dxa"/>
            <w:vAlign w:val="bottom"/>
          </w:tcPr>
          <w:p>
            <w:pPr>
              <w:ind w:left="60"/>
              <w:spacing w:after="0"/>
              <w:rPr>
                <w:sz w:val="20"/>
                <w:szCs w:val="20"/>
                <w:color w:val="auto"/>
              </w:rPr>
            </w:pPr>
            <w:r>
              <w:rPr>
                <w:rFonts w:ascii="Arial" w:cs="Arial" w:eastAsia="Arial" w:hAnsi="Arial"/>
                <w:sz w:val="15"/>
                <w:szCs w:val="15"/>
                <w:b w:val="1"/>
                <w:bCs w:val="1"/>
                <w:color w:val="auto"/>
              </w:rPr>
              <w:t>Diluted Earnings (Loss) per Common Share</w:t>
            </w:r>
          </w:p>
        </w:tc>
        <w:tc>
          <w:tcPr>
            <w:tcW w:w="3320" w:type="dxa"/>
            <w:vAlign w:val="bottom"/>
          </w:tcPr>
          <w:p>
            <w:pPr>
              <w:jc w:val="right"/>
              <w:ind w:right="264"/>
              <w:spacing w:after="0"/>
              <w:rPr>
                <w:sz w:val="20"/>
                <w:szCs w:val="20"/>
                <w:color w:val="auto"/>
              </w:rPr>
            </w:pPr>
            <w:r>
              <w:rPr>
                <w:rFonts w:ascii="Arial" w:cs="Arial" w:eastAsia="Arial" w:hAnsi="Arial"/>
                <w:sz w:val="15"/>
                <w:szCs w:val="15"/>
                <w:b w:val="1"/>
                <w:bCs w:val="1"/>
                <w:color w:val="auto"/>
              </w:rPr>
              <w:t>$ 5.53</w:t>
            </w:r>
          </w:p>
        </w:tc>
        <w:tc>
          <w:tcPr>
            <w:tcW w:w="960" w:type="dxa"/>
            <w:vAlign w:val="bottom"/>
          </w:tcPr>
          <w:p>
            <w:pPr>
              <w:jc w:val="right"/>
              <w:ind w:right="84"/>
              <w:spacing w:after="0"/>
              <w:rPr>
                <w:sz w:val="20"/>
                <w:szCs w:val="20"/>
                <w:color w:val="auto"/>
              </w:rPr>
            </w:pPr>
            <w:r>
              <w:rPr>
                <w:rFonts w:ascii="Arial" w:cs="Arial" w:eastAsia="Arial" w:hAnsi="Arial"/>
                <w:sz w:val="15"/>
                <w:szCs w:val="15"/>
                <w:b w:val="1"/>
                <w:bCs w:val="1"/>
                <w:color w:val="auto"/>
              </w:rPr>
              <w:t>$(2.60)</w:t>
            </w:r>
          </w:p>
        </w:tc>
      </w:tr>
      <w:tr>
        <w:trPr>
          <w:trHeight w:val="21"/>
        </w:trPr>
        <w:tc>
          <w:tcPr>
            <w:tcW w:w="67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5"/>
        </w:trPr>
        <w:tc>
          <w:tcPr>
            <w:tcW w:w="6720" w:type="dxa"/>
            <w:vAlign w:val="bottom"/>
          </w:tcPr>
          <w:p>
            <w:pPr>
              <w:ind w:left="300"/>
              <w:spacing w:after="0"/>
              <w:rPr>
                <w:sz w:val="20"/>
                <w:szCs w:val="20"/>
                <w:color w:val="auto"/>
              </w:rPr>
            </w:pPr>
            <w:r>
              <w:rPr>
                <w:rFonts w:ascii="Arial" w:cs="Arial" w:eastAsia="Arial" w:hAnsi="Arial"/>
                <w:sz w:val="15"/>
                <w:szCs w:val="15"/>
                <w:color w:val="auto"/>
              </w:rPr>
              <w:t>Diluted loss per common share – discontinued operations</w:t>
            </w:r>
          </w:p>
        </w:tc>
        <w:tc>
          <w:tcPr>
            <w:tcW w:w="3320" w:type="dxa"/>
            <w:vAlign w:val="bottom"/>
          </w:tcPr>
          <w:p>
            <w:pPr>
              <w:jc w:val="right"/>
              <w:ind w:right="264"/>
              <w:spacing w:after="0"/>
              <w:rPr>
                <w:sz w:val="20"/>
                <w:szCs w:val="20"/>
                <w:color w:val="auto"/>
              </w:rPr>
            </w:pPr>
            <w:r>
              <w:rPr>
                <w:rFonts w:ascii="Arial" w:cs="Arial" w:eastAsia="Arial" w:hAnsi="Arial"/>
                <w:sz w:val="15"/>
                <w:szCs w:val="15"/>
                <w:color w:val="auto"/>
              </w:rPr>
              <w:t>0.05</w:t>
            </w: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2.82</w:t>
            </w:r>
          </w:p>
        </w:tc>
      </w:tr>
      <w:tr>
        <w:trPr>
          <w:trHeight w:val="21"/>
        </w:trPr>
        <w:tc>
          <w:tcPr>
            <w:tcW w:w="67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6"/>
        </w:trPr>
        <w:tc>
          <w:tcPr>
            <w:tcW w:w="6720" w:type="dxa"/>
            <w:vAlign w:val="bottom"/>
            <w:tcBorders>
              <w:bottom w:val="single" w:sz="8" w:color="auto"/>
            </w:tcBorders>
          </w:tcPr>
          <w:p>
            <w:pPr>
              <w:ind w:left="300"/>
              <w:spacing w:after="0" w:line="236" w:lineRule="exact"/>
              <w:rPr>
                <w:sz w:val="20"/>
                <w:szCs w:val="20"/>
                <w:color w:val="auto"/>
              </w:rPr>
            </w:pPr>
            <w:r>
              <w:rPr>
                <w:rFonts w:ascii="Arial" w:cs="Arial" w:eastAsia="Arial" w:hAnsi="Arial"/>
                <w:sz w:val="15"/>
                <w:szCs w:val="15"/>
                <w:color w:val="auto"/>
              </w:rPr>
              <w:t>Adjustments</w:t>
            </w:r>
            <w:r>
              <w:rPr>
                <w:rFonts w:ascii="Arial" w:cs="Arial" w:eastAsia="Arial" w:hAnsi="Arial"/>
                <w:sz w:val="25"/>
                <w:szCs w:val="25"/>
                <w:color w:val="auto"/>
                <w:vertAlign w:val="superscript"/>
              </w:rPr>
              <w:t>(1)</w:t>
            </w:r>
          </w:p>
        </w:tc>
        <w:tc>
          <w:tcPr>
            <w:tcW w:w="33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2.03</w:t>
            </w: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0.44</w:t>
            </w:r>
          </w:p>
        </w:tc>
      </w:tr>
      <w:tr>
        <w:trPr>
          <w:trHeight w:val="236"/>
        </w:trPr>
        <w:tc>
          <w:tcPr>
            <w:tcW w:w="6720" w:type="dxa"/>
            <w:vAlign w:val="bottom"/>
            <w:tcBorders>
              <w:bottom w:val="single" w:sz="8" w:color="auto"/>
            </w:tcBorders>
          </w:tcPr>
          <w:p>
            <w:pPr>
              <w:ind w:left="300"/>
              <w:spacing w:after="0" w:line="236" w:lineRule="exact"/>
              <w:rPr>
                <w:sz w:val="20"/>
                <w:szCs w:val="20"/>
                <w:color w:val="auto"/>
              </w:rPr>
            </w:pPr>
            <w:r>
              <w:rPr>
                <w:rFonts w:ascii="Arial" w:cs="Arial" w:eastAsia="Arial" w:hAnsi="Arial"/>
                <w:sz w:val="15"/>
                <w:szCs w:val="15"/>
                <w:color w:val="auto"/>
              </w:rPr>
              <w:t>Tax effect of adjustments</w:t>
            </w:r>
            <w:r>
              <w:rPr>
                <w:rFonts w:ascii="Arial" w:cs="Arial" w:eastAsia="Arial" w:hAnsi="Arial"/>
                <w:sz w:val="25"/>
                <w:szCs w:val="25"/>
                <w:color w:val="auto"/>
                <w:vertAlign w:val="superscript"/>
              </w:rPr>
              <w:t>(2)</w:t>
            </w:r>
          </w:p>
        </w:tc>
        <w:tc>
          <w:tcPr>
            <w:tcW w:w="33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(0.29)</w:t>
            </w: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(0.14)</w:t>
            </w:r>
          </w:p>
        </w:tc>
      </w:tr>
      <w:tr>
        <w:trPr>
          <w:trHeight w:val="236"/>
        </w:trPr>
        <w:tc>
          <w:tcPr>
            <w:tcW w:w="6720" w:type="dxa"/>
            <w:vAlign w:val="bottom"/>
            <w:tcBorders>
              <w:bottom w:val="single" w:sz="8" w:color="auto"/>
            </w:tcBorders>
          </w:tcPr>
          <w:p>
            <w:pPr>
              <w:ind w:left="300"/>
              <w:spacing w:after="0" w:line="236" w:lineRule="exact"/>
              <w:rPr>
                <w:sz w:val="20"/>
                <w:szCs w:val="20"/>
                <w:color w:val="auto"/>
              </w:rPr>
            </w:pPr>
            <w:r>
              <w:rPr>
                <w:rFonts w:ascii="Arial" w:cs="Arial" w:eastAsia="Arial" w:hAnsi="Arial"/>
                <w:sz w:val="15"/>
                <w:szCs w:val="15"/>
                <w:color w:val="auto"/>
              </w:rPr>
              <w:t>Tax adjustments</w:t>
            </w:r>
            <w:r>
              <w:rPr>
                <w:rFonts w:ascii="Arial" w:cs="Arial" w:eastAsia="Arial" w:hAnsi="Arial"/>
                <w:sz w:val="25"/>
                <w:szCs w:val="25"/>
                <w:color w:val="auto"/>
                <w:vertAlign w:val="superscript"/>
              </w:rPr>
              <w:t>(3)</w:t>
            </w:r>
          </w:p>
        </w:tc>
        <w:tc>
          <w:tcPr>
            <w:tcW w:w="33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(0.78)</w:t>
            </w: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6.10</w:t>
            </w:r>
          </w:p>
        </w:tc>
      </w:tr>
      <w:tr>
        <w:trPr>
          <w:trHeight w:val="215"/>
        </w:trPr>
        <w:tc>
          <w:tcPr>
            <w:tcW w:w="6720" w:type="dxa"/>
            <w:vAlign w:val="bottom"/>
          </w:tcPr>
          <w:p>
            <w:pPr>
              <w:ind w:left="60"/>
              <w:spacing w:after="0"/>
              <w:rPr>
                <w:sz w:val="20"/>
                <w:szCs w:val="20"/>
                <w:color w:val="auto"/>
              </w:rPr>
            </w:pPr>
            <w:r>
              <w:rPr>
                <w:rFonts w:ascii="Arial" w:cs="Arial" w:eastAsia="Arial" w:hAnsi="Arial"/>
                <w:sz w:val="15"/>
                <w:szCs w:val="15"/>
                <w:b w:val="1"/>
                <w:bCs w:val="1"/>
                <w:color w:val="00A1DF"/>
              </w:rPr>
              <w:t>EPS-diluted-adjusted</w:t>
            </w:r>
          </w:p>
        </w:tc>
        <w:tc>
          <w:tcPr>
            <w:tcW w:w="3320" w:type="dxa"/>
            <w:vAlign w:val="bottom"/>
          </w:tcPr>
          <w:p>
            <w:pPr>
              <w:jc w:val="right"/>
              <w:ind w:right="264"/>
              <w:spacing w:after="0"/>
              <w:rPr>
                <w:sz w:val="20"/>
                <w:szCs w:val="20"/>
                <w:color w:val="auto"/>
              </w:rPr>
            </w:pPr>
            <w:r>
              <w:rPr>
                <w:rFonts w:ascii="Arial" w:cs="Arial" w:eastAsia="Arial" w:hAnsi="Arial"/>
                <w:sz w:val="15"/>
                <w:szCs w:val="15"/>
                <w:b w:val="1"/>
                <w:bCs w:val="1"/>
                <w:color w:val="00A1DF"/>
              </w:rPr>
              <w:t>$ 6.54</w:t>
            </w:r>
          </w:p>
        </w:tc>
        <w:tc>
          <w:tcPr>
            <w:tcW w:w="960" w:type="dxa"/>
            <w:vAlign w:val="bottom"/>
          </w:tcPr>
          <w:p>
            <w:pPr>
              <w:jc w:val="right"/>
              <w:ind w:right="144"/>
              <w:spacing w:after="0"/>
              <w:rPr>
                <w:sz w:val="20"/>
                <w:szCs w:val="20"/>
                <w:color w:val="auto"/>
              </w:rPr>
            </w:pPr>
            <w:r>
              <w:rPr>
                <w:rFonts w:ascii="Arial" w:cs="Arial" w:eastAsia="Arial" w:hAnsi="Arial"/>
                <w:sz w:val="15"/>
                <w:szCs w:val="15"/>
                <w:b w:val="1"/>
                <w:bCs w:val="1"/>
                <w:color w:val="00A1DF"/>
              </w:rPr>
              <w:t>$ 6.62</w:t>
            </w:r>
          </w:p>
        </w:tc>
      </w:tr>
      <w:tr>
        <w:trPr>
          <w:trHeight w:val="21"/>
        </w:trPr>
        <w:tc>
          <w:tcPr>
            <w:tcW w:w="67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40" w:hanging="330"/>
        <w:spacing w:after="0"/>
        <w:tabs>
          <w:tab w:leader="none" w:pos="540" w:val="left"/>
        </w:tabs>
        <w:numPr>
          <w:ilvl w:val="0"/>
          <w:numId w:val="148"/>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reconciliation of EBIT-adjusted on a continuing operations basis above for adjustment details.</w:t>
      </w:r>
    </w:p>
    <w:p>
      <w:pPr>
        <w:spacing w:after="0" w:line="68" w:lineRule="exact"/>
        <w:rPr>
          <w:rFonts w:ascii="Arial" w:cs="Arial" w:eastAsia="Arial" w:hAnsi="Arial"/>
          <w:sz w:val="14"/>
          <w:szCs w:val="14"/>
          <w:i w:val="1"/>
          <w:iCs w:val="1"/>
          <w:color w:val="auto"/>
        </w:rPr>
      </w:pPr>
    </w:p>
    <w:p>
      <w:pPr>
        <w:ind w:left="540" w:hanging="330"/>
        <w:spacing w:after="0"/>
        <w:tabs>
          <w:tab w:leader="none" w:pos="540" w:val="left"/>
        </w:tabs>
        <w:numPr>
          <w:ilvl w:val="0"/>
          <w:numId w:val="148"/>
        </w:numPr>
        <w:rPr>
          <w:rFonts w:ascii="Arial" w:cs="Arial" w:eastAsia="Arial" w:hAnsi="Arial"/>
          <w:sz w:val="14"/>
          <w:szCs w:val="14"/>
          <w:i w:val="1"/>
          <w:iCs w:val="1"/>
          <w:color w:val="auto"/>
        </w:rPr>
      </w:pPr>
      <w:r>
        <w:rPr>
          <w:rFonts w:ascii="Arial" w:cs="Arial" w:eastAsia="Arial" w:hAnsi="Arial"/>
          <w:sz w:val="14"/>
          <w:szCs w:val="14"/>
          <w:i w:val="1"/>
          <w:iCs w:val="1"/>
          <w:color w:val="auto"/>
        </w:rPr>
        <w:t>The tax effect of each adjustment is determined based on the tax laws and valuation allowance status of the jurisdiction to which the adjustment relates.</w:t>
      </w:r>
    </w:p>
    <w:p>
      <w:pPr>
        <w:spacing w:after="0" w:line="68" w:lineRule="exact"/>
        <w:rPr>
          <w:rFonts w:ascii="Arial" w:cs="Arial" w:eastAsia="Arial" w:hAnsi="Arial"/>
          <w:sz w:val="14"/>
          <w:szCs w:val="14"/>
          <w:i w:val="1"/>
          <w:iCs w:val="1"/>
          <w:color w:val="auto"/>
        </w:rPr>
      </w:pPr>
    </w:p>
    <w:p>
      <w:pPr>
        <w:jc w:val="both"/>
        <w:ind w:left="540" w:hanging="330"/>
        <w:spacing w:after="0" w:line="250" w:lineRule="auto"/>
        <w:tabs>
          <w:tab w:leader="none" w:pos="540" w:val="left"/>
        </w:tabs>
        <w:numPr>
          <w:ilvl w:val="0"/>
          <w:numId w:val="148"/>
        </w:numPr>
        <w:rPr>
          <w:rFonts w:ascii="Arial" w:cs="Arial" w:eastAsia="Arial" w:hAnsi="Arial"/>
          <w:sz w:val="14"/>
          <w:szCs w:val="14"/>
          <w:i w:val="1"/>
          <w:iCs w:val="1"/>
          <w:color w:val="auto"/>
        </w:rPr>
      </w:pPr>
      <w:r>
        <w:rPr>
          <w:rFonts w:ascii="Arial" w:cs="Arial" w:eastAsia="Arial" w:hAnsi="Arial"/>
          <w:sz w:val="14"/>
          <w:szCs w:val="14"/>
          <w:i w:val="1"/>
          <w:iCs w:val="1"/>
          <w:color w:val="auto"/>
        </w:rPr>
        <w:t>In the year ended December 31, 2018, the adjustment consists of: (1) a nonrecurring tax benefit related to foreign earnings; and (2) tax effects related to U.S. tax reform legislation. In the year ended December 31, 2017, the adjustment consisted of the tax expense of $7.3 billion related to U.S. tax reform legislation and the establishment of a valuation allowance against deferred tax assets of $2.3 billion that are no longer realizable as a result of the sale of the Opel/Vauxhall Business, partially offset by tax benefits related to tax settlements. These adjustments were excluded because impacts of tax legislation and valuation allowances are not considered part of our core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81280</wp:posOffset>
            </wp:positionV>
            <wp:extent cx="6758305" cy="1282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113"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33A0"/>
        </w:rPr>
        <w:t>A-</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33A0"/>
        </w:rPr>
        <w:t>1</w:t>
      </w:r>
    </w:p>
    <w:p>
      <w:pPr>
        <w:sectPr>
          <w:pgSz w:w="11900" w:h="16838" w:orient="portrait"/>
          <w:cols w:equalWidth="0" w:num="1">
            <w:col w:w="11220"/>
          </w:cols>
          <w:pgMar w:left="240" w:top="459" w:right="4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4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7900" w:type="dxa"/>
            <w:vAlign w:val="bottom"/>
          </w:tcPr>
          <w:p>
            <w:pPr>
              <w:spacing w:after="0"/>
              <w:rPr>
                <w:sz w:val="20"/>
                <w:szCs w:val="20"/>
                <w:color w:val="auto"/>
              </w:rPr>
            </w:pPr>
            <w:r>
              <w:rPr>
                <w:rFonts w:ascii="Arial" w:cs="Arial" w:eastAsia="Arial" w:hAnsi="Arial"/>
                <w:sz w:val="15"/>
                <w:szCs w:val="15"/>
                <w:b w:val="1"/>
                <w:bCs w:val="1"/>
                <w:color w:val="00A1DF"/>
              </w:rPr>
              <w:t>($B)</w:t>
            </w:r>
          </w:p>
        </w:tc>
        <w:tc>
          <w:tcPr>
            <w:tcW w:w="3100" w:type="dxa"/>
            <w:vAlign w:val="bottom"/>
          </w:tcPr>
          <w:p>
            <w:pPr>
              <w:jc w:val="right"/>
              <w:ind w:right="124"/>
              <w:spacing w:after="0"/>
              <w:rPr>
                <w:sz w:val="20"/>
                <w:szCs w:val="20"/>
                <w:color w:val="auto"/>
              </w:rPr>
            </w:pPr>
            <w:r>
              <w:rPr>
                <w:rFonts w:ascii="Arial" w:cs="Arial" w:eastAsia="Arial" w:hAnsi="Arial"/>
                <w:sz w:val="15"/>
                <w:szCs w:val="15"/>
                <w:b w:val="1"/>
                <w:bCs w:val="1"/>
                <w:color w:val="00A1DF"/>
              </w:rPr>
              <w:t>2018</w:t>
            </w:r>
          </w:p>
        </w:tc>
      </w:tr>
      <w:tr>
        <w:trPr>
          <w:trHeight w:val="21"/>
        </w:trPr>
        <w:tc>
          <w:tcPr>
            <w:tcW w:w="7900" w:type="dxa"/>
            <w:vAlign w:val="bottom"/>
            <w:tcBorders>
              <w:bottom w:val="single" w:sz="8" w:color="00A1DF"/>
            </w:tcBorders>
          </w:tcPr>
          <w:p>
            <w:pPr>
              <w:spacing w:after="0" w:line="20" w:lineRule="exact"/>
              <w:rPr>
                <w:sz w:val="1"/>
                <w:szCs w:val="1"/>
                <w:color w:val="auto"/>
              </w:rPr>
            </w:pPr>
          </w:p>
        </w:tc>
        <w:tc>
          <w:tcPr>
            <w:tcW w:w="3100" w:type="dxa"/>
            <w:vAlign w:val="bottom"/>
            <w:tcBorders>
              <w:bottom w:val="single" w:sz="8" w:color="00A1DF"/>
            </w:tcBorders>
          </w:tcPr>
          <w:p>
            <w:pPr>
              <w:spacing w:after="0" w:line="20" w:lineRule="exact"/>
              <w:rPr>
                <w:sz w:val="1"/>
                <w:szCs w:val="1"/>
                <w:color w:val="auto"/>
              </w:rPr>
            </w:pPr>
          </w:p>
        </w:tc>
      </w:tr>
      <w:tr>
        <w:trPr>
          <w:trHeight w:val="215"/>
        </w:trPr>
        <w:tc>
          <w:tcPr>
            <w:tcW w:w="7900" w:type="dxa"/>
            <w:vAlign w:val="bottom"/>
          </w:tcPr>
          <w:p>
            <w:pPr>
              <w:ind w:left="60"/>
              <w:spacing w:after="0"/>
              <w:rPr>
                <w:sz w:val="20"/>
                <w:szCs w:val="20"/>
                <w:color w:val="auto"/>
              </w:rPr>
            </w:pPr>
            <w:r>
              <w:rPr>
                <w:rFonts w:ascii="Arial" w:cs="Arial" w:eastAsia="Arial" w:hAnsi="Arial"/>
                <w:sz w:val="15"/>
                <w:szCs w:val="15"/>
                <w:b w:val="1"/>
                <w:bCs w:val="1"/>
                <w:color w:val="auto"/>
              </w:rPr>
              <w:t>EBIT-adjusted</w:t>
            </w:r>
          </w:p>
        </w:tc>
        <w:tc>
          <w:tcPr>
            <w:tcW w:w="3100" w:type="dxa"/>
            <w:vAlign w:val="bottom"/>
          </w:tcPr>
          <w:p>
            <w:pPr>
              <w:jc w:val="right"/>
              <w:ind w:right="124"/>
              <w:spacing w:after="0"/>
              <w:rPr>
                <w:sz w:val="20"/>
                <w:szCs w:val="20"/>
                <w:color w:val="auto"/>
              </w:rPr>
            </w:pPr>
            <w:r>
              <w:rPr>
                <w:rFonts w:ascii="Arial" w:cs="Arial" w:eastAsia="Arial" w:hAnsi="Arial"/>
                <w:sz w:val="15"/>
                <w:szCs w:val="15"/>
                <w:b w:val="1"/>
                <w:bCs w:val="1"/>
                <w:color w:val="auto"/>
              </w:rPr>
              <w:t>11.8</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36"/>
        </w:trPr>
        <w:tc>
          <w:tcPr>
            <w:tcW w:w="790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5"/>
                <w:szCs w:val="15"/>
                <w:color w:val="auto"/>
              </w:rPr>
              <w:t>Average equity</w:t>
            </w:r>
            <w:r>
              <w:rPr>
                <w:rFonts w:ascii="Arial" w:cs="Arial" w:eastAsia="Arial" w:hAnsi="Arial"/>
                <w:sz w:val="25"/>
                <w:szCs w:val="25"/>
                <w:color w:val="auto"/>
                <w:vertAlign w:val="superscript"/>
              </w:rPr>
              <w:t>(1)</w:t>
            </w:r>
          </w:p>
        </w:tc>
        <w:tc>
          <w:tcPr>
            <w:tcW w:w="3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37.4</w:t>
            </w:r>
          </w:p>
        </w:tc>
      </w:tr>
      <w:tr>
        <w:trPr>
          <w:trHeight w:val="215"/>
        </w:trPr>
        <w:tc>
          <w:tcPr>
            <w:tcW w:w="7900" w:type="dxa"/>
            <w:vAlign w:val="bottom"/>
          </w:tcPr>
          <w:p>
            <w:pPr>
              <w:ind w:left="60"/>
              <w:spacing w:after="0"/>
              <w:rPr>
                <w:sz w:val="20"/>
                <w:szCs w:val="20"/>
                <w:color w:val="auto"/>
              </w:rPr>
            </w:pPr>
            <w:r>
              <w:rPr>
                <w:rFonts w:ascii="Arial" w:cs="Arial" w:eastAsia="Arial" w:hAnsi="Arial"/>
                <w:sz w:val="15"/>
                <w:szCs w:val="15"/>
                <w:color w:val="auto"/>
              </w:rPr>
              <w:t>Add: Average automotive debt and interest liabilities (excluding capital leases)</w:t>
            </w:r>
          </w:p>
        </w:tc>
        <w:tc>
          <w:tcPr>
            <w:tcW w:w="3100" w:type="dxa"/>
            <w:vAlign w:val="bottom"/>
          </w:tcPr>
          <w:p>
            <w:pPr>
              <w:jc w:val="right"/>
              <w:ind w:right="124"/>
              <w:spacing w:after="0"/>
              <w:rPr>
                <w:sz w:val="20"/>
                <w:szCs w:val="20"/>
                <w:color w:val="auto"/>
              </w:rPr>
            </w:pPr>
            <w:r>
              <w:rPr>
                <w:rFonts w:ascii="Arial" w:cs="Arial" w:eastAsia="Arial" w:hAnsi="Arial"/>
                <w:sz w:val="15"/>
                <w:szCs w:val="15"/>
                <w:color w:val="auto"/>
              </w:rPr>
              <w:t>14.4</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15"/>
        </w:trPr>
        <w:tc>
          <w:tcPr>
            <w:tcW w:w="7900" w:type="dxa"/>
            <w:vAlign w:val="bottom"/>
          </w:tcPr>
          <w:p>
            <w:pPr>
              <w:ind w:left="60"/>
              <w:spacing w:after="0"/>
              <w:rPr>
                <w:sz w:val="20"/>
                <w:szCs w:val="20"/>
                <w:color w:val="auto"/>
              </w:rPr>
            </w:pPr>
            <w:r>
              <w:rPr>
                <w:rFonts w:ascii="Arial" w:cs="Arial" w:eastAsia="Arial" w:hAnsi="Arial"/>
                <w:sz w:val="15"/>
                <w:szCs w:val="15"/>
                <w:color w:val="auto"/>
              </w:rPr>
              <w:t>Add: Average automotive net pension &amp; OPEB liability</w:t>
            </w:r>
          </w:p>
        </w:tc>
        <w:tc>
          <w:tcPr>
            <w:tcW w:w="3100" w:type="dxa"/>
            <w:vAlign w:val="bottom"/>
          </w:tcPr>
          <w:p>
            <w:pPr>
              <w:jc w:val="right"/>
              <w:ind w:right="124"/>
              <w:spacing w:after="0"/>
              <w:rPr>
                <w:sz w:val="20"/>
                <w:szCs w:val="20"/>
                <w:color w:val="auto"/>
              </w:rPr>
            </w:pPr>
            <w:r>
              <w:rPr>
                <w:rFonts w:ascii="Arial" w:cs="Arial" w:eastAsia="Arial" w:hAnsi="Arial"/>
                <w:sz w:val="15"/>
                <w:szCs w:val="15"/>
                <w:color w:val="auto"/>
              </w:rPr>
              <w:t>18.3</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15"/>
        </w:trPr>
        <w:tc>
          <w:tcPr>
            <w:tcW w:w="7900" w:type="dxa"/>
            <w:vAlign w:val="bottom"/>
          </w:tcPr>
          <w:p>
            <w:pPr>
              <w:ind w:left="60"/>
              <w:spacing w:after="0"/>
              <w:rPr>
                <w:sz w:val="20"/>
                <w:szCs w:val="20"/>
                <w:color w:val="auto"/>
              </w:rPr>
            </w:pPr>
            <w:r>
              <w:rPr>
                <w:rFonts w:ascii="Arial" w:cs="Arial" w:eastAsia="Arial" w:hAnsi="Arial"/>
                <w:sz w:val="15"/>
                <w:szCs w:val="15"/>
                <w:color w:val="auto"/>
              </w:rPr>
              <w:t>Less: Average automotive net income tax asset</w:t>
            </w:r>
          </w:p>
        </w:tc>
        <w:tc>
          <w:tcPr>
            <w:tcW w:w="3100" w:type="dxa"/>
            <w:vAlign w:val="bottom"/>
          </w:tcPr>
          <w:p>
            <w:pPr>
              <w:jc w:val="right"/>
              <w:ind w:right="64"/>
              <w:spacing w:after="0"/>
              <w:rPr>
                <w:sz w:val="20"/>
                <w:szCs w:val="20"/>
                <w:color w:val="auto"/>
              </w:rPr>
            </w:pPr>
            <w:r>
              <w:rPr>
                <w:rFonts w:ascii="Arial" w:cs="Arial" w:eastAsia="Arial" w:hAnsi="Arial"/>
                <w:sz w:val="15"/>
                <w:szCs w:val="15"/>
                <w:color w:val="auto"/>
              </w:rPr>
              <w:t>(22.7)</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15"/>
        </w:trPr>
        <w:tc>
          <w:tcPr>
            <w:tcW w:w="7900" w:type="dxa"/>
            <w:vAlign w:val="bottom"/>
          </w:tcPr>
          <w:p>
            <w:pPr>
              <w:ind w:left="60"/>
              <w:spacing w:after="0"/>
              <w:rPr>
                <w:sz w:val="20"/>
                <w:szCs w:val="20"/>
                <w:color w:val="auto"/>
              </w:rPr>
            </w:pPr>
            <w:r>
              <w:rPr>
                <w:rFonts w:ascii="Arial" w:cs="Arial" w:eastAsia="Arial" w:hAnsi="Arial"/>
                <w:sz w:val="15"/>
                <w:szCs w:val="15"/>
                <w:color w:val="auto"/>
              </w:rPr>
              <w:t>ROIC-adjusted average net assets</w:t>
            </w:r>
          </w:p>
        </w:tc>
        <w:tc>
          <w:tcPr>
            <w:tcW w:w="3100" w:type="dxa"/>
            <w:vAlign w:val="bottom"/>
          </w:tcPr>
          <w:p>
            <w:pPr>
              <w:jc w:val="right"/>
              <w:ind w:right="124"/>
              <w:spacing w:after="0"/>
              <w:rPr>
                <w:sz w:val="20"/>
                <w:szCs w:val="20"/>
                <w:color w:val="auto"/>
              </w:rPr>
            </w:pPr>
            <w:r>
              <w:rPr>
                <w:rFonts w:ascii="Arial" w:cs="Arial" w:eastAsia="Arial" w:hAnsi="Arial"/>
                <w:sz w:val="15"/>
                <w:szCs w:val="15"/>
                <w:color w:val="auto"/>
              </w:rPr>
              <w:t>47.4</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15"/>
        </w:trPr>
        <w:tc>
          <w:tcPr>
            <w:tcW w:w="7900" w:type="dxa"/>
            <w:vAlign w:val="bottom"/>
          </w:tcPr>
          <w:p>
            <w:pPr>
              <w:ind w:left="60"/>
              <w:spacing w:after="0"/>
              <w:rPr>
                <w:sz w:val="20"/>
                <w:szCs w:val="20"/>
                <w:color w:val="auto"/>
              </w:rPr>
            </w:pPr>
            <w:r>
              <w:rPr>
                <w:rFonts w:ascii="Arial" w:cs="Arial" w:eastAsia="Arial" w:hAnsi="Arial"/>
                <w:sz w:val="15"/>
                <w:szCs w:val="15"/>
                <w:b w:val="1"/>
                <w:bCs w:val="1"/>
                <w:color w:val="00A1DF"/>
              </w:rPr>
              <w:t>ROIC-adjusted</w:t>
            </w:r>
          </w:p>
        </w:tc>
        <w:tc>
          <w:tcPr>
            <w:tcW w:w="3100" w:type="dxa"/>
            <w:vAlign w:val="bottom"/>
          </w:tcPr>
          <w:p>
            <w:pPr>
              <w:jc w:val="right"/>
              <w:spacing w:after="0"/>
              <w:rPr>
                <w:sz w:val="20"/>
                <w:szCs w:val="20"/>
                <w:color w:val="auto"/>
              </w:rPr>
            </w:pPr>
            <w:r>
              <w:rPr>
                <w:rFonts w:ascii="Arial" w:cs="Arial" w:eastAsia="Arial" w:hAnsi="Arial"/>
                <w:sz w:val="15"/>
                <w:szCs w:val="15"/>
                <w:b w:val="1"/>
                <w:bCs w:val="1"/>
                <w:color w:val="00A1DF"/>
              </w:rPr>
              <w:t>24.9%</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40" w:hanging="330"/>
        <w:spacing w:after="0"/>
        <w:tabs>
          <w:tab w:leader="none" w:pos="540" w:val="left"/>
        </w:tabs>
        <w:numPr>
          <w:ilvl w:val="0"/>
          <w:numId w:val="14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equity of noncontrolling interests where the corresponding earnings are included in EBIT-adjusted.</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31"/>
          <w:szCs w:val="31"/>
          <w:color w:val="00A1DF"/>
        </w:rPr>
        <w:t>Adjusted Automotive Free Cash Flow</w:t>
      </w:r>
    </w:p>
    <w:p>
      <w:pPr>
        <w:spacing w:after="0" w:line="187"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In the section titled “Executive Compensation,” we present one of our incentive compensation measures, adjusted automotive free cash flow, which is not prepared in accordance with GAAP. Below is a reconciliation of adjusted automotive free cash flow (as calculated for incentive compensation purposes) to net automotive cash provided by operating activities – continuing operations, its nearest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698944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8120" w:type="dxa"/>
            <w:vAlign w:val="bottom"/>
          </w:tcPr>
          <w:p>
            <w:pPr>
              <w:spacing w:after="0"/>
              <w:rPr>
                <w:sz w:val="20"/>
                <w:szCs w:val="20"/>
                <w:color w:val="auto"/>
              </w:rPr>
            </w:pPr>
            <w:r>
              <w:rPr>
                <w:rFonts w:ascii="Arial" w:cs="Arial" w:eastAsia="Arial" w:hAnsi="Arial"/>
                <w:sz w:val="15"/>
                <w:szCs w:val="15"/>
                <w:b w:val="1"/>
                <w:bCs w:val="1"/>
                <w:color w:val="00A1DF"/>
              </w:rPr>
              <w:t>($B)</w:t>
            </w:r>
          </w:p>
        </w:tc>
        <w:tc>
          <w:tcPr>
            <w:tcW w:w="2880" w:type="dxa"/>
            <w:vAlign w:val="bottom"/>
          </w:tcPr>
          <w:p>
            <w:pPr>
              <w:jc w:val="right"/>
              <w:ind w:right="24"/>
              <w:spacing w:after="0"/>
              <w:rPr>
                <w:sz w:val="20"/>
                <w:szCs w:val="20"/>
                <w:color w:val="auto"/>
              </w:rPr>
            </w:pPr>
            <w:r>
              <w:rPr>
                <w:rFonts w:ascii="Arial" w:cs="Arial" w:eastAsia="Arial" w:hAnsi="Arial"/>
                <w:sz w:val="15"/>
                <w:szCs w:val="15"/>
                <w:b w:val="1"/>
                <w:bCs w:val="1"/>
                <w:color w:val="00A1DF"/>
              </w:rPr>
              <w:t>2018</w:t>
            </w:r>
          </w:p>
        </w:tc>
      </w:tr>
      <w:tr>
        <w:trPr>
          <w:trHeight w:val="21"/>
        </w:trPr>
        <w:tc>
          <w:tcPr>
            <w:tcW w:w="8120" w:type="dxa"/>
            <w:vAlign w:val="bottom"/>
            <w:tcBorders>
              <w:bottom w:val="single" w:sz="8" w:color="00A1DF"/>
            </w:tcBorders>
          </w:tcPr>
          <w:p>
            <w:pPr>
              <w:spacing w:after="0" w:line="20" w:lineRule="exact"/>
              <w:rPr>
                <w:sz w:val="1"/>
                <w:szCs w:val="1"/>
                <w:color w:val="auto"/>
              </w:rPr>
            </w:pPr>
          </w:p>
        </w:tc>
        <w:tc>
          <w:tcPr>
            <w:tcW w:w="2880" w:type="dxa"/>
            <w:vAlign w:val="bottom"/>
            <w:tcBorders>
              <w:bottom w:val="single" w:sz="8" w:color="00A1DF"/>
            </w:tcBorders>
          </w:tcPr>
          <w:p>
            <w:pPr>
              <w:spacing w:after="0" w:line="20" w:lineRule="exact"/>
              <w:rPr>
                <w:sz w:val="1"/>
                <w:szCs w:val="1"/>
                <w:color w:val="auto"/>
              </w:rPr>
            </w:pPr>
          </w:p>
        </w:tc>
      </w:tr>
      <w:tr>
        <w:trPr>
          <w:trHeight w:val="215"/>
        </w:trPr>
        <w:tc>
          <w:tcPr>
            <w:tcW w:w="8120" w:type="dxa"/>
            <w:vAlign w:val="bottom"/>
          </w:tcPr>
          <w:p>
            <w:pPr>
              <w:ind w:left="60"/>
              <w:spacing w:after="0"/>
              <w:rPr>
                <w:sz w:val="20"/>
                <w:szCs w:val="20"/>
                <w:color w:val="auto"/>
              </w:rPr>
            </w:pPr>
            <w:r>
              <w:rPr>
                <w:rFonts w:ascii="Arial" w:cs="Arial" w:eastAsia="Arial" w:hAnsi="Arial"/>
                <w:sz w:val="15"/>
                <w:szCs w:val="15"/>
                <w:b w:val="1"/>
                <w:bCs w:val="1"/>
                <w:color w:val="auto"/>
              </w:rPr>
              <w:t>Net automotive cash provided by operating activities – continuing operations</w:t>
            </w:r>
          </w:p>
        </w:tc>
        <w:tc>
          <w:tcPr>
            <w:tcW w:w="2880" w:type="dxa"/>
            <w:vAlign w:val="bottom"/>
          </w:tcPr>
          <w:p>
            <w:pPr>
              <w:jc w:val="right"/>
              <w:ind w:right="24"/>
              <w:spacing w:after="0"/>
              <w:rPr>
                <w:sz w:val="20"/>
                <w:szCs w:val="20"/>
                <w:color w:val="auto"/>
              </w:rPr>
            </w:pPr>
            <w:r>
              <w:rPr>
                <w:rFonts w:ascii="Arial" w:cs="Arial" w:eastAsia="Arial" w:hAnsi="Arial"/>
                <w:sz w:val="15"/>
                <w:szCs w:val="15"/>
                <w:b w:val="1"/>
                <w:bCs w:val="1"/>
                <w:color w:val="auto"/>
              </w:rPr>
              <w:t>11.7</w:t>
            </w: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215"/>
        </w:trPr>
        <w:tc>
          <w:tcPr>
            <w:tcW w:w="8120" w:type="dxa"/>
            <w:vAlign w:val="bottom"/>
          </w:tcPr>
          <w:p>
            <w:pPr>
              <w:ind w:left="60"/>
              <w:spacing w:after="0"/>
              <w:rPr>
                <w:sz w:val="20"/>
                <w:szCs w:val="20"/>
                <w:color w:val="auto"/>
              </w:rPr>
            </w:pPr>
            <w:r>
              <w:rPr>
                <w:rFonts w:ascii="Arial" w:cs="Arial" w:eastAsia="Arial" w:hAnsi="Arial"/>
                <w:sz w:val="15"/>
                <w:szCs w:val="15"/>
                <w:color w:val="auto"/>
              </w:rPr>
              <w:t>Less: capital expenditures – continuing operations</w:t>
            </w:r>
          </w:p>
        </w:tc>
        <w:tc>
          <w:tcPr>
            <w:tcW w:w="288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215"/>
        </w:trPr>
        <w:tc>
          <w:tcPr>
            <w:tcW w:w="8120" w:type="dxa"/>
            <w:vAlign w:val="bottom"/>
          </w:tcPr>
          <w:p>
            <w:pPr>
              <w:ind w:left="60"/>
              <w:spacing w:after="0"/>
              <w:rPr>
                <w:sz w:val="20"/>
                <w:szCs w:val="20"/>
                <w:color w:val="auto"/>
              </w:rPr>
            </w:pPr>
            <w:r>
              <w:rPr>
                <w:rFonts w:ascii="Arial" w:cs="Arial" w:eastAsia="Arial" w:hAnsi="Arial"/>
                <w:sz w:val="15"/>
                <w:szCs w:val="15"/>
                <w:color w:val="auto"/>
              </w:rPr>
              <w:t>Adjustments</w:t>
            </w:r>
          </w:p>
        </w:tc>
        <w:tc>
          <w:tcPr>
            <w:tcW w:w="2880" w:type="dxa"/>
            <w:vAlign w:val="bottom"/>
          </w:tcPr>
          <w:p>
            <w:pPr>
              <w:spacing w:after="0"/>
              <w:rPr>
                <w:sz w:val="18"/>
                <w:szCs w:val="18"/>
                <w:color w:val="auto"/>
              </w:rPr>
            </w:pP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215"/>
        </w:trPr>
        <w:tc>
          <w:tcPr>
            <w:tcW w:w="8120" w:type="dxa"/>
            <w:vAlign w:val="bottom"/>
          </w:tcPr>
          <w:p>
            <w:pPr>
              <w:ind w:left="300"/>
              <w:spacing w:after="0"/>
              <w:rPr>
                <w:sz w:val="20"/>
                <w:szCs w:val="20"/>
                <w:color w:val="auto"/>
              </w:rPr>
            </w:pPr>
            <w:r>
              <w:rPr>
                <w:rFonts w:ascii="Arial" w:cs="Arial" w:eastAsia="Arial" w:hAnsi="Arial"/>
                <w:sz w:val="15"/>
                <w:szCs w:val="15"/>
                <w:color w:val="auto"/>
              </w:rPr>
              <w:t>Transformation activities</w:t>
            </w:r>
          </w:p>
        </w:tc>
        <w:tc>
          <w:tcPr>
            <w:tcW w:w="2880" w:type="dxa"/>
            <w:vAlign w:val="bottom"/>
          </w:tcPr>
          <w:p>
            <w:pPr>
              <w:jc w:val="right"/>
              <w:ind w:right="24"/>
              <w:spacing w:after="0"/>
              <w:rPr>
                <w:sz w:val="20"/>
                <w:szCs w:val="20"/>
                <w:color w:val="auto"/>
              </w:rPr>
            </w:pPr>
            <w:r>
              <w:rPr>
                <w:rFonts w:ascii="Arial" w:cs="Arial" w:eastAsia="Arial" w:hAnsi="Arial"/>
                <w:sz w:val="15"/>
                <w:szCs w:val="15"/>
                <w:color w:val="auto"/>
              </w:rPr>
              <w:t>0.0</w:t>
            </w: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215"/>
        </w:trPr>
        <w:tc>
          <w:tcPr>
            <w:tcW w:w="8120" w:type="dxa"/>
            <w:vAlign w:val="bottom"/>
          </w:tcPr>
          <w:p>
            <w:pPr>
              <w:ind w:left="300"/>
              <w:spacing w:after="0"/>
              <w:rPr>
                <w:sz w:val="20"/>
                <w:szCs w:val="20"/>
                <w:color w:val="auto"/>
              </w:rPr>
            </w:pPr>
            <w:r>
              <w:rPr>
                <w:rFonts w:ascii="Arial" w:cs="Arial" w:eastAsia="Arial" w:hAnsi="Arial"/>
                <w:sz w:val="15"/>
                <w:szCs w:val="15"/>
                <w:color w:val="auto"/>
              </w:rPr>
              <w:t>Korea restructuring</w:t>
            </w:r>
          </w:p>
        </w:tc>
        <w:tc>
          <w:tcPr>
            <w:tcW w:w="2880" w:type="dxa"/>
            <w:vAlign w:val="bottom"/>
          </w:tcPr>
          <w:p>
            <w:pPr>
              <w:jc w:val="right"/>
              <w:ind w:right="24"/>
              <w:spacing w:after="0"/>
              <w:rPr>
                <w:sz w:val="20"/>
                <w:szCs w:val="20"/>
                <w:color w:val="auto"/>
              </w:rPr>
            </w:pPr>
            <w:r>
              <w:rPr>
                <w:rFonts w:ascii="Arial" w:cs="Arial" w:eastAsia="Arial" w:hAnsi="Arial"/>
                <w:sz w:val="15"/>
                <w:szCs w:val="15"/>
                <w:color w:val="auto"/>
              </w:rPr>
              <w:t>0.8</w:t>
            </w: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236"/>
        </w:trPr>
        <w:tc>
          <w:tcPr>
            <w:tcW w:w="8120" w:type="dxa"/>
            <w:vAlign w:val="bottom"/>
            <w:tcBorders>
              <w:bottom w:val="single" w:sz="8" w:color="auto"/>
            </w:tcBorders>
          </w:tcPr>
          <w:p>
            <w:pPr>
              <w:ind w:left="300"/>
              <w:spacing w:after="0" w:line="236" w:lineRule="exact"/>
              <w:rPr>
                <w:sz w:val="20"/>
                <w:szCs w:val="20"/>
                <w:color w:val="auto"/>
              </w:rPr>
            </w:pPr>
            <w:r>
              <w:rPr>
                <w:rFonts w:ascii="Arial" w:cs="Arial" w:eastAsia="Arial" w:hAnsi="Arial"/>
                <w:sz w:val="15"/>
                <w:szCs w:val="15"/>
                <w:color w:val="auto"/>
              </w:rPr>
              <w:t>Incentive compensation adjustments</w:t>
            </w:r>
            <w:r>
              <w:rPr>
                <w:rFonts w:ascii="Arial" w:cs="Arial" w:eastAsia="Arial" w:hAnsi="Arial"/>
                <w:sz w:val="25"/>
                <w:szCs w:val="25"/>
                <w:color w:val="auto"/>
                <w:vertAlign w:val="superscript"/>
              </w:rPr>
              <w:t>(1)</w:t>
            </w:r>
          </w:p>
        </w:tc>
        <w:tc>
          <w:tcPr>
            <w:tcW w:w="2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0.8</w:t>
            </w:r>
          </w:p>
        </w:tc>
      </w:tr>
      <w:tr>
        <w:trPr>
          <w:trHeight w:val="215"/>
        </w:trPr>
        <w:tc>
          <w:tcPr>
            <w:tcW w:w="8120" w:type="dxa"/>
            <w:vAlign w:val="bottom"/>
          </w:tcPr>
          <w:p>
            <w:pPr>
              <w:ind w:left="60"/>
              <w:spacing w:after="0"/>
              <w:rPr>
                <w:sz w:val="20"/>
                <w:szCs w:val="20"/>
                <w:color w:val="auto"/>
              </w:rPr>
            </w:pPr>
            <w:r>
              <w:rPr>
                <w:rFonts w:ascii="Arial" w:cs="Arial" w:eastAsia="Arial" w:hAnsi="Arial"/>
                <w:sz w:val="15"/>
                <w:szCs w:val="15"/>
                <w:color w:val="auto"/>
              </w:rPr>
              <w:t>Total adjustments</w:t>
            </w:r>
          </w:p>
        </w:tc>
        <w:tc>
          <w:tcPr>
            <w:tcW w:w="2880" w:type="dxa"/>
            <w:vAlign w:val="bottom"/>
          </w:tcPr>
          <w:p>
            <w:pPr>
              <w:jc w:val="right"/>
              <w:ind w:right="24"/>
              <w:spacing w:after="0"/>
              <w:rPr>
                <w:sz w:val="20"/>
                <w:szCs w:val="20"/>
                <w:color w:val="auto"/>
              </w:rPr>
            </w:pPr>
            <w:r>
              <w:rPr>
                <w:rFonts w:ascii="Arial" w:cs="Arial" w:eastAsia="Arial" w:hAnsi="Arial"/>
                <w:sz w:val="15"/>
                <w:szCs w:val="15"/>
                <w:color w:val="auto"/>
              </w:rPr>
              <w:t>1.7</w:t>
            </w: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215"/>
        </w:trPr>
        <w:tc>
          <w:tcPr>
            <w:tcW w:w="8120" w:type="dxa"/>
            <w:vAlign w:val="bottom"/>
          </w:tcPr>
          <w:p>
            <w:pPr>
              <w:ind w:left="60"/>
              <w:spacing w:after="0"/>
              <w:rPr>
                <w:sz w:val="20"/>
                <w:szCs w:val="20"/>
                <w:color w:val="auto"/>
              </w:rPr>
            </w:pPr>
            <w:r>
              <w:rPr>
                <w:rFonts w:ascii="Arial" w:cs="Arial" w:eastAsia="Arial" w:hAnsi="Arial"/>
                <w:sz w:val="15"/>
                <w:szCs w:val="15"/>
                <w:b w:val="1"/>
                <w:bCs w:val="1"/>
                <w:color w:val="00A1DF"/>
              </w:rPr>
              <w:t>Adjusted automotive free cash flow (for incentive compensation purposes)</w:t>
            </w:r>
          </w:p>
        </w:tc>
        <w:tc>
          <w:tcPr>
            <w:tcW w:w="2880" w:type="dxa"/>
            <w:vAlign w:val="bottom"/>
          </w:tcPr>
          <w:p>
            <w:pPr>
              <w:jc w:val="right"/>
              <w:ind w:right="24"/>
              <w:spacing w:after="0"/>
              <w:rPr>
                <w:sz w:val="20"/>
                <w:szCs w:val="20"/>
                <w:color w:val="auto"/>
              </w:rPr>
            </w:pPr>
            <w:r>
              <w:rPr>
                <w:rFonts w:ascii="Arial" w:cs="Arial" w:eastAsia="Arial" w:hAnsi="Arial"/>
                <w:sz w:val="15"/>
                <w:szCs w:val="15"/>
                <w:b w:val="1"/>
                <w:bCs w:val="1"/>
                <w:color w:val="00A1DF"/>
              </w:rPr>
              <w:t>4.7</w:t>
            </w: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20" w:right="120" w:hanging="10"/>
        <w:spacing w:after="0" w:line="359" w:lineRule="auto"/>
        <w:tabs>
          <w:tab w:leader="none" w:pos="544" w:val="left"/>
        </w:tabs>
        <w:numPr>
          <w:ilvl w:val="0"/>
          <w:numId w:val="15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pre-funding of certain non-U.S. pension plan contributions in the third quarter of 2018 and recall-related expenses attributable to events occurring in 2014. Note: Amounts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265430</wp:posOffset>
            </wp:positionV>
            <wp:extent cx="6852920" cy="1454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2920" cy="1454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4"/>
          <w:szCs w:val="14"/>
          <w:color w:val="0033A0"/>
        </w:rPr>
        <w:t>A-2</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20"/>
        <w:spacing w:after="0"/>
        <w:rPr>
          <w:sz w:val="20"/>
          <w:szCs w:val="20"/>
          <w:color w:val="auto"/>
        </w:rPr>
      </w:pPr>
      <w:r>
        <w:rPr>
          <w:rFonts w:ascii="Arial" w:cs="Arial" w:eastAsia="Arial" w:hAnsi="Arial"/>
          <w:sz w:val="38"/>
          <w:szCs w:val="38"/>
          <w:b w:val="1"/>
          <w:bCs w:val="1"/>
          <w:color w:val="00A1DF"/>
        </w:rPr>
        <w:t xml:space="preserve">APPENDIX B: </w:t>
      </w:r>
      <w:r>
        <w:rPr>
          <w:rFonts w:ascii="Arial" w:cs="Arial" w:eastAsia="Arial" w:hAnsi="Arial"/>
          <w:sz w:val="38"/>
          <w:szCs w:val="38"/>
          <w:color w:val="0033A0"/>
        </w:rPr>
        <w:t>ADDITIONAL INFORMATION</w:t>
      </w:r>
    </w:p>
    <w:p>
      <w:pPr>
        <w:spacing w:after="0" w:line="37" w:lineRule="exact"/>
        <w:rPr>
          <w:sz w:val="20"/>
          <w:szCs w:val="20"/>
          <w:color w:val="auto"/>
        </w:rPr>
      </w:pPr>
    </w:p>
    <w:p>
      <w:pPr>
        <w:ind w:left="2840"/>
        <w:spacing w:after="0"/>
        <w:rPr>
          <w:sz w:val="20"/>
          <w:szCs w:val="20"/>
          <w:color w:val="auto"/>
        </w:rPr>
      </w:pPr>
      <w:r>
        <w:rPr>
          <w:rFonts w:ascii="Arial" w:cs="Arial" w:eastAsia="Arial" w:hAnsi="Arial"/>
          <w:sz w:val="38"/>
          <w:szCs w:val="38"/>
          <w:color w:val="0033A0"/>
        </w:rPr>
        <w:t>REGARDING CHANGE OF INDEPENDENT</w:t>
      </w:r>
    </w:p>
    <w:p>
      <w:pPr>
        <w:ind w:left="2840"/>
        <w:spacing w:after="0"/>
        <w:rPr>
          <w:sz w:val="20"/>
          <w:szCs w:val="20"/>
          <w:color w:val="auto"/>
        </w:rPr>
      </w:pPr>
      <w:r>
        <w:rPr>
          <w:rFonts w:ascii="Arial" w:cs="Arial" w:eastAsia="Arial" w:hAnsi="Arial"/>
          <w:sz w:val="38"/>
          <w:szCs w:val="38"/>
          <w:color w:val="0033A0"/>
        </w:rPr>
        <w:t>REGISTERED PUBLIC ACCOUNTING FIRMS</w:t>
      </w:r>
    </w:p>
    <w:p>
      <w:pPr>
        <w:spacing w:after="0" w:line="298"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As reported on the Company’s Current Report on Form 8-K, dated September 25, 2017, and amended on February 12, 2018, the Audit Committee approved the engagement of Ernst &amp; Young LLP (“EY”) as the Company’s independent registered public accounting firm for the Company’s fiscal year ending December 31, 2018. Deloitte &amp; Touche LLP (“Deloitte”) continued as the Company’s independent registered public accounting firm through the year ending December 31, 2017. On February 6, 2018, when the Company filed its Annual Report on Form 10-K for the fiscal year ended December 31, 2017, with the U.S. Securities and Exchange Commission, Deloitte completed its audit of the Company’s consolidated financial statements for such fiscal year, and the Company’s retention of Deloitte as our independent registered public accounting firm with respect to the audit of Company’s consolidated U.S. GAAP financial statements ended as of that date.</w:t>
      </w:r>
    </w:p>
    <w:p>
      <w:pPr>
        <w:spacing w:after="0" w:line="113" w:lineRule="exact"/>
        <w:rPr>
          <w:sz w:val="20"/>
          <w:szCs w:val="20"/>
          <w:color w:val="auto"/>
        </w:rPr>
      </w:pPr>
    </w:p>
    <w:p>
      <w:pPr>
        <w:ind w:left="420" w:hanging="210"/>
        <w:spacing w:after="0" w:line="260" w:lineRule="auto"/>
        <w:tabs>
          <w:tab w:leader="none" w:pos="420" w:val="left"/>
        </w:tabs>
        <w:numPr>
          <w:ilvl w:val="0"/>
          <w:numId w:val="151"/>
        </w:numPr>
        <w:rPr>
          <w:rFonts w:ascii="Arial" w:cs="Arial" w:eastAsia="Arial" w:hAnsi="Arial"/>
          <w:sz w:val="16"/>
          <w:szCs w:val="16"/>
          <w:color w:val="00A1DF"/>
        </w:rPr>
      </w:pPr>
      <w:r>
        <w:rPr>
          <w:rFonts w:ascii="Arial" w:cs="Arial" w:eastAsia="Arial" w:hAnsi="Arial"/>
          <w:sz w:val="16"/>
          <w:szCs w:val="16"/>
          <w:color w:val="auto"/>
        </w:rPr>
        <w:t>Deloitte’s reports on our consolidated financial statements as of and for the fiscal years ended December 31, 2016 and 2017, did not contain any adverse opinion or disclaimer of opinion, nor were they qualified or modified as to uncertainty, audit scope, or accounting principles.</w:t>
      </w:r>
    </w:p>
    <w:p>
      <w:pPr>
        <w:spacing w:after="0" w:line="100" w:lineRule="exact"/>
        <w:rPr>
          <w:rFonts w:ascii="Arial" w:cs="Arial" w:eastAsia="Arial" w:hAnsi="Arial"/>
          <w:sz w:val="16"/>
          <w:szCs w:val="16"/>
          <w:color w:val="00A1DF"/>
        </w:rPr>
      </w:pPr>
    </w:p>
    <w:p>
      <w:pPr>
        <w:jc w:val="both"/>
        <w:ind w:left="420" w:hanging="210"/>
        <w:spacing w:after="0" w:line="249" w:lineRule="auto"/>
        <w:tabs>
          <w:tab w:leader="none" w:pos="420" w:val="left"/>
        </w:tabs>
        <w:numPr>
          <w:ilvl w:val="0"/>
          <w:numId w:val="151"/>
        </w:numPr>
        <w:rPr>
          <w:rFonts w:ascii="Arial" w:cs="Arial" w:eastAsia="Arial" w:hAnsi="Arial"/>
          <w:sz w:val="16"/>
          <w:szCs w:val="16"/>
          <w:color w:val="00A1DF"/>
        </w:rPr>
      </w:pPr>
      <w:r>
        <w:rPr>
          <w:rFonts w:ascii="Arial" w:cs="Arial" w:eastAsia="Arial" w:hAnsi="Arial"/>
          <w:sz w:val="16"/>
          <w:szCs w:val="16"/>
          <w:color w:val="auto"/>
        </w:rPr>
        <w:t>During the fiscal years ended December 31, 2016 and 2017, and the subsequent interim period through February 6, 2018 (the effective date of Deloitte’s dismissal) there were: (i) no disagreements within the meaning of Item 304(a)(1)(iv) of Regulation S-K and the related instructions between the Company and Deloitte on any matters of accounting principles or practices, financial statement disclosure, or auditing scope or procedure that, if not resolved to Deloitte’s satisfaction, would have caused Deloitte to make reference thereto in their reports; and (ii) no “reportable events” within the meaning of Item 304(a)(1)(v) of Regulation S-K.</w:t>
      </w:r>
    </w:p>
    <w:p>
      <w:pPr>
        <w:spacing w:after="0" w:line="111" w:lineRule="exact"/>
        <w:rPr>
          <w:rFonts w:ascii="Arial" w:cs="Arial" w:eastAsia="Arial" w:hAnsi="Arial"/>
          <w:sz w:val="16"/>
          <w:szCs w:val="16"/>
          <w:color w:val="00A1DF"/>
        </w:rPr>
      </w:pPr>
    </w:p>
    <w:p>
      <w:pPr>
        <w:jc w:val="both"/>
        <w:ind w:left="420" w:hanging="210"/>
        <w:spacing w:after="0" w:line="248" w:lineRule="auto"/>
        <w:tabs>
          <w:tab w:leader="none" w:pos="420" w:val="left"/>
        </w:tabs>
        <w:numPr>
          <w:ilvl w:val="0"/>
          <w:numId w:val="151"/>
        </w:numPr>
        <w:rPr>
          <w:rFonts w:ascii="Arial" w:cs="Arial" w:eastAsia="Arial" w:hAnsi="Arial"/>
          <w:sz w:val="16"/>
          <w:szCs w:val="16"/>
          <w:color w:val="00A1DF"/>
        </w:rPr>
      </w:pPr>
      <w:r>
        <w:rPr>
          <w:rFonts w:ascii="Arial" w:cs="Arial" w:eastAsia="Arial" w:hAnsi="Arial"/>
          <w:sz w:val="16"/>
          <w:szCs w:val="16"/>
          <w:color w:val="auto"/>
        </w:rPr>
        <w:t>During the fiscal years ended December 31, 2016 and 2017, and the subsequent interim period through February 6, 2018 (the effective date of Deloitte’s dismissal), neither the Company nor anyone on its behalf has consulted with EY regarding: (i) the application of accounting principles to a specific transaction, either completed or proposed, or the type of audit opinion that might be rendered on the Company’s financial statements, and neither a written report nor oral advice was provided to the Company that EY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208280</wp:posOffset>
            </wp:positionV>
            <wp:extent cx="6758305" cy="1282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58305" cy="128270"/>
                    </a:xfrm>
                    <a:prstGeom prst="rect">
                      <a:avLst/>
                    </a:prstGeom>
                    <a:noFill/>
                  </pic:spPr>
                </pic:pic>
              </a:graphicData>
            </a:graphic>
          </wp:anchor>
        </w:drawing>
      </w:r>
    </w:p>
    <w:p>
      <w:pPr>
        <w:spacing w:after="0" w:line="313"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B-1</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5953125" cy="5397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5312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GENERAL MOTORS COMPANY</w:t>
      </w:r>
    </w:p>
    <w:p>
      <w:pPr>
        <w:ind w:left="220" w:right="7880"/>
        <w:spacing w:after="0" w:line="221" w:lineRule="auto"/>
        <w:rPr>
          <w:sz w:val="20"/>
          <w:szCs w:val="20"/>
          <w:color w:val="auto"/>
        </w:rPr>
      </w:pPr>
      <w:r>
        <w:rPr>
          <w:rFonts w:ascii="Arial" w:cs="Arial" w:eastAsia="Arial" w:hAnsi="Arial"/>
          <w:sz w:val="14"/>
          <w:szCs w:val="14"/>
          <w:b w:val="1"/>
          <w:bCs w:val="1"/>
          <w:i w:val="1"/>
          <w:iCs w:val="1"/>
          <w:color w:val="auto"/>
        </w:rPr>
        <w:t>GENERAL MOTORS GLOBAL HEADQUARTERS MAIL CODE 482-C24-A31 300 RENAISSANCE CENTER</w:t>
      </w:r>
    </w:p>
    <w:p>
      <w:pPr>
        <w:ind w:left="220"/>
        <w:spacing w:after="0" w:line="188" w:lineRule="auto"/>
        <w:rPr>
          <w:sz w:val="20"/>
          <w:szCs w:val="20"/>
          <w:color w:val="auto"/>
        </w:rPr>
      </w:pPr>
      <w:r>
        <w:rPr>
          <w:rFonts w:ascii="Arial" w:cs="Arial" w:eastAsia="Arial" w:hAnsi="Arial"/>
          <w:sz w:val="9"/>
          <w:szCs w:val="9"/>
          <w:b w:val="1"/>
          <w:bCs w:val="1"/>
          <w:i w:val="1"/>
          <w:iCs w:val="1"/>
          <w:color w:val="auto"/>
        </w:rPr>
        <w:t>DETROIT, MI 48265</w:t>
      </w:r>
    </w:p>
    <w:p>
      <w:pPr>
        <w:ind w:left="5940"/>
        <w:spacing w:after="0" w:line="221" w:lineRule="auto"/>
        <w:rPr>
          <w:sz w:val="20"/>
          <w:szCs w:val="20"/>
          <w:color w:val="auto"/>
        </w:rPr>
      </w:pPr>
      <w:r>
        <w:rPr>
          <w:rFonts w:ascii="Arial" w:cs="Arial" w:eastAsia="Arial" w:hAnsi="Arial"/>
          <w:sz w:val="14"/>
          <w:szCs w:val="14"/>
          <w:b w:val="1"/>
          <w:bCs w:val="1"/>
          <w:color w:val="auto"/>
        </w:rPr>
        <w:t>VOTE BY INTERNET</w:t>
      </w:r>
    </w:p>
    <w:p>
      <w:pPr>
        <w:ind w:left="5940"/>
        <w:spacing w:after="0" w:line="221" w:lineRule="auto"/>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or scan the QR Barcode above</w:t>
      </w:r>
    </w:p>
    <w:p>
      <w:pPr>
        <w:ind w:left="5940"/>
        <w:spacing w:after="0" w:line="222" w:lineRule="auto"/>
        <w:rPr>
          <w:sz w:val="20"/>
          <w:szCs w:val="20"/>
          <w:color w:val="auto"/>
        </w:rPr>
      </w:pPr>
      <w:r>
        <w:rPr>
          <w:rFonts w:ascii="Arial" w:cs="Arial" w:eastAsia="Arial" w:hAnsi="Arial"/>
          <w:sz w:val="14"/>
          <w:szCs w:val="14"/>
          <w:color w:val="auto"/>
        </w:rPr>
        <w:t>Use the internet to transmit your voting instructions and for electronic delivery of</w:t>
      </w:r>
    </w:p>
    <w:p>
      <w:pPr>
        <w:ind w:left="5940"/>
        <w:spacing w:after="0" w:line="238" w:lineRule="auto"/>
        <w:rPr>
          <w:sz w:val="20"/>
          <w:szCs w:val="20"/>
          <w:color w:val="auto"/>
        </w:rPr>
      </w:pPr>
      <w:r>
        <w:rPr>
          <w:rFonts w:ascii="Arial" w:cs="Arial" w:eastAsia="Arial" w:hAnsi="Arial"/>
          <w:sz w:val="13"/>
          <w:szCs w:val="13"/>
          <w:color w:val="auto"/>
        </w:rPr>
        <w:t>information up until 11:59 p.m. Eastern Time on Monday, June 3, 2019. Have your proxy</w:t>
      </w:r>
    </w:p>
    <w:p>
      <w:pPr>
        <w:ind w:left="5940"/>
        <w:spacing w:after="0"/>
        <w:rPr>
          <w:sz w:val="20"/>
          <w:szCs w:val="20"/>
          <w:color w:val="auto"/>
        </w:rPr>
      </w:pPr>
      <w:r>
        <w:rPr>
          <w:rFonts w:ascii="Arial" w:cs="Arial" w:eastAsia="Arial" w:hAnsi="Arial"/>
          <w:sz w:val="13"/>
          <w:szCs w:val="13"/>
          <w:color w:val="auto"/>
        </w:rPr>
        <w:t>card in hand when you access the website and follow the instructions to obtain your records</w:t>
      </w:r>
    </w:p>
    <w:p>
      <w:pPr>
        <w:ind w:left="5940"/>
        <w:spacing w:after="0"/>
        <w:rPr>
          <w:sz w:val="20"/>
          <w:szCs w:val="20"/>
          <w:color w:val="auto"/>
        </w:rPr>
      </w:pPr>
      <w:r>
        <w:rPr>
          <w:rFonts w:ascii="Arial" w:cs="Arial" w:eastAsia="Arial" w:hAnsi="Arial"/>
          <w:sz w:val="14"/>
          <w:szCs w:val="14"/>
          <w:color w:val="auto"/>
        </w:rPr>
        <w:t>and to create an electronic voting instruction form.</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GM.onlineshareholdermeeting.com</w:t>
      </w:r>
    </w:p>
    <w:p>
      <w:pPr>
        <w:ind w:left="5940"/>
        <w:spacing w:after="0" w:line="226" w:lineRule="auto"/>
        <w:rPr>
          <w:sz w:val="20"/>
          <w:szCs w:val="20"/>
          <w:color w:val="auto"/>
        </w:rPr>
      </w:pPr>
      <w:r>
        <w:rPr>
          <w:rFonts w:ascii="Arial" w:cs="Arial" w:eastAsia="Arial" w:hAnsi="Arial"/>
          <w:sz w:val="14"/>
          <w:szCs w:val="14"/>
          <w:color w:val="auto"/>
        </w:rPr>
        <w:t>You may attend the meeting via the internet and vote during the meeting. Have the</w:t>
      </w:r>
    </w:p>
    <w:p>
      <w:pPr>
        <w:ind w:left="5940"/>
        <w:spacing w:after="0" w:line="221" w:lineRule="auto"/>
        <w:rPr>
          <w:sz w:val="20"/>
          <w:szCs w:val="20"/>
          <w:color w:val="auto"/>
        </w:rPr>
      </w:pPr>
      <w:r>
        <w:rPr>
          <w:rFonts w:ascii="Arial" w:cs="Arial" w:eastAsia="Arial" w:hAnsi="Arial"/>
          <w:sz w:val="14"/>
          <w:szCs w:val="14"/>
          <w:color w:val="auto"/>
        </w:rPr>
        <w:t>information that is printed in the box marked by the arrow available and follow the</w:t>
      </w:r>
    </w:p>
    <w:p>
      <w:pPr>
        <w:ind w:left="5940"/>
        <w:spacing w:after="0"/>
        <w:rPr>
          <w:sz w:val="20"/>
          <w:szCs w:val="20"/>
          <w:color w:val="auto"/>
        </w:rPr>
      </w:pPr>
      <w:r>
        <w:rPr>
          <w:rFonts w:ascii="Arial" w:cs="Arial" w:eastAsia="Arial" w:hAnsi="Arial"/>
          <w:sz w:val="14"/>
          <w:szCs w:val="14"/>
          <w:color w:val="auto"/>
        </w:rPr>
        <w:t>instructions.</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VOTE BY TELEPHONE - 1-800-690-6903</w:t>
      </w:r>
    </w:p>
    <w:p>
      <w:pPr>
        <w:ind w:left="5940"/>
        <w:spacing w:after="0" w:line="226" w:lineRule="auto"/>
        <w:rPr>
          <w:sz w:val="20"/>
          <w:szCs w:val="20"/>
          <w:color w:val="auto"/>
        </w:rPr>
      </w:pPr>
      <w:r>
        <w:rPr>
          <w:rFonts w:ascii="Arial" w:cs="Arial" w:eastAsia="Arial" w:hAnsi="Arial"/>
          <w:sz w:val="14"/>
          <w:szCs w:val="14"/>
          <w:color w:val="auto"/>
        </w:rPr>
        <w:t>Use any touch-tone telephone to transmit your voting instructions up until 11:59 p.m.</w:t>
      </w:r>
    </w:p>
    <w:p>
      <w:pPr>
        <w:ind w:left="5940"/>
        <w:spacing w:after="0"/>
        <w:rPr>
          <w:sz w:val="20"/>
          <w:szCs w:val="20"/>
          <w:color w:val="auto"/>
        </w:rPr>
      </w:pPr>
      <w:r>
        <w:rPr>
          <w:rFonts w:ascii="Arial" w:cs="Arial" w:eastAsia="Arial" w:hAnsi="Arial"/>
          <w:sz w:val="13"/>
          <w:szCs w:val="13"/>
          <w:color w:val="auto"/>
        </w:rPr>
        <w:t>Eastern Time on Monday, June 3, 2019. Have your proxy card in hand when you call and</w:t>
      </w:r>
    </w:p>
    <w:p>
      <w:pPr>
        <w:ind w:left="5940"/>
        <w:spacing w:after="0"/>
        <w:rPr>
          <w:sz w:val="20"/>
          <w:szCs w:val="20"/>
          <w:color w:val="auto"/>
        </w:rPr>
      </w:pPr>
      <w:r>
        <w:rPr>
          <w:rFonts w:ascii="Arial" w:cs="Arial" w:eastAsia="Arial" w:hAnsi="Arial"/>
          <w:sz w:val="14"/>
          <w:szCs w:val="14"/>
          <w:color w:val="auto"/>
        </w:rPr>
        <w:t>then follow the instructions.</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If you vote by internet or telephone, do not mail this proxy card.</w:t>
      </w:r>
    </w:p>
    <w:p>
      <w:pPr>
        <w:spacing w:after="0" w:line="109"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Mark, sign, and date this proxy card and promptly return it in the enclosed postage-paid</w:t>
      </w:r>
    </w:p>
    <w:p>
      <w:pPr>
        <w:ind w:left="5940"/>
        <w:spacing w:after="0" w:line="238" w:lineRule="auto"/>
        <w:rPr>
          <w:sz w:val="20"/>
          <w:szCs w:val="20"/>
          <w:color w:val="auto"/>
        </w:rPr>
      </w:pPr>
      <w:r>
        <w:rPr>
          <w:rFonts w:ascii="Arial" w:cs="Arial" w:eastAsia="Arial" w:hAnsi="Arial"/>
          <w:sz w:val="13"/>
          <w:szCs w:val="13"/>
          <w:color w:val="auto"/>
        </w:rPr>
        <w:t>envelope or return it to: Vote Processing, c/o Broadridge, 51 Mercedes Way, Edgewood,</w:t>
      </w:r>
    </w:p>
    <w:p>
      <w:pPr>
        <w:ind w:left="5940"/>
        <w:spacing w:after="0"/>
        <w:rPr>
          <w:sz w:val="20"/>
          <w:szCs w:val="20"/>
          <w:color w:val="auto"/>
        </w:rPr>
      </w:pPr>
      <w:r>
        <w:rPr>
          <w:rFonts w:ascii="Arial" w:cs="Arial" w:eastAsia="Arial" w:hAnsi="Arial"/>
          <w:sz w:val="14"/>
          <w:szCs w:val="14"/>
          <w:color w:val="auto"/>
        </w:rPr>
        <w:t>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 VOTE, MARK BLOCKS BELOW IN BLUE OR BLACK INK AS FOLLOWS:</w:t>
      </w:r>
    </w:p>
    <w:p>
      <w:pPr>
        <w:ind w:left="6840"/>
        <w:spacing w:after="0"/>
        <w:tabs>
          <w:tab w:leader="none" w:pos="8380" w:val="left"/>
        </w:tabs>
        <w:rPr>
          <w:sz w:val="20"/>
          <w:szCs w:val="20"/>
          <w:color w:val="auto"/>
        </w:rPr>
      </w:pPr>
      <w:r>
        <w:rPr>
          <w:rFonts w:ascii="Arial" w:cs="Arial" w:eastAsia="Arial" w:hAnsi="Arial"/>
          <w:sz w:val="14"/>
          <w:szCs w:val="14"/>
          <w:color w:val="auto"/>
        </w:rPr>
        <w:t>E74319-P16865</w:t>
      </w:r>
      <w:r>
        <w:rPr>
          <w:sz w:val="20"/>
          <w:szCs w:val="20"/>
          <w:color w:val="auto"/>
        </w:rPr>
        <w:tab/>
      </w:r>
      <w:r>
        <w:rPr>
          <w:rFonts w:ascii="Arial" w:cs="Arial" w:eastAsia="Arial" w:hAnsi="Arial"/>
          <w:sz w:val="13"/>
          <w:szCs w:val="13"/>
          <w:color w:val="auto"/>
        </w:rPr>
        <w:t>KEEP THIS PORTION FOR YOUR RECORDS</w:t>
      </w:r>
    </w:p>
    <w:p>
      <w:pPr>
        <w:spacing w:after="0" w:line="1" w:lineRule="exact"/>
        <w:rPr>
          <w:sz w:val="20"/>
          <w:szCs w:val="20"/>
          <w:color w:val="auto"/>
        </w:rPr>
      </w:pPr>
    </w:p>
    <w:p>
      <w:pPr>
        <w:ind w:left="220" w:right="3200"/>
        <w:spacing w:after="0" w:line="231" w:lineRule="auto"/>
        <w:rPr>
          <w:sz w:val="20"/>
          <w:szCs w:val="20"/>
          <w:color w:val="auto"/>
        </w:rPr>
      </w:pPr>
      <w:r>
        <w:rPr>
          <w:rFonts w:ascii="Arial" w:cs="Arial" w:eastAsia="Arial" w:hAnsi="Arial"/>
          <w:sz w:val="18"/>
          <w:szCs w:val="18"/>
          <w:color w:val="auto"/>
        </w:rPr>
        <w:t>— — — — — — — — — — — — — — — — — — — — — — — — — — — — — — — — — — — — — — — — — — — — — — — —</w:t>
      </w:r>
    </w:p>
    <w:p>
      <w:pPr>
        <w:jc w:val="right"/>
        <w:spacing w:after="0" w:line="221" w:lineRule="auto"/>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22225</wp:posOffset>
            </wp:positionV>
            <wp:extent cx="7015480" cy="42227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015480" cy="4222750"/>
                    </a:xfrm>
                    <a:prstGeom prst="rect">
                      <a:avLst/>
                    </a:prstGeom>
                    <a:noFill/>
                  </pic:spPr>
                </pic:pic>
              </a:graphicData>
            </a:graphic>
          </wp:anchor>
        </w:drawing>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GENERAL MOTORS COMPANY</w:t>
      </w:r>
    </w:p>
    <w:p>
      <w:pPr>
        <w:spacing w:after="0" w:line="12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If you wish to vote in accordance with the Board of Directors’ recommendations, you need only sign, date, and return this proxy card.</w:t>
      </w:r>
    </w:p>
    <w:p>
      <w:pPr>
        <w:ind w:left="780"/>
        <w:spacing w:after="0" w:line="226"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 ALL</w:t>
      </w:r>
    </w:p>
    <w:p>
      <w:pPr>
        <w:ind w:left="780"/>
        <w:spacing w:after="0"/>
        <w:rPr>
          <w:sz w:val="20"/>
          <w:szCs w:val="20"/>
          <w:color w:val="auto"/>
        </w:rPr>
      </w:pPr>
      <w:r>
        <w:rPr>
          <w:rFonts w:ascii="Arial" w:cs="Arial" w:eastAsia="Arial" w:hAnsi="Arial"/>
          <w:sz w:val="14"/>
          <w:szCs w:val="14"/>
          <w:b w:val="1"/>
          <w:bCs w:val="1"/>
          <w:color w:val="auto"/>
        </w:rPr>
        <w:t>Board nominees listed in Item 1.</w:t>
      </w:r>
    </w:p>
    <w:p>
      <w:pPr>
        <w:sectPr>
          <w:pgSz w:w="11900" w:h="16838" w:orient="portrait"/>
          <w:cols w:equalWidth="0" w:num="1">
            <w:col w:w="11220"/>
          </w:cols>
          <w:pgMar w:left="240" w:top="459" w:right="439" w:bottom="1440" w:gutter="0" w:footer="0" w:header="0"/>
        </w:sectPr>
      </w:pPr>
    </w:p>
    <w:p>
      <w:pPr>
        <w:spacing w:after="0" w:line="56" w:lineRule="exact"/>
        <w:rPr>
          <w:sz w:val="20"/>
          <w:szCs w:val="20"/>
          <w:color w:val="auto"/>
        </w:rPr>
      </w:pPr>
    </w:p>
    <w:p>
      <w:pPr>
        <w:ind w:left="1180" w:hanging="408"/>
        <w:spacing w:after="0"/>
        <w:tabs>
          <w:tab w:leader="none" w:pos="11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51" w:lineRule="exact"/>
        <w:rPr>
          <w:sz w:val="20"/>
          <w:szCs w:val="20"/>
          <w:color w:val="auto"/>
        </w:rPr>
      </w:pPr>
    </w:p>
    <w:tbl>
      <w:tblPr>
        <w:tblLayout w:type="fixed"/>
        <w:tblInd w:w="1180" w:type="dxa"/>
        <w:tblCellMar>
          <w:top w:w="0" w:type="dxa"/>
          <w:left w:w="0" w:type="dxa"/>
          <w:bottom w:w="0" w:type="dxa"/>
          <w:right w:w="0" w:type="dxa"/>
        </w:tblCellMar>
      </w:tblPr>
      <w:tr>
        <w:trPr>
          <w:trHeight w:val="186"/>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Nominees:</w:t>
            </w:r>
          </w:p>
        </w:tc>
        <w:tc>
          <w:tcPr>
            <w:tcW w:w="72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8"/>
        </w:trPr>
        <w:tc>
          <w:tcPr>
            <w:tcW w:w="18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20" w:type="dxa"/>
            <w:vAlign w:val="bottom"/>
            <w:vMerge w:val="restart"/>
          </w:tcPr>
          <w:p>
            <w:pPr>
              <w:spacing w:after="0"/>
              <w:rPr>
                <w:sz w:val="20"/>
                <w:szCs w:val="20"/>
                <w:color w:val="auto"/>
              </w:rPr>
            </w:pPr>
            <w:r>
              <w:rPr>
                <w:rFonts w:ascii="Arial" w:cs="Arial" w:eastAsia="Arial" w:hAnsi="Arial"/>
                <w:sz w:val="14"/>
                <w:szCs w:val="14"/>
                <w:color w:val="auto"/>
              </w:rPr>
              <w:t>1a.</w:t>
            </w:r>
          </w:p>
        </w:tc>
        <w:tc>
          <w:tcPr>
            <w:tcW w:w="1660" w:type="dxa"/>
            <w:vAlign w:val="bottom"/>
            <w:vMerge w:val="restart"/>
          </w:tcPr>
          <w:p>
            <w:pPr>
              <w:ind w:left="60"/>
              <w:spacing w:after="0"/>
              <w:rPr>
                <w:sz w:val="20"/>
                <w:szCs w:val="20"/>
                <w:color w:val="auto"/>
              </w:rPr>
            </w:pPr>
            <w:r>
              <w:rPr>
                <w:rFonts w:ascii="Arial" w:cs="Arial" w:eastAsia="Arial" w:hAnsi="Arial"/>
                <w:sz w:val="14"/>
                <w:szCs w:val="14"/>
                <w:color w:val="auto"/>
              </w:rPr>
              <w:t>Mary T. Barra</w:t>
            </w:r>
          </w:p>
        </w:tc>
        <w:tc>
          <w:tcPr>
            <w:tcW w:w="7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78"/>
        </w:trPr>
        <w:tc>
          <w:tcPr>
            <w:tcW w:w="22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220" w:type="dxa"/>
            <w:vAlign w:val="bottom"/>
            <w:vMerge w:val="restart"/>
          </w:tcPr>
          <w:p>
            <w:pPr>
              <w:spacing w:after="0"/>
              <w:rPr>
                <w:sz w:val="20"/>
                <w:szCs w:val="20"/>
                <w:color w:val="auto"/>
              </w:rPr>
            </w:pPr>
            <w:r>
              <w:rPr>
                <w:rFonts w:ascii="Arial" w:cs="Arial" w:eastAsia="Arial" w:hAnsi="Arial"/>
                <w:sz w:val="14"/>
                <w:szCs w:val="14"/>
                <w:color w:val="auto"/>
              </w:rPr>
              <w:t>1b.</w:t>
            </w:r>
          </w:p>
        </w:tc>
        <w:tc>
          <w:tcPr>
            <w:tcW w:w="1660" w:type="dxa"/>
            <w:vAlign w:val="bottom"/>
            <w:vMerge w:val="restart"/>
          </w:tcPr>
          <w:p>
            <w:pPr>
              <w:ind w:left="60"/>
              <w:spacing w:after="0"/>
              <w:rPr>
                <w:sz w:val="20"/>
                <w:szCs w:val="20"/>
                <w:color w:val="auto"/>
              </w:rPr>
            </w:pPr>
            <w:r>
              <w:rPr>
                <w:rFonts w:ascii="Arial" w:cs="Arial" w:eastAsia="Arial" w:hAnsi="Arial"/>
                <w:sz w:val="14"/>
                <w:szCs w:val="14"/>
                <w:color w:val="auto"/>
              </w:rPr>
              <w:t>Wesley G. Bush</w:t>
            </w:r>
          </w:p>
        </w:tc>
        <w:tc>
          <w:tcPr>
            <w:tcW w:w="7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51"/>
        </w:trPr>
        <w:tc>
          <w:tcPr>
            <w:tcW w:w="2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20" w:type="dxa"/>
            <w:vAlign w:val="bottom"/>
          </w:tcPr>
          <w:p>
            <w:pPr>
              <w:spacing w:after="0"/>
              <w:rPr>
                <w:sz w:val="20"/>
                <w:szCs w:val="20"/>
                <w:color w:val="auto"/>
              </w:rPr>
            </w:pPr>
            <w:r>
              <w:rPr>
                <w:rFonts w:ascii="Arial" w:cs="Arial" w:eastAsia="Arial" w:hAnsi="Arial"/>
                <w:sz w:val="14"/>
                <w:szCs w:val="14"/>
                <w:color w:val="auto"/>
              </w:rPr>
              <w:t>1c.</w:t>
            </w:r>
          </w:p>
        </w:tc>
        <w:tc>
          <w:tcPr>
            <w:tcW w:w="1660" w:type="dxa"/>
            <w:vAlign w:val="bottom"/>
          </w:tcPr>
          <w:p>
            <w:pPr>
              <w:ind w:left="60"/>
              <w:spacing w:after="0"/>
              <w:rPr>
                <w:sz w:val="20"/>
                <w:szCs w:val="20"/>
                <w:color w:val="auto"/>
              </w:rPr>
            </w:pPr>
            <w:r>
              <w:rPr>
                <w:rFonts w:ascii="Arial" w:cs="Arial" w:eastAsia="Arial" w:hAnsi="Arial"/>
                <w:sz w:val="14"/>
                <w:szCs w:val="14"/>
                <w:color w:val="auto"/>
              </w:rPr>
              <w:t>Linda R. Gooden</w:t>
            </w:r>
          </w:p>
        </w:tc>
        <w:tc>
          <w:tcPr>
            <w:tcW w:w="7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13"/>
        </w:trPr>
        <w:tc>
          <w:tcPr>
            <w:tcW w:w="220" w:type="dxa"/>
            <w:vAlign w:val="bottom"/>
          </w:tcPr>
          <w:p>
            <w:pPr>
              <w:spacing w:after="0"/>
              <w:rPr>
                <w:sz w:val="20"/>
                <w:szCs w:val="20"/>
                <w:color w:val="auto"/>
              </w:rPr>
            </w:pPr>
            <w:r>
              <w:rPr>
                <w:rFonts w:ascii="Arial" w:cs="Arial" w:eastAsia="Arial" w:hAnsi="Arial"/>
                <w:sz w:val="14"/>
                <w:szCs w:val="14"/>
                <w:color w:val="auto"/>
              </w:rPr>
              <w:t>1d.</w:t>
            </w:r>
          </w:p>
        </w:tc>
        <w:tc>
          <w:tcPr>
            <w:tcW w:w="1660" w:type="dxa"/>
            <w:vAlign w:val="bottom"/>
          </w:tcPr>
          <w:p>
            <w:pPr>
              <w:ind w:left="60"/>
              <w:spacing w:after="0"/>
              <w:rPr>
                <w:sz w:val="20"/>
                <w:szCs w:val="20"/>
                <w:color w:val="auto"/>
              </w:rPr>
            </w:pPr>
            <w:r>
              <w:rPr>
                <w:rFonts w:ascii="Arial" w:cs="Arial" w:eastAsia="Arial" w:hAnsi="Arial"/>
                <w:sz w:val="14"/>
                <w:szCs w:val="14"/>
                <w:color w:val="auto"/>
              </w:rPr>
              <w:t>Joseph Jimenez</w:t>
            </w:r>
          </w:p>
        </w:tc>
        <w:tc>
          <w:tcPr>
            <w:tcW w:w="7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51"/>
        </w:trPr>
        <w:tc>
          <w:tcPr>
            <w:tcW w:w="220" w:type="dxa"/>
            <w:vAlign w:val="bottom"/>
          </w:tcPr>
          <w:p>
            <w:pPr>
              <w:spacing w:after="0"/>
              <w:rPr>
                <w:sz w:val="20"/>
                <w:szCs w:val="20"/>
                <w:color w:val="auto"/>
              </w:rPr>
            </w:pPr>
            <w:r>
              <w:rPr>
                <w:rFonts w:ascii="Arial" w:cs="Arial" w:eastAsia="Arial" w:hAnsi="Arial"/>
                <w:sz w:val="14"/>
                <w:szCs w:val="14"/>
                <w:color w:val="auto"/>
              </w:rPr>
              <w:t>1e.</w:t>
            </w:r>
          </w:p>
        </w:tc>
        <w:tc>
          <w:tcPr>
            <w:tcW w:w="1660" w:type="dxa"/>
            <w:vAlign w:val="bottom"/>
          </w:tcPr>
          <w:p>
            <w:pPr>
              <w:ind w:left="60"/>
              <w:spacing w:after="0"/>
              <w:rPr>
                <w:sz w:val="20"/>
                <w:szCs w:val="20"/>
                <w:color w:val="auto"/>
              </w:rPr>
            </w:pPr>
            <w:r>
              <w:rPr>
                <w:rFonts w:ascii="Arial" w:cs="Arial" w:eastAsia="Arial" w:hAnsi="Arial"/>
                <w:sz w:val="14"/>
                <w:szCs w:val="14"/>
                <w:color w:val="auto"/>
              </w:rPr>
              <w:t>Jane L. Mendillo</w:t>
            </w:r>
          </w:p>
        </w:tc>
        <w:tc>
          <w:tcPr>
            <w:tcW w:w="7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7"/>
        </w:trPr>
        <w:tc>
          <w:tcPr>
            <w:tcW w:w="220" w:type="dxa"/>
            <w:vAlign w:val="bottom"/>
          </w:tcPr>
          <w:p>
            <w:pPr>
              <w:spacing w:after="0"/>
              <w:rPr>
                <w:sz w:val="20"/>
                <w:szCs w:val="20"/>
                <w:color w:val="auto"/>
              </w:rPr>
            </w:pPr>
            <w:r>
              <w:rPr>
                <w:rFonts w:ascii="Arial" w:cs="Arial" w:eastAsia="Arial" w:hAnsi="Arial"/>
                <w:sz w:val="14"/>
                <w:szCs w:val="14"/>
                <w:color w:val="auto"/>
              </w:rPr>
              <w:t>1f.</w:t>
            </w:r>
          </w:p>
        </w:tc>
        <w:tc>
          <w:tcPr>
            <w:tcW w:w="1660" w:type="dxa"/>
            <w:vAlign w:val="bottom"/>
          </w:tcPr>
          <w:p>
            <w:pPr>
              <w:ind w:left="60"/>
              <w:spacing w:after="0"/>
              <w:rPr>
                <w:sz w:val="20"/>
                <w:szCs w:val="20"/>
                <w:color w:val="auto"/>
              </w:rPr>
            </w:pPr>
            <w:r>
              <w:rPr>
                <w:rFonts w:ascii="Arial" w:cs="Arial" w:eastAsia="Arial" w:hAnsi="Arial"/>
                <w:sz w:val="14"/>
                <w:szCs w:val="14"/>
                <w:color w:val="auto"/>
              </w:rPr>
              <w:t>Judith A. Miscik</w:t>
            </w:r>
          </w:p>
        </w:tc>
        <w:tc>
          <w:tcPr>
            <w:tcW w:w="7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7"/>
        </w:trPr>
        <w:tc>
          <w:tcPr>
            <w:tcW w:w="220" w:type="dxa"/>
            <w:vAlign w:val="bottom"/>
          </w:tcPr>
          <w:p>
            <w:pPr>
              <w:spacing w:after="0"/>
              <w:rPr>
                <w:sz w:val="20"/>
                <w:szCs w:val="20"/>
                <w:color w:val="auto"/>
              </w:rPr>
            </w:pPr>
            <w:r>
              <w:rPr>
                <w:rFonts w:ascii="Arial" w:cs="Arial" w:eastAsia="Arial" w:hAnsi="Arial"/>
                <w:sz w:val="14"/>
                <w:szCs w:val="14"/>
                <w:color w:val="auto"/>
              </w:rPr>
              <w:t>1g.</w:t>
            </w:r>
          </w:p>
        </w:tc>
        <w:tc>
          <w:tcPr>
            <w:tcW w:w="1660" w:type="dxa"/>
            <w:vAlign w:val="bottom"/>
          </w:tcPr>
          <w:p>
            <w:pPr>
              <w:ind w:left="60"/>
              <w:spacing w:after="0"/>
              <w:rPr>
                <w:sz w:val="20"/>
                <w:szCs w:val="20"/>
                <w:color w:val="auto"/>
              </w:rPr>
            </w:pPr>
            <w:r>
              <w:rPr>
                <w:rFonts w:ascii="Arial" w:cs="Arial" w:eastAsia="Arial" w:hAnsi="Arial"/>
                <w:sz w:val="14"/>
                <w:szCs w:val="14"/>
                <w:color w:val="auto"/>
              </w:rPr>
              <w:t>Patricia F. Russo</w:t>
            </w:r>
          </w:p>
        </w:tc>
        <w:tc>
          <w:tcPr>
            <w:tcW w:w="7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20"/>
                <w:szCs w:val="20"/>
                <w:color w:val="auto"/>
              </w:rPr>
            </w:pPr>
            <w:r>
              <w:rPr>
                <w:rFonts w:ascii="Arial" w:cs="Arial" w:eastAsia="Arial" w:hAnsi="Arial"/>
                <w:sz w:val="14"/>
                <w:szCs w:val="14"/>
                <w:color w:val="auto"/>
              </w:rPr>
              <w:t>1h.</w:t>
            </w:r>
          </w:p>
        </w:tc>
        <w:tc>
          <w:tcPr>
            <w:tcW w:w="1660" w:type="dxa"/>
            <w:vAlign w:val="bottom"/>
          </w:tcPr>
          <w:p>
            <w:pPr>
              <w:ind w:left="60"/>
              <w:spacing w:after="0"/>
              <w:rPr>
                <w:sz w:val="20"/>
                <w:szCs w:val="20"/>
                <w:color w:val="auto"/>
              </w:rPr>
            </w:pPr>
            <w:r>
              <w:rPr>
                <w:rFonts w:ascii="Arial" w:cs="Arial" w:eastAsia="Arial" w:hAnsi="Arial"/>
                <w:sz w:val="14"/>
                <w:szCs w:val="14"/>
                <w:color w:val="auto"/>
              </w:rPr>
              <w:t>Thomas M. Schoewe</w:t>
            </w:r>
          </w:p>
        </w:tc>
        <w:tc>
          <w:tcPr>
            <w:tcW w:w="720" w:type="dxa"/>
            <w:vAlign w:val="bottom"/>
            <w:vMerge w:val="restart"/>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20"/>
                <w:szCs w:val="20"/>
                <w:color w:val="auto"/>
              </w:rPr>
            </w:pPr>
            <w:r>
              <w:rPr>
                <w:rFonts w:ascii="Arial" w:cs="Arial" w:eastAsia="Arial" w:hAnsi="Arial"/>
                <w:sz w:val="14"/>
                <w:szCs w:val="14"/>
                <w:color w:val="auto"/>
              </w:rPr>
              <w:t>1i.</w:t>
            </w:r>
          </w:p>
        </w:tc>
        <w:tc>
          <w:tcPr>
            <w:tcW w:w="1660" w:type="dxa"/>
            <w:vAlign w:val="bottom"/>
          </w:tcPr>
          <w:p>
            <w:pPr>
              <w:ind w:left="60"/>
              <w:spacing w:after="0"/>
              <w:rPr>
                <w:sz w:val="20"/>
                <w:szCs w:val="20"/>
                <w:color w:val="auto"/>
              </w:rPr>
            </w:pPr>
            <w:r>
              <w:rPr>
                <w:rFonts w:ascii="Arial" w:cs="Arial" w:eastAsia="Arial" w:hAnsi="Arial"/>
                <w:sz w:val="14"/>
                <w:szCs w:val="14"/>
                <w:color w:val="auto"/>
              </w:rPr>
              <w:t>Theodore M. Solso</w:t>
            </w:r>
          </w:p>
        </w:tc>
        <w:tc>
          <w:tcPr>
            <w:tcW w:w="720" w:type="dxa"/>
            <w:vAlign w:val="bottom"/>
            <w:vMerge w:val="restart"/>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7"/>
        </w:trPr>
        <w:tc>
          <w:tcPr>
            <w:tcW w:w="220" w:type="dxa"/>
            <w:vAlign w:val="bottom"/>
            <w:vMerge w:val="restart"/>
          </w:tcPr>
          <w:p>
            <w:pPr>
              <w:spacing w:after="0"/>
              <w:rPr>
                <w:sz w:val="20"/>
                <w:szCs w:val="20"/>
                <w:color w:val="auto"/>
              </w:rPr>
            </w:pPr>
            <w:r>
              <w:rPr>
                <w:rFonts w:ascii="Arial" w:cs="Arial" w:eastAsia="Arial" w:hAnsi="Arial"/>
                <w:sz w:val="14"/>
                <w:szCs w:val="14"/>
                <w:color w:val="auto"/>
              </w:rPr>
              <w:t>1j.</w:t>
            </w:r>
          </w:p>
        </w:tc>
        <w:tc>
          <w:tcPr>
            <w:tcW w:w="1660" w:type="dxa"/>
            <w:vAlign w:val="bottom"/>
            <w:vMerge w:val="restart"/>
          </w:tcPr>
          <w:p>
            <w:pPr>
              <w:ind w:left="60"/>
              <w:spacing w:after="0"/>
              <w:rPr>
                <w:sz w:val="20"/>
                <w:szCs w:val="20"/>
                <w:color w:val="auto"/>
              </w:rPr>
            </w:pPr>
            <w:r>
              <w:rPr>
                <w:rFonts w:ascii="Arial" w:cs="Arial" w:eastAsia="Arial" w:hAnsi="Arial"/>
                <w:sz w:val="14"/>
                <w:szCs w:val="14"/>
                <w:color w:val="auto"/>
              </w:rPr>
              <w:t>Carol M. Stephenson</w:t>
            </w: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720" w:type="dxa"/>
            <w:vAlign w:val="bottom"/>
            <w:vMerge w:val="restart"/>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Arial" w:cs="Arial" w:eastAsia="Arial" w:hAnsi="Arial"/>
                <w:sz w:val="14"/>
                <w:szCs w:val="14"/>
                <w:color w:val="auto"/>
              </w:rPr>
              <w:t>1k.</w:t>
            </w:r>
          </w:p>
        </w:tc>
        <w:tc>
          <w:tcPr>
            <w:tcW w:w="1660" w:type="dxa"/>
            <w:vAlign w:val="bottom"/>
            <w:vMerge w:val="restart"/>
          </w:tcPr>
          <w:p>
            <w:pPr>
              <w:ind w:left="60"/>
              <w:spacing w:after="0"/>
              <w:rPr>
                <w:sz w:val="20"/>
                <w:szCs w:val="20"/>
                <w:color w:val="auto"/>
              </w:rPr>
            </w:pPr>
            <w:r>
              <w:rPr>
                <w:rFonts w:ascii="Arial" w:cs="Arial" w:eastAsia="Arial" w:hAnsi="Arial"/>
                <w:sz w:val="14"/>
                <w:szCs w:val="14"/>
                <w:color w:val="auto"/>
              </w:rPr>
              <w:t>Devin N. Wenig</w:t>
            </w: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720" w:type="dxa"/>
            <w:vAlign w:val="bottom"/>
            <w:vMerge w:val="restart"/>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hanging="16"/>
        <w:spacing w:after="0" w:line="258"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Board Items 2 and 3.</w:t>
      </w:r>
    </w:p>
    <w:p>
      <w:pPr>
        <w:spacing w:after="0" w:line="22" w:lineRule="exact"/>
        <w:rPr>
          <w:sz w:val="20"/>
          <w:szCs w:val="20"/>
          <w:color w:val="auto"/>
        </w:rPr>
      </w:pPr>
    </w:p>
    <w:p>
      <w:pPr>
        <w:ind w:left="300" w:right="380" w:hanging="291"/>
        <w:spacing w:after="0" w:line="252" w:lineRule="auto"/>
        <w:tabs>
          <w:tab w:leader="none" w:pos="285"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Advisory Approval of the Company’s Executive Compensation</w:t>
      </w:r>
    </w:p>
    <w:p>
      <w:pPr>
        <w:spacing w:after="0" w:line="80" w:lineRule="exact"/>
        <w:rPr>
          <w:rFonts w:ascii="Arial" w:cs="Arial" w:eastAsia="Arial" w:hAnsi="Arial"/>
          <w:sz w:val="14"/>
          <w:szCs w:val="14"/>
          <w:color w:val="auto"/>
        </w:rPr>
      </w:pPr>
    </w:p>
    <w:p>
      <w:pPr>
        <w:jc w:val="both"/>
        <w:ind w:left="300" w:hanging="291"/>
        <w:spacing w:after="0" w:line="237" w:lineRule="auto"/>
        <w:tabs>
          <w:tab w:leader="none" w:pos="293" w:val="left"/>
        </w:tabs>
        <w:numPr>
          <w:ilvl w:val="0"/>
          <w:numId w:val="153"/>
        </w:numPr>
        <w:rPr>
          <w:rFonts w:ascii="Arial" w:cs="Arial" w:eastAsia="Arial" w:hAnsi="Arial"/>
          <w:sz w:val="14"/>
          <w:szCs w:val="14"/>
          <w:color w:val="auto"/>
        </w:rPr>
      </w:pPr>
      <w:r>
        <w:rPr>
          <w:rFonts w:ascii="Arial" w:cs="Arial" w:eastAsia="Arial" w:hAnsi="Arial"/>
          <w:sz w:val="14"/>
          <w:szCs w:val="14"/>
          <w:color w:val="auto"/>
        </w:rPr>
        <w:t>Ratification of the Selection of Ernst &amp; Young LLP as GM’s Independent Registered Public Accounting Firm for 2019</w:t>
      </w:r>
    </w:p>
    <w:p>
      <w:pPr>
        <w:spacing w:after="0" w:line="99" w:lineRule="exact"/>
        <w:rPr>
          <w:sz w:val="20"/>
          <w:szCs w:val="20"/>
          <w:color w:val="auto"/>
        </w:rPr>
      </w:pPr>
    </w:p>
    <w:p>
      <w:pPr>
        <w:ind w:right="120" w:hanging="14"/>
        <w:spacing w:after="0" w:line="258"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shareholder Items 4 and 5.</w:t>
      </w:r>
    </w:p>
    <w:p>
      <w:pPr>
        <w:spacing w:after="0" w:line="76" w:lineRule="exact"/>
        <w:rPr>
          <w:sz w:val="20"/>
          <w:szCs w:val="20"/>
          <w:color w:val="auto"/>
        </w:rPr>
      </w:pPr>
    </w:p>
    <w:p>
      <w:pPr>
        <w:ind w:left="300" w:right="140" w:hanging="291"/>
        <w:spacing w:after="0" w:line="252" w:lineRule="auto"/>
        <w:tabs>
          <w:tab w:leader="none" w:pos="293"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Shareholder Proposal Regarding Independent Board Chairman</w:t>
      </w:r>
    </w:p>
    <w:p>
      <w:pPr>
        <w:spacing w:after="0" w:line="80" w:lineRule="exact"/>
        <w:rPr>
          <w:rFonts w:ascii="Arial" w:cs="Arial" w:eastAsia="Arial" w:hAnsi="Arial"/>
          <w:sz w:val="14"/>
          <w:szCs w:val="14"/>
          <w:color w:val="auto"/>
        </w:rPr>
      </w:pPr>
    </w:p>
    <w:p>
      <w:pPr>
        <w:ind w:left="300" w:right="80" w:hanging="291"/>
        <w:spacing w:after="0" w:line="252" w:lineRule="auto"/>
        <w:tabs>
          <w:tab w:leader="none" w:pos="293"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Shareholder Proposal Regarding Report on Lobbying Communications and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360" w:val="left"/>
          <w:tab w:leader="none" w:pos="10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193" w:lineRule="exact"/>
        <w:rPr>
          <w:sz w:val="20"/>
          <w:szCs w:val="20"/>
          <w:color w:val="auto"/>
        </w:rPr>
      </w:pPr>
    </w:p>
    <w:p>
      <w:pPr>
        <w:ind w:left="40"/>
        <w:spacing w:after="0" w:line="141" w:lineRule="exact"/>
        <w:tabs>
          <w:tab w:leader="none" w:pos="520" w:val="left"/>
          <w:tab w:leader="none" w:pos="12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65" w:lineRule="exact"/>
        <w:rPr>
          <w:sz w:val="20"/>
          <w:szCs w:val="20"/>
          <w:color w:val="auto"/>
        </w:rPr>
      </w:pPr>
    </w:p>
    <w:p>
      <w:pPr>
        <w:ind w:left="40"/>
        <w:spacing w:after="0" w:line="141" w:lineRule="exact"/>
        <w:tabs>
          <w:tab w:leader="none" w:pos="520" w:val="left"/>
          <w:tab w:leader="none" w:pos="12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63" w:lineRule="exact"/>
        <w:rPr>
          <w:sz w:val="20"/>
          <w:szCs w:val="20"/>
          <w:color w:val="auto"/>
        </w:rPr>
      </w:pPr>
    </w:p>
    <w:p>
      <w:pPr>
        <w:spacing w:after="0"/>
        <w:tabs>
          <w:tab w:leader="none" w:pos="360" w:val="left"/>
          <w:tab w:leader="none" w:pos="10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234" w:lineRule="exact"/>
        <w:rPr>
          <w:sz w:val="20"/>
          <w:szCs w:val="20"/>
          <w:color w:val="auto"/>
        </w:rPr>
      </w:pPr>
    </w:p>
    <w:p>
      <w:pPr>
        <w:ind w:left="40"/>
        <w:spacing w:after="0" w:line="141" w:lineRule="exact"/>
        <w:tabs>
          <w:tab w:leader="none" w:pos="520" w:val="left"/>
          <w:tab w:leader="none" w:pos="12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97" w:lineRule="exact"/>
        <w:rPr>
          <w:sz w:val="20"/>
          <w:szCs w:val="20"/>
          <w:color w:val="auto"/>
        </w:rPr>
      </w:pPr>
    </w:p>
    <w:p>
      <w:pPr>
        <w:ind w:left="40"/>
        <w:spacing w:after="0" w:line="141" w:lineRule="exact"/>
        <w:tabs>
          <w:tab w:leader="none" w:pos="520" w:val="left"/>
          <w:tab w:leader="none" w:pos="12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461" w:lineRule="exact"/>
        <w:rPr>
          <w:sz w:val="20"/>
          <w:szCs w:val="20"/>
          <w:color w:val="auto"/>
        </w:rPr>
      </w:pPr>
    </w:p>
    <w:p>
      <w:pPr>
        <w:sectPr>
          <w:pgSz w:w="11900" w:h="16838" w:orient="portrait"/>
          <w:cols w:equalWidth="0" w:num="3">
            <w:col w:w="5020" w:space="460"/>
            <w:col w:w="3440" w:space="260"/>
            <w:col w:w="2040"/>
          </w:cols>
          <w:pgMar w:left="240" w:top="459" w:right="439" w:bottom="1440" w:gutter="0" w:footer="0" w:header="0"/>
          <w:type w:val="continuous"/>
        </w:sectPr>
      </w:pPr>
    </w:p>
    <w:p>
      <w:pPr>
        <w:ind w:left="620" w:right="660"/>
        <w:spacing w:after="0" w:line="23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name(s) appear(s) hereon. When shares are held jointly, each holder should sign. When signing as attorney, executor, administrator,</w:t>
      </w:r>
      <w:r>
        <w:rPr>
          <w:rFonts w:ascii="Arial" w:cs="Arial" w:eastAsia="Arial" w:hAnsi="Arial"/>
          <w:sz w:val="14"/>
          <w:szCs w:val="14"/>
          <w:b w:val="1"/>
          <w:bCs w:val="1"/>
          <w:color w:val="auto"/>
        </w:rPr>
        <w:t xml:space="preserve"> </w:t>
      </w:r>
      <w:r>
        <w:rPr>
          <w:rFonts w:ascii="Arial" w:cs="Arial" w:eastAsia="Arial" w:hAnsi="Arial"/>
          <w:sz w:val="14"/>
          <w:szCs w:val="14"/>
          <w:color w:val="auto"/>
        </w:rPr>
        <w:t>guardian, trustee, custodian, or in any other representative capacity, give full title as such. Corporations should provide the full name of corporation and name and title of the authorized officer signing the proxy card.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40"/>
        <w:spacing w:after="0"/>
        <w:tabs>
          <w:tab w:leader="none" w:pos="4820" w:val="left"/>
          <w:tab w:leader="none" w:pos="7120" w:val="left"/>
          <w:tab w:leader="none" w:pos="100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220"/>
          </w:cols>
          <w:pgMar w:left="240" w:top="459" w:right="4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720" w:right="184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 xml:space="preserve">The Proxy Statement, Notice of 2019 Annual Meeting of Shareholders and Annual Report are available at </w:t>
      </w:r>
      <w:r>
        <w:rPr>
          <w:rFonts w:ascii="Arial" w:cs="Arial" w:eastAsia="Arial" w:hAnsi="Arial"/>
          <w:sz w:val="18"/>
          <w:szCs w:val="18"/>
          <w:i w:val="1"/>
          <w:iCs w:val="1"/>
          <w:color w:val="auto"/>
        </w:rPr>
        <w:t>www.proxyvote</w:t>
      </w:r>
      <w:r>
        <w:rPr>
          <w:rFonts w:ascii="Arial" w:cs="Arial" w:eastAsia="Arial" w:hAnsi="Arial"/>
          <w:sz w:val="18"/>
          <w:szCs w:val="18"/>
          <w:color w:val="auto"/>
        </w:rPr>
        <w:t>.</w:t>
      </w:r>
      <w:r>
        <w:rPr>
          <w:rFonts w:ascii="Arial" w:cs="Arial" w:eastAsia="Arial" w:hAnsi="Arial"/>
          <w:sz w:val="18"/>
          <w:szCs w:val="18"/>
          <w:i w:val="1"/>
          <w:iCs w:val="1"/>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139700</wp:posOffset>
            </wp:positionV>
            <wp:extent cx="3357880" cy="18503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57880" cy="1850390"/>
                    </a:xfrm>
                    <a:prstGeom prst="rect">
                      <a:avLst/>
                    </a:prstGeom>
                    <a:noFill/>
                  </pic:spPr>
                </pic:pic>
              </a:graphicData>
            </a:graphic>
          </wp:anchor>
        </w:drawing>
      </w:r>
    </w:p>
    <w:p>
      <w:pPr>
        <w:spacing w:after="0" w:line="236"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Meeting Type:</w:t>
            </w:r>
          </w:p>
        </w:tc>
        <w:tc>
          <w:tcPr>
            <w:tcW w:w="42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Meeting Information</w:t>
            </w:r>
          </w:p>
        </w:tc>
        <w:tc>
          <w:tcPr>
            <w:tcW w:w="0" w:type="dxa"/>
            <w:vAlign w:val="bottom"/>
          </w:tcPr>
          <w:p>
            <w:pPr>
              <w:spacing w:after="0"/>
              <w:rPr>
                <w:sz w:val="1"/>
                <w:szCs w:val="1"/>
                <w:color w:val="auto"/>
              </w:rPr>
            </w:pPr>
          </w:p>
        </w:tc>
      </w:tr>
      <w:tr>
        <w:trPr>
          <w:trHeight w:val="236"/>
        </w:trPr>
        <w:tc>
          <w:tcPr>
            <w:tcW w:w="1300" w:type="dxa"/>
            <w:vAlign w:val="bottom"/>
            <w:vMerge w:val="continue"/>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bl>
    <w:p>
      <w:pPr>
        <w:ind w:left="3240"/>
        <w:spacing w:after="0"/>
        <w:tabs>
          <w:tab w:leader="none" w:pos="474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7"/>
          <w:szCs w:val="17"/>
          <w:color w:val="auto"/>
        </w:rPr>
        <w:t>April 8, 2019</w:t>
      </w:r>
    </w:p>
    <w:p>
      <w:pPr>
        <w:spacing w:after="0" w:line="9" w:lineRule="exact"/>
        <w:rPr>
          <w:sz w:val="20"/>
          <w:szCs w:val="20"/>
          <w:color w:val="auto"/>
        </w:rPr>
      </w:pPr>
    </w:p>
    <w:p>
      <w:pPr>
        <w:ind w:left="3240"/>
        <w:spacing w:after="0"/>
        <w:tabs>
          <w:tab w:leader="none" w:pos="48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4, 2019</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8:00 a.m. Eastern Time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Meeting live via the internet only - please visit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GM.onlineshareholdermeeting.com.</w:t>
      </w:r>
    </w:p>
    <w:p>
      <w:pPr>
        <w:spacing w:after="0" w:line="116"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The company will be hosting the meeting live via the internet only</w:t>
      </w:r>
    </w:p>
    <w:p>
      <w:pPr>
        <w:spacing w:after="0" w:line="3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this year. To attend the meeting via the internet please visit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GM.onlineshareholdermeeting.com and be sure to have the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information that is printed in the box marked by the arrow</w:t>
      </w:r>
    </w:p>
    <w:p>
      <w:pPr>
        <w:spacing w:after="0" w:line="9" w:lineRule="exact"/>
        <w:rPr>
          <w:sz w:val="20"/>
          <w:szCs w:val="20"/>
          <w:color w:val="auto"/>
        </w:rPr>
      </w:pPr>
    </w:p>
    <w:p>
      <w:pPr>
        <w:ind w:left="3240"/>
        <w:spacing w:after="0"/>
        <w:rPr>
          <w:sz w:val="20"/>
          <w:szCs w:val="20"/>
          <w:color w:val="auto"/>
        </w:rPr>
      </w:pPr>
      <w:r>
        <w:rPr>
          <w:sz w:val="1"/>
          <w:szCs w:val="1"/>
          <w:color w:val="auto"/>
        </w:rPr>
        <w:drawing>
          <wp:inline distT="0" distB="0" distL="0" distR="0">
            <wp:extent cx="1516380" cy="17145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16380" cy="171450"/>
                    </a:xfrm>
                    <a:prstGeom prst="rect">
                      <a:avLst/>
                    </a:prstGeom>
                    <a:noFill/>
                    <a:ln>
                      <a:noFill/>
                    </a:ln>
                  </pic:spPr>
                </pic:pic>
              </a:graphicData>
            </a:graphic>
          </wp:inline>
        </w:drawing>
      </w:r>
      <w:r>
        <w:rPr>
          <w:rFonts w:ascii="Arial" w:cs="Arial" w:eastAsia="Arial" w:hAnsi="Arial"/>
          <w:sz w:val="17"/>
          <w:szCs w:val="17"/>
          <w:color w:val="auto"/>
        </w:rPr>
        <w:t xml:space="preserve"> (located on the reverse side of this</w:t>
      </w:r>
    </w:p>
    <w:p>
      <w:pPr>
        <w:spacing w:after="0" w:line="1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proxy card).</w:t>
      </w: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PLEASE VOTE TODAY!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SEE REVERSE SIDE FOR THREE EASY WAYS TO VOTE</w:t>
      </w:r>
    </w:p>
    <w:p>
      <w:pPr>
        <w:spacing w:after="0" w:line="200" w:lineRule="exact"/>
        <w:rPr>
          <w:sz w:val="20"/>
          <w:szCs w:val="20"/>
          <w:color w:val="auto"/>
        </w:rPr>
      </w:pPr>
    </w:p>
    <w:p>
      <w:pPr>
        <w:spacing w:after="0" w:line="249" w:lineRule="exact"/>
        <w:rPr>
          <w:sz w:val="20"/>
          <w:szCs w:val="20"/>
          <w:color w:val="auto"/>
        </w:rPr>
      </w:pPr>
    </w:p>
    <w:p>
      <w:pPr>
        <w:ind w:left="220" w:right="3320"/>
        <w:spacing w:after="0" w:line="276" w:lineRule="auto"/>
        <w:rPr>
          <w:sz w:val="20"/>
          <w:szCs w:val="20"/>
          <w:color w:val="auto"/>
        </w:rPr>
      </w:pPr>
      <w:r>
        <w:rPr>
          <w:rFonts w:ascii="Arial" w:cs="Arial" w:eastAsia="Arial" w:hAnsi="Arial"/>
          <w:sz w:val="18"/>
          <w:szCs w:val="18"/>
          <w:b w:val="1"/>
          <w:bCs w:val="1"/>
          <w:color w:val="auto"/>
        </w:rPr>
        <w:t>— — — — — — — — — — — — — — — — — — — — — — — — — — — — — — — — — — — — — — — — — — — — — — — — —</w:t>
      </w:r>
    </w:p>
    <w:p>
      <w:pPr>
        <w:ind w:left="9500"/>
        <w:spacing w:after="0"/>
        <w:rPr>
          <w:sz w:val="20"/>
          <w:szCs w:val="20"/>
          <w:color w:val="auto"/>
        </w:rPr>
      </w:pPr>
      <w:r>
        <w:rPr>
          <w:rFonts w:ascii="Arial" w:cs="Arial" w:eastAsia="Arial" w:hAnsi="Arial"/>
          <w:sz w:val="18"/>
          <w:szCs w:val="18"/>
          <w:color w:val="auto"/>
        </w:rPr>
        <w:t>E74320-P16865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20955</wp:posOffset>
            </wp:positionV>
            <wp:extent cx="6976745" cy="35674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7674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37" w:lineRule="exact"/>
        <w:rPr>
          <w:sz w:val="20"/>
          <w:szCs w:val="20"/>
          <w:color w:val="auto"/>
        </w:rPr>
      </w:pPr>
    </w:p>
    <w:p>
      <w:pPr>
        <w:ind w:left="460"/>
        <w:spacing w:after="0" w:line="275" w:lineRule="auto"/>
        <w:rPr>
          <w:sz w:val="20"/>
          <w:szCs w:val="20"/>
          <w:color w:val="auto"/>
        </w:rPr>
      </w:pPr>
      <w:r>
        <w:rPr>
          <w:rFonts w:ascii="Arial" w:cs="Arial" w:eastAsia="Arial" w:hAnsi="Arial"/>
          <w:sz w:val="17"/>
          <w:szCs w:val="17"/>
          <w:color w:val="auto"/>
        </w:rPr>
        <w:t>The undersigned shareholder(s) of General Motors Company authorize(s) Mary T. Barra and Craig B. Glidden, and either of them, as proxies with full power of substitution, to vote the common stock of the undersigned in the manner specified on this proxy card and in their discretion upon all other matters (including on the election of any nominees for director that are not identified on this proxy) that may come before the 2019 Annual Meeting of Shareholders of General Motors Company, to be held at 8:00 a.m. Eastern Time on June 4, 2019, or any adjournment or postponement thereof. The undersigned hereby revokes all proxies previously given.</w:t>
      </w:r>
    </w:p>
    <w:p>
      <w:pPr>
        <w:spacing w:after="0" w:line="171" w:lineRule="exact"/>
        <w:rPr>
          <w:sz w:val="20"/>
          <w:szCs w:val="20"/>
          <w:color w:val="auto"/>
        </w:rPr>
      </w:pPr>
    </w:p>
    <w:p>
      <w:pPr>
        <w:jc w:val="both"/>
        <w:ind w:left="460" w:right="440"/>
        <w:spacing w:after="0" w:line="266" w:lineRule="auto"/>
        <w:rPr>
          <w:sz w:val="20"/>
          <w:szCs w:val="20"/>
          <w:color w:val="auto"/>
        </w:rPr>
      </w:pPr>
      <w:r>
        <w:rPr>
          <w:rFonts w:ascii="Arial" w:cs="Arial" w:eastAsia="Arial" w:hAnsi="Arial"/>
          <w:sz w:val="18"/>
          <w:szCs w:val="18"/>
          <w:b w:val="1"/>
          <w:bCs w:val="1"/>
          <w:color w:val="auto"/>
        </w:rPr>
        <w:t xml:space="preserve">On matters for which you do not specify a choice, the shares will be voted in accordance with the recommendation of the Board of Directors; therefore, if no direction is made, this proxy will be voted </w:t>
      </w:r>
      <w:r>
        <w:rPr>
          <w:rFonts w:ascii="Arial" w:cs="Arial" w:eastAsia="Arial" w:hAnsi="Arial"/>
          <w:sz w:val="18"/>
          <w:szCs w:val="18"/>
          <w:b w:val="1"/>
          <w:bCs w:val="1"/>
          <w:u w:val="single" w:color="auto"/>
          <w:color w:val="auto"/>
        </w:rPr>
        <w:t>FOR ALL</w:t>
      </w:r>
      <w:r>
        <w:rPr>
          <w:rFonts w:ascii="Arial" w:cs="Arial" w:eastAsia="Arial" w:hAnsi="Arial"/>
          <w:sz w:val="18"/>
          <w:szCs w:val="18"/>
          <w:b w:val="1"/>
          <w:bCs w:val="1"/>
          <w:color w:val="auto"/>
        </w:rPr>
        <w:t xml:space="preserve"> of General Motors Company’s director nominees in Item 1; FOR Items 2 and 3; and AGAINST Items 4 and 5.</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VERY IMPORTANT - PLEASE VOTE TODAY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the reverse side for internet, mail, and telephone voting instructions.</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(Continued and to be marked, signed, and dated on the reverse side)</w:t>
      </w:r>
    </w:p>
    <w:sectPr>
      <w:pgSz w:w="11900" w:h="16838" w:orient="portrait"/>
      <w:cols w:equalWidth="0" w:num="1">
        <w:col w:w="10940"/>
      </w:cols>
      <w:pgMar w:left="240" w:top="459"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lvl w:ilvl="1">
      <w:lvlJc w:val="left"/>
      <w:lvlText w:val="(%2)"/>
      <w:numFmt w:val="decimal"/>
      <w:start w:val="1"/>
    </w:lvl>
  </w:abstractNum>
  <w:abstractNum w:abstractNumId="3">
    <w:nsid w:val="1A32234B"/>
    <w:multiLevelType w:val="hybridMultilevel"/>
    <w:lvl w:ilvl="0">
      <w:lvlJc w:val="left"/>
      <w:lvlText w:val="u"/>
      <w:numFmt w:val="bullet"/>
      <w:start w:val="1"/>
    </w:lvl>
  </w:abstractNum>
  <w:abstractNum w:abstractNumId="4">
    <w:nsid w:val="3B0FD379"/>
    <w:multiLevelType w:val="hybridMultilevel"/>
    <w:lvl w:ilvl="0">
      <w:lvlJc w:val="left"/>
      <w:lvlText w:val="u"/>
      <w:numFmt w:val="bullet"/>
      <w:start w:val="1"/>
    </w:lvl>
  </w:abstractNum>
  <w:abstractNum w:abstractNumId="5">
    <w:nsid w:val="68EB2F63"/>
    <w:multiLevelType w:val="hybridMultilevel"/>
    <w:lvl w:ilvl="0">
      <w:lvlJc w:val="left"/>
      <w:lvlText w:val="u"/>
      <w:numFmt w:val="bullet"/>
      <w:start w:val="1"/>
    </w:lvl>
  </w:abstractNum>
  <w:abstractNum w:abstractNumId="6">
    <w:nsid w:val="4962813B"/>
    <w:multiLevelType w:val="hybridMultilevel"/>
    <w:lvl w:ilvl="0">
      <w:lvlJc w:val="left"/>
      <w:lvlText w:val="u"/>
      <w:numFmt w:val="bullet"/>
      <w:start w:val="1"/>
    </w:lvl>
  </w:abstractNum>
  <w:abstractNum w:abstractNumId="7">
    <w:nsid w:val="60B6DF70"/>
    <w:multiLevelType w:val="hybridMultilevel"/>
    <w:lvl w:ilvl="0">
      <w:lvlJc w:val="left"/>
      <w:lvlText w:val="u"/>
      <w:numFmt w:val="bullet"/>
      <w:start w:val="1"/>
    </w:lvl>
  </w:abstractNum>
  <w:abstractNum w:abstractNumId="8">
    <w:nsid w:val="6A5EE64"/>
    <w:multiLevelType w:val="hybridMultilevel"/>
    <w:lvl w:ilvl="0">
      <w:lvlJc w:val="left"/>
      <w:lvlText w:val="u"/>
      <w:numFmt w:val="bullet"/>
      <w:start w:val="1"/>
    </w:lvl>
  </w:abstractNum>
  <w:abstractNum w:abstractNumId="9">
    <w:nsid w:val="14330624"/>
    <w:multiLevelType w:val="hybridMultilevel"/>
    <w:lvl w:ilvl="0">
      <w:lvlJc w:val="left"/>
      <w:lvlText w:val="u"/>
      <w:numFmt w:val="bullet"/>
      <w:start w:val="1"/>
    </w:lvl>
  </w:abstractNum>
  <w:abstractNum w:abstractNumId="10">
    <w:nsid w:val="7FFFCA11"/>
    <w:multiLevelType w:val="hybridMultilevel"/>
    <w:lvl w:ilvl="0">
      <w:lvlJc w:val="left"/>
      <w:lvlText w:val="u"/>
      <w:numFmt w:val="bullet"/>
      <w:start w:val="1"/>
    </w:lvl>
  </w:abstractNum>
  <w:abstractNum w:abstractNumId="11">
    <w:nsid w:val="1A27709E"/>
    <w:multiLevelType w:val="hybridMultilevel"/>
    <w:lvl w:ilvl="0">
      <w:lvlJc w:val="left"/>
      <w:lvlText w:val="u"/>
      <w:numFmt w:val="bullet"/>
      <w:start w:val="1"/>
    </w:lvl>
  </w:abstractNum>
  <w:abstractNum w:abstractNumId="12">
    <w:nsid w:val="71EA1109"/>
    <w:multiLevelType w:val="hybridMultilevel"/>
    <w:lvl w:ilvl="0">
      <w:lvlJc w:val="left"/>
      <w:lvlText w:val="u"/>
      <w:numFmt w:val="bullet"/>
      <w:start w:val="1"/>
    </w:lvl>
  </w:abstractNum>
  <w:abstractNum w:abstractNumId="13">
    <w:nsid w:val="100F59DC"/>
    <w:multiLevelType w:val="hybridMultilevel"/>
    <w:lvl w:ilvl="0">
      <w:lvlJc w:val="left"/>
      <w:lvlText w:val="u"/>
      <w:numFmt w:val="bullet"/>
      <w:start w:val="1"/>
    </w:lvl>
  </w:abstractNum>
  <w:abstractNum w:abstractNumId="14">
    <w:nsid w:val="7FB7E0AA"/>
    <w:multiLevelType w:val="hybridMultilevel"/>
    <w:lvl w:ilvl="0">
      <w:lvlJc w:val="left"/>
      <w:lvlText w:val="u"/>
      <w:numFmt w:val="bullet"/>
      <w:start w:val="1"/>
    </w:lvl>
  </w:abstractNum>
  <w:abstractNum w:abstractNumId="15">
    <w:nsid w:val="6EB5BD4"/>
    <w:multiLevelType w:val="hybridMultilevel"/>
    <w:lvl w:ilvl="0">
      <w:lvlJc w:val="left"/>
      <w:lvlText w:val="u"/>
      <w:numFmt w:val="bullet"/>
      <w:start w:val="1"/>
    </w:lvl>
  </w:abstractNum>
  <w:abstractNum w:abstractNumId="16">
    <w:nsid w:val="6F6DD9AC"/>
    <w:multiLevelType w:val="hybridMultilevel"/>
    <w:lvl w:ilvl="0">
      <w:lvlJc w:val="left"/>
      <w:lvlText w:val="u"/>
      <w:numFmt w:val="bullet"/>
      <w:start w:val="1"/>
    </w:lvl>
  </w:abstractNum>
  <w:abstractNum w:abstractNumId="17">
    <w:nsid w:val="94211F2"/>
    <w:multiLevelType w:val="hybridMultilevel"/>
    <w:lvl w:ilvl="0">
      <w:lvlJc w:val="left"/>
      <w:lvlText w:val="u"/>
      <w:numFmt w:val="bullet"/>
      <w:start w:val="1"/>
    </w:lvl>
  </w:abstractNum>
  <w:abstractNum w:abstractNumId="18">
    <w:nsid w:val="885E1B"/>
    <w:multiLevelType w:val="hybridMultilevel"/>
    <w:lvl w:ilvl="0">
      <w:lvlJc w:val="left"/>
      <w:lvlText w:val="u"/>
      <w:numFmt w:val="bullet"/>
      <w:start w:val="1"/>
    </w:lvl>
  </w:abstractNum>
  <w:abstractNum w:abstractNumId="19">
    <w:nsid w:val="76272110"/>
    <w:multiLevelType w:val="hybridMultilevel"/>
    <w:lvl w:ilvl="0">
      <w:lvlJc w:val="left"/>
      <w:lvlText w:val="u"/>
      <w:numFmt w:val="bullet"/>
      <w:start w:val="1"/>
    </w:lvl>
  </w:abstractNum>
  <w:abstractNum w:abstractNumId="20">
    <w:nsid w:val="4C04A8AF"/>
    <w:multiLevelType w:val="hybridMultilevel"/>
    <w:lvl w:ilvl="0">
      <w:lvlJc w:val="left"/>
      <w:lvlText w:val="u"/>
      <w:numFmt w:val="bullet"/>
      <w:start w:val="1"/>
    </w:lvl>
  </w:abstractNum>
  <w:abstractNum w:abstractNumId="21">
    <w:nsid w:val="1716703B"/>
    <w:multiLevelType w:val="hybridMultilevel"/>
    <w:lvl w:ilvl="0">
      <w:lvlJc w:val="left"/>
      <w:lvlText w:val="u"/>
      <w:numFmt w:val="bullet"/>
      <w:start w:val="1"/>
    </w:lvl>
  </w:abstractNum>
  <w:abstractNum w:abstractNumId="22">
    <w:nsid w:val="14E17E33"/>
    <w:multiLevelType w:val="hybridMultilevel"/>
    <w:lvl w:ilvl="0">
      <w:lvlJc w:val="left"/>
      <w:lvlText w:val="u"/>
      <w:numFmt w:val="bullet"/>
      <w:start w:val="1"/>
    </w:lvl>
  </w:abstractNum>
  <w:abstractNum w:abstractNumId="23">
    <w:nsid w:val="3222E7CD"/>
    <w:multiLevelType w:val="hybridMultilevel"/>
    <w:lvl w:ilvl="0">
      <w:lvlJc w:val="left"/>
      <w:lvlText w:val="u"/>
      <w:numFmt w:val="bullet"/>
      <w:start w:val="1"/>
    </w:lvl>
  </w:abstractNum>
  <w:abstractNum w:abstractNumId="24">
    <w:nsid w:val="74DE0EE3"/>
    <w:multiLevelType w:val="hybridMultilevel"/>
    <w:lvl w:ilvl="0">
      <w:lvlJc w:val="left"/>
      <w:lvlText w:val="u"/>
      <w:numFmt w:val="bullet"/>
      <w:start w:val="1"/>
    </w:lvl>
  </w:abstractNum>
  <w:abstractNum w:abstractNumId="25">
    <w:nsid w:val="68EBC550"/>
    <w:multiLevelType w:val="hybridMultilevel"/>
    <w:lvl w:ilvl="0">
      <w:lvlJc w:val="left"/>
      <w:lvlText w:val="u"/>
      <w:numFmt w:val="bullet"/>
      <w:start w:val="1"/>
    </w:lvl>
  </w:abstractNum>
  <w:abstractNum w:abstractNumId="26">
    <w:nsid w:val="2DF6D648"/>
    <w:multiLevelType w:val="hybridMultilevel"/>
    <w:lvl w:ilvl="0">
      <w:lvlJc w:val="left"/>
      <w:lvlText w:val="u"/>
      <w:numFmt w:val="bullet"/>
      <w:start w:val="1"/>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u"/>
      <w:numFmt w:val="bullet"/>
      <w:start w:val="1"/>
    </w:lvl>
  </w:abstractNum>
  <w:abstractNum w:abstractNumId="29">
    <w:nsid w:val="39EE015C"/>
    <w:multiLevelType w:val="hybridMultilevel"/>
    <w:lvl w:ilvl="0">
      <w:lvlJc w:val="left"/>
      <w:lvlText w:val="(%1)"/>
      <w:numFmt w:val="decimal"/>
      <w:start w:val="1"/>
    </w:lvl>
  </w:abstractNum>
  <w:abstractNum w:abstractNumId="30">
    <w:nsid w:val="57FC4FBB"/>
    <w:multiLevelType w:val="hybridMultilevel"/>
    <w:lvl w:ilvl="0">
      <w:lvlJc w:val="left"/>
      <w:lvlText w:val="%1"/>
      <w:numFmt w:val="decimal"/>
      <w:start w:val="1"/>
    </w:lvl>
    <w:lvl w:ilvl="1">
      <w:lvlJc w:val="left"/>
      <w:lvlText w:val="(%2)"/>
      <w:numFmt w:val="lowerLetter"/>
      <w:start w:val="1"/>
    </w:lvl>
  </w:abstractNum>
  <w:abstractNum w:abstractNumId="31">
    <w:nsid w:val="CC1016F"/>
    <w:multiLevelType w:val="hybridMultilevel"/>
    <w:lvl w:ilvl="0">
      <w:lvlJc w:val="left"/>
      <w:lvlText w:val="(%1)"/>
      <w:numFmt w:val="decimal"/>
      <w:start w:val="4"/>
    </w:lvl>
    <w:lvl w:ilvl="1">
      <w:lvlJc w:val="left"/>
      <w:lvlText w:val="%2"/>
      <w:numFmt w:val="lowerLetter"/>
      <w:start w:val="1"/>
    </w:lvl>
  </w:abstractNum>
  <w:abstractNum w:abstractNumId="32">
    <w:nsid w:val="43F18422"/>
    <w:multiLevelType w:val="hybridMultilevel"/>
    <w:lvl w:ilvl="0">
      <w:lvlJc w:val="left"/>
      <w:lvlText w:val="u"/>
      <w:numFmt w:val="bullet"/>
      <w:start w:val="1"/>
    </w:lvl>
  </w:abstractNum>
  <w:abstractNum w:abstractNumId="33">
    <w:nsid w:val="60EF0119"/>
    <w:multiLevelType w:val="hybridMultilevel"/>
    <w:lvl w:ilvl="0">
      <w:lvlJc w:val="left"/>
      <w:lvlText w:val="u"/>
      <w:numFmt w:val="bullet"/>
      <w:start w:val="1"/>
    </w:lvl>
  </w:abstractNum>
  <w:abstractNum w:abstractNumId="34">
    <w:nsid w:val="26F324BA"/>
    <w:multiLevelType w:val="hybridMultilevel"/>
    <w:lvl w:ilvl="0">
      <w:lvlJc w:val="left"/>
      <w:lvlText w:val="u"/>
      <w:numFmt w:val="bullet"/>
      <w:start w:val="1"/>
    </w:lvl>
  </w:abstractNum>
  <w:abstractNum w:abstractNumId="35">
    <w:nsid w:val="7F01579B"/>
    <w:multiLevelType w:val="hybridMultilevel"/>
    <w:lvl w:ilvl="0">
      <w:lvlJc w:val="left"/>
      <w:lvlText w:val="u"/>
      <w:numFmt w:val="bullet"/>
      <w:start w:val="1"/>
    </w:lvl>
  </w:abstractNum>
  <w:abstractNum w:abstractNumId="36">
    <w:nsid w:val="49DA307D"/>
    <w:multiLevelType w:val="hybridMultilevel"/>
    <w:lvl w:ilvl="0">
      <w:lvlJc w:val="left"/>
      <w:lvlText w:val="u"/>
      <w:numFmt w:val="bullet"/>
      <w:start w:val="1"/>
    </w:lvl>
  </w:abstractNum>
  <w:abstractNum w:abstractNumId="37">
    <w:nsid w:val="7055A5F5"/>
    <w:multiLevelType w:val="hybridMultilevel"/>
    <w:lvl w:ilvl="0">
      <w:lvlJc w:val="left"/>
      <w:lvlText w:val="u"/>
      <w:numFmt w:val="bullet"/>
      <w:start w:val="1"/>
    </w:lvl>
  </w:abstractNum>
  <w:abstractNum w:abstractNumId="38">
    <w:nsid w:val="5FB8370B"/>
    <w:multiLevelType w:val="hybridMultilevel"/>
    <w:lvl w:ilvl="0">
      <w:lvlJc w:val="left"/>
      <w:lvlText w:val="u"/>
      <w:numFmt w:val="bullet"/>
      <w:start w:val="1"/>
    </w:lvl>
  </w:abstractNum>
  <w:abstractNum w:abstractNumId="39">
    <w:nsid w:val="50801EE1"/>
    <w:multiLevelType w:val="hybridMultilevel"/>
    <w:lvl w:ilvl="0">
      <w:lvlJc w:val="left"/>
      <w:lvlText w:val="u"/>
      <w:numFmt w:val="bullet"/>
      <w:start w:val="1"/>
    </w:lvl>
  </w:abstractNum>
  <w:abstractNum w:abstractNumId="40">
    <w:nsid w:val="488AC1A"/>
    <w:multiLevelType w:val="hybridMultilevel"/>
    <w:lvl w:ilvl="0">
      <w:lvlJc w:val="left"/>
      <w:lvlText w:val="u"/>
      <w:numFmt w:val="bullet"/>
      <w:start w:val="1"/>
    </w:lvl>
  </w:abstractNum>
  <w:abstractNum w:abstractNumId="41">
    <w:nsid w:val="5FB8011C"/>
    <w:multiLevelType w:val="hybridMultilevel"/>
    <w:lvl w:ilvl="0">
      <w:lvlJc w:val="left"/>
      <w:lvlText w:val="u"/>
      <w:numFmt w:val="bullet"/>
      <w:start w:val="1"/>
    </w:lvl>
  </w:abstractNum>
  <w:abstractNum w:abstractNumId="42">
    <w:nsid w:val="6AA78F7F"/>
    <w:multiLevelType w:val="hybridMultilevel"/>
    <w:lvl w:ilvl="0">
      <w:lvlJc w:val="left"/>
      <w:lvlText w:val="u"/>
      <w:numFmt w:val="bullet"/>
      <w:start w:val="1"/>
    </w:lvl>
  </w:abstractNum>
  <w:abstractNum w:abstractNumId="43">
    <w:nsid w:val="7672BD23"/>
    <w:multiLevelType w:val="hybridMultilevel"/>
    <w:lvl w:ilvl="0">
      <w:lvlJc w:val="left"/>
      <w:lvlText w:val="u"/>
      <w:numFmt w:val="bullet"/>
      <w:start w:val="1"/>
    </w:lvl>
  </w:abstractNum>
  <w:abstractNum w:abstractNumId="44">
    <w:nsid w:val="6FC75AF8"/>
    <w:multiLevelType w:val="hybridMultilevel"/>
    <w:lvl w:ilvl="0">
      <w:lvlJc w:val="left"/>
      <w:lvlText w:val="(%1)"/>
      <w:numFmt w:val="lowerRoman"/>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1)"/>
      <w:numFmt w:val="decimal"/>
      <w:start w:val="1"/>
    </w:lvl>
  </w:abstractNum>
  <w:abstractNum w:abstractNumId="48">
    <w:nsid w:val="73A1821B"/>
    <w:multiLevelType w:val="hybridMultilevel"/>
    <w:lvl w:ilvl="0">
      <w:lvlJc w:val="left"/>
      <w:lvlText w:val="u"/>
      <w:numFmt w:val="bullet"/>
      <w:start w:val="1"/>
    </w:lvl>
  </w:abstractNum>
  <w:abstractNum w:abstractNumId="49">
    <w:nsid w:val="7DE67713"/>
    <w:multiLevelType w:val="hybridMultilevel"/>
    <w:lvl w:ilvl="0">
      <w:lvlJc w:val="left"/>
      <w:lvlText w:val="(%1)"/>
      <w:numFmt w:val="decimal"/>
      <w:start w:val="2"/>
    </w:lvl>
  </w:abstractNum>
  <w:abstractNum w:abstractNumId="50">
    <w:nsid w:val="555C55B5"/>
    <w:multiLevelType w:val="hybridMultilevel"/>
    <w:lvl w:ilvl="0">
      <w:lvlJc w:val="left"/>
      <w:lvlText w:val="u"/>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u"/>
      <w:numFmt w:val="bullet"/>
      <w:start w:val="1"/>
    </w:lvl>
  </w:abstractNum>
  <w:abstractNum w:abstractNumId="53">
    <w:nsid w:val="6A3DD3E8"/>
    <w:multiLevelType w:val="hybridMultilevel"/>
    <w:lvl w:ilvl="0">
      <w:lvlJc w:val="left"/>
      <w:lvlText w:val="ü"/>
      <w:numFmt w:val="bullet"/>
      <w:start w:val="1"/>
    </w:lvl>
  </w:abstractNum>
  <w:abstractNum w:abstractNumId="54">
    <w:nsid w:val="71C91298"/>
    <w:multiLevelType w:val="hybridMultilevel"/>
    <w:lvl w:ilvl="0">
      <w:lvlJc w:val="left"/>
      <w:lvlText w:val="û"/>
      <w:numFmt w:val="bullet"/>
      <w:start w:val="1"/>
    </w:lvl>
  </w:abstractNum>
  <w:abstractNum w:abstractNumId="55">
    <w:nsid w:val="9DAF632"/>
    <w:multiLevelType w:val="hybridMultilevel"/>
    <w:lvl w:ilvl="0">
      <w:lvlJc w:val="left"/>
      <w:lvlText w:val="u"/>
      <w:numFmt w:val="bullet"/>
      <w:start w:val="1"/>
    </w:lvl>
  </w:abstractNum>
  <w:abstractNum w:abstractNumId="56">
    <w:nsid w:val="53299938"/>
    <w:multiLevelType w:val="hybridMultilevel"/>
    <w:lvl w:ilvl="0">
      <w:lvlJc w:val="left"/>
      <w:lvlText w:val="u"/>
      <w:numFmt w:val="bullet"/>
      <w:start w:val="1"/>
    </w:lvl>
  </w:abstractNum>
  <w:abstractNum w:abstractNumId="57">
    <w:nsid w:val="1FBFE8E0"/>
    <w:multiLevelType w:val="hybridMultilevel"/>
    <w:lvl w:ilvl="0">
      <w:lvlJc w:val="left"/>
      <w:lvlText w:val="u"/>
      <w:numFmt w:val="bullet"/>
      <w:start w:val="1"/>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u"/>
      <w:numFmt w:val="bullet"/>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u"/>
      <w:numFmt w:val="bullet"/>
      <w:start w:val="1"/>
    </w:lvl>
  </w:abstractNum>
  <w:abstractNum w:abstractNumId="62">
    <w:nsid w:val="2A155DBC"/>
    <w:multiLevelType w:val="hybridMultilevel"/>
    <w:lvl w:ilvl="0">
      <w:lvlJc w:val="left"/>
      <w:lvlText w:val="u"/>
      <w:numFmt w:val="bullet"/>
      <w:start w:val="1"/>
    </w:lvl>
  </w:abstractNum>
  <w:abstractNum w:abstractNumId="63">
    <w:nsid w:val="1D9F6E5F"/>
    <w:multiLevelType w:val="hybridMultilevel"/>
    <w:lvl w:ilvl="0">
      <w:lvlJc w:val="left"/>
      <w:lvlText w:val="u"/>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u"/>
      <w:numFmt w:val="bullet"/>
      <w:start w:val="1"/>
    </w:lvl>
  </w:abstractNum>
  <w:abstractNum w:abstractNumId="67">
    <w:nsid w:val="53584BCB"/>
    <w:multiLevelType w:val="hybridMultilevel"/>
    <w:lvl w:ilvl="0">
      <w:lvlJc w:val="left"/>
      <w:lvlText w:val="u"/>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u"/>
      <w:numFmt w:val="bullet"/>
      <w:start w:val="1"/>
    </w:lvl>
  </w:abstractNum>
  <w:abstractNum w:abstractNumId="71">
    <w:nsid w:val="45E6D486"/>
    <w:multiLevelType w:val="hybridMultilevel"/>
    <w:lvl w:ilvl="0">
      <w:lvlJc w:val="left"/>
      <w:lvlText w:val="(%1)"/>
      <w:numFmt w:val="decimal"/>
      <w:start w:val="1"/>
    </w:lvl>
  </w:abstractNum>
  <w:abstractNum w:abstractNumId="72">
    <w:nsid w:val="5C10FE21"/>
    <w:multiLevelType w:val="hybridMultilevel"/>
    <w:lvl w:ilvl="0">
      <w:lvlJc w:val="left"/>
      <w:lvlText w:val="u"/>
      <w:numFmt w:val="bullet"/>
      <w:start w:val="1"/>
    </w:lvl>
  </w:abstractNum>
  <w:abstractNum w:abstractNumId="73">
    <w:nsid w:val="E7FFA2B"/>
    <w:multiLevelType w:val="hybridMultilevel"/>
    <w:lvl w:ilvl="0">
      <w:lvlJc w:val="left"/>
      <w:lvlText w:val="u"/>
      <w:numFmt w:val="bullet"/>
      <w:start w:val="1"/>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u"/>
      <w:numFmt w:val="bullet"/>
      <w:start w:val="1"/>
    </w:lvl>
  </w:abstractNum>
  <w:abstractNum w:abstractNumId="76">
    <w:nsid w:val="78DF6A55"/>
    <w:multiLevelType w:val="hybridMultilevel"/>
    <w:lvl w:ilvl="0">
      <w:lvlJc w:val="left"/>
      <w:lvlText w:val="u"/>
      <w:numFmt w:val="bullet"/>
      <w:start w:val="1"/>
    </w:lvl>
  </w:abstractNum>
  <w:abstractNum w:abstractNumId="77">
    <w:nsid w:val="39B7AAA2"/>
    <w:multiLevelType w:val="hybridMultilevel"/>
    <w:lvl w:ilvl="0">
      <w:lvlJc w:val="left"/>
      <w:lvlText w:val="u"/>
      <w:numFmt w:val="bullet"/>
      <w:start w:val="1"/>
    </w:lvl>
  </w:abstractNum>
  <w:abstractNum w:abstractNumId="78">
    <w:nsid w:val="2B0D8DBE"/>
    <w:multiLevelType w:val="hybridMultilevel"/>
    <w:lvl w:ilvl="0">
      <w:lvlJc w:val="left"/>
      <w:lvlText w:val="(%1)"/>
      <w:numFmt w:val="decimal"/>
      <w:start w:val="1"/>
    </w:lvl>
  </w:abstractNum>
  <w:abstractNum w:abstractNumId="79">
    <w:nsid w:val="6C80EC70"/>
    <w:multiLevelType w:val="hybridMultilevel"/>
    <w:lvl w:ilvl="0">
      <w:lvlJc w:val="left"/>
      <w:lvlText w:val="u"/>
      <w:numFmt w:val="bullet"/>
      <w:start w:val="1"/>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u"/>
      <w:numFmt w:val="bullet"/>
      <w:start w:val="1"/>
    </w:lvl>
  </w:abstractNum>
  <w:abstractNum w:abstractNumId="82">
    <w:nsid w:val="2C27173B"/>
    <w:multiLevelType w:val="hybridMultilevel"/>
    <w:lvl w:ilvl="0">
      <w:lvlJc w:val="left"/>
      <w:lvlText w:val="u"/>
      <w:numFmt w:val="bullet"/>
      <w:start w:val="1"/>
    </w:lvl>
  </w:abstractNum>
  <w:abstractNum w:abstractNumId="83">
    <w:nsid w:val="4C9B0904"/>
    <w:multiLevelType w:val="hybridMultilevel"/>
    <w:lvl w:ilvl="0">
      <w:lvlJc w:val="left"/>
      <w:lvlText w:val="(%1)"/>
      <w:numFmt w:val="decimal"/>
      <w:start w:val="1"/>
    </w:lvl>
  </w:abstractNum>
  <w:abstractNum w:abstractNumId="84">
    <w:nsid w:val="6AA7B75C"/>
    <w:multiLevelType w:val="hybridMultilevel"/>
    <w:lvl w:ilvl="0">
      <w:lvlJc w:val="left"/>
      <w:lvlText w:val="u"/>
      <w:numFmt w:val="bullet"/>
      <w:start w:val="1"/>
    </w:lvl>
  </w:abstractNum>
  <w:abstractNum w:abstractNumId="85">
    <w:nsid w:val="1DF029D3"/>
    <w:multiLevelType w:val="hybridMultilevel"/>
    <w:lvl w:ilvl="0">
      <w:lvlJc w:val="left"/>
      <w:lvlText w:val="u"/>
      <w:numFmt w:val="bullet"/>
      <w:start w:val="1"/>
    </w:lvl>
  </w:abstractNum>
  <w:abstractNum w:abstractNumId="86">
    <w:nsid w:val="5675FF36"/>
    <w:multiLevelType w:val="hybridMultilevel"/>
    <w:lvl w:ilvl="0">
      <w:lvlJc w:val="left"/>
      <w:lvlText w:val="(%1)"/>
      <w:numFmt w:val="decimal"/>
      <w:start w:val="1"/>
    </w:lvl>
  </w:abstractNum>
  <w:abstractNum w:abstractNumId="87">
    <w:nsid w:val="3DD15094"/>
    <w:multiLevelType w:val="hybridMultilevel"/>
    <w:lvl w:ilvl="0">
      <w:lvlJc w:val="left"/>
      <w:lvlText w:val="u"/>
      <w:numFmt w:val="bullet"/>
      <w:start w:val="1"/>
    </w:lvl>
  </w:abstractNum>
  <w:abstractNum w:abstractNumId="88">
    <w:nsid w:val="3DB012B3"/>
    <w:multiLevelType w:val="hybridMultilevel"/>
    <w:lvl w:ilvl="0">
      <w:lvlJc w:val="left"/>
      <w:lvlText w:val="u"/>
      <w:numFmt w:val="bullet"/>
      <w:start w:val="1"/>
    </w:lvl>
  </w:abstractNum>
  <w:abstractNum w:abstractNumId="89">
    <w:nsid w:val="2708C9AF"/>
    <w:multiLevelType w:val="hybridMultilevel"/>
    <w:lvl w:ilvl="0">
      <w:lvlJc w:val="left"/>
      <w:lvlText w:val="(%1)"/>
      <w:numFmt w:val="decimal"/>
      <w:start w:val="1"/>
    </w:lvl>
  </w:abstractNum>
  <w:abstractNum w:abstractNumId="90">
    <w:nsid w:val="5B25ACE2"/>
    <w:multiLevelType w:val="hybridMultilevel"/>
    <w:lvl w:ilvl="0">
      <w:lvlJc w:val="left"/>
      <w:lvlText w:val="u"/>
      <w:numFmt w:val="bullet"/>
      <w:start w:val="1"/>
    </w:lvl>
  </w:abstractNum>
  <w:abstractNum w:abstractNumId="91">
    <w:nsid w:val="175DFCF0"/>
    <w:multiLevelType w:val="hybridMultilevel"/>
    <w:lvl w:ilvl="0">
      <w:lvlJc w:val="left"/>
      <w:lvlText w:val="u"/>
      <w:numFmt w:val="bullet"/>
      <w:start w:val="1"/>
    </w:lvl>
  </w:abstractNum>
  <w:abstractNum w:abstractNumId="92">
    <w:nsid w:val="4F97E3E4"/>
    <w:multiLevelType w:val="hybridMultilevel"/>
    <w:lvl w:ilvl="0">
      <w:lvlJc w:val="left"/>
      <w:lvlText w:val="u"/>
      <w:numFmt w:val="bullet"/>
      <w:start w:val="1"/>
    </w:lvl>
  </w:abstractNum>
  <w:abstractNum w:abstractNumId="93">
    <w:nsid w:val="53B0A9E"/>
    <w:multiLevelType w:val="hybridMultilevel"/>
    <w:lvl w:ilvl="0">
      <w:lvlJc w:val="left"/>
      <w:lvlText w:val="u"/>
      <w:numFmt w:val="bullet"/>
      <w:start w:val="1"/>
    </w:lvl>
  </w:abstractNum>
  <w:abstractNum w:abstractNumId="94">
    <w:nsid w:val="34FD6B4F"/>
    <w:multiLevelType w:val="hybridMultilevel"/>
    <w:lvl w:ilvl="0">
      <w:lvlJc w:val="left"/>
      <w:lvlText w:val="(%1)"/>
      <w:numFmt w:val="decimal"/>
      <w:start w:val="1"/>
    </w:lvl>
  </w:abstractNum>
  <w:abstractNum w:abstractNumId="95">
    <w:nsid w:val="5915FF32"/>
    <w:multiLevelType w:val="hybridMultilevel"/>
    <w:lvl w:ilvl="0">
      <w:lvlJc w:val="left"/>
      <w:lvlText w:val="u"/>
      <w:numFmt w:val="bullet"/>
      <w:start w:val="1"/>
    </w:lvl>
  </w:abstractNum>
  <w:abstractNum w:abstractNumId="96">
    <w:nsid w:val="56438D15"/>
    <w:multiLevelType w:val="hybridMultilevel"/>
    <w:lvl w:ilvl="0">
      <w:lvlJc w:val="left"/>
      <w:lvlText w:val="(%1)"/>
      <w:numFmt w:val="decimal"/>
      <w:start w:val="1"/>
    </w:lvl>
  </w:abstractNum>
  <w:abstractNum w:abstractNumId="97">
    <w:nsid w:val="519E3149"/>
    <w:multiLevelType w:val="hybridMultilevel"/>
    <w:lvl w:ilvl="0">
      <w:lvlJc w:val="left"/>
      <w:lvlText w:val="u"/>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u"/>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u"/>
      <w:numFmt w:val="bullet"/>
      <w:start w:val="1"/>
    </w:lvl>
  </w:abstractNum>
  <w:abstractNum w:abstractNumId="102">
    <w:nsid w:val="5D888A08"/>
    <w:multiLevelType w:val="hybridMultilevel"/>
    <w:lvl w:ilvl="0">
      <w:lvlJc w:val="left"/>
      <w:lvlText w:val="u"/>
      <w:numFmt w:val="bullet"/>
      <w:start w:val="1"/>
    </w:lvl>
  </w:abstractNum>
  <w:abstractNum w:abstractNumId="103">
    <w:nsid w:val="2A082C70"/>
    <w:multiLevelType w:val="hybridMultilevel"/>
    <w:lvl w:ilvl="0">
      <w:lvlJc w:val="left"/>
      <w:lvlText w:val="u"/>
      <w:numFmt w:val="bullet"/>
      <w:start w:val="1"/>
    </w:lvl>
  </w:abstractNum>
  <w:abstractNum w:abstractNumId="104">
    <w:nsid w:val="5EC6AFD4"/>
    <w:multiLevelType w:val="hybridMultilevel"/>
    <w:lvl w:ilvl="0">
      <w:lvlJc w:val="left"/>
      <w:lvlText w:val="u"/>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u"/>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u"/>
      <w:numFmt w:val="bullet"/>
      <w:start w:val="1"/>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1)"/>
      <w:numFmt w:val="decimal"/>
      <w:start w:val="3"/>
    </w:lvl>
  </w:abstractNum>
  <w:abstractNum w:abstractNumId="111">
    <w:nsid w:val="B37E80A"/>
    <w:multiLevelType w:val="hybridMultilevel"/>
    <w:lvl w:ilvl="0">
      <w:lvlJc w:val="left"/>
      <w:lvlText w:val="(%1)"/>
      <w:numFmt w:val="decimal"/>
      <w:start w:val="4"/>
    </w:lvl>
  </w:abstractNum>
  <w:abstractNum w:abstractNumId="112">
    <w:nsid w:val="2157F6BC"/>
    <w:multiLevelType w:val="hybridMultilevel"/>
    <w:lvl w:ilvl="0">
      <w:lvlJc w:val="left"/>
      <w:lvlText w:val="(%1)"/>
      <w:numFmt w:val="decimal"/>
      <w:start w:val="1"/>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decimal"/>
      <w:start w:val="6"/>
    </w:lvl>
  </w:abstractNum>
  <w:abstractNum w:abstractNumId="115">
    <w:nsid w:val="BFFAE18"/>
    <w:multiLevelType w:val="hybridMultilevel"/>
    <w:lvl w:ilvl="0">
      <w:lvlJc w:val="left"/>
      <w:lvlText w:val="u"/>
      <w:numFmt w:val="bullet"/>
      <w:start w:val="1"/>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u"/>
      <w:numFmt w:val="bullet"/>
      <w:start w:val="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u"/>
      <w:numFmt w:val="bullet"/>
      <w:start w:val="1"/>
    </w:lvl>
  </w:abstractNum>
  <w:abstractNum w:abstractNumId="120">
    <w:nsid w:val="5551B9F3"/>
    <w:multiLevelType w:val="hybridMultilevel"/>
    <w:lvl w:ilvl="0">
      <w:lvlJc w:val="left"/>
      <w:lvlText w:val="(%1)"/>
      <w:numFmt w:val="decimal"/>
      <w:start w:val="1"/>
    </w:lvl>
  </w:abstractNum>
  <w:abstractNum w:abstractNumId="121">
    <w:nsid w:val="24F6AB8E"/>
    <w:multiLevelType w:val="hybridMultilevel"/>
    <w:lvl w:ilvl="0">
      <w:lvlJc w:val="left"/>
      <w:lvlText w:val="u"/>
      <w:numFmt w:val="bullet"/>
      <w:start w:val="1"/>
    </w:lvl>
  </w:abstractNum>
  <w:abstractNum w:abstractNumId="122">
    <w:nsid w:val="634C574C"/>
    <w:multiLevelType w:val="hybridMultilevel"/>
    <w:lvl w:ilvl="0">
      <w:lvlJc w:val="left"/>
      <w:lvlText w:val="(%1)"/>
      <w:numFmt w:val="decimal"/>
      <w:start w:val="1"/>
    </w:lvl>
  </w:abstractNum>
  <w:abstractNum w:abstractNumId="123">
    <w:nsid w:val="24E99DD7"/>
    <w:multiLevelType w:val="hybridMultilevel"/>
    <w:lvl w:ilvl="0">
      <w:lvlJc w:val="left"/>
      <w:lvlText w:val="(%1)"/>
      <w:numFmt w:val="decimal"/>
      <w:start w:val="3"/>
    </w:lvl>
  </w:abstractNum>
  <w:abstractNum w:abstractNumId="124">
    <w:nsid w:val="2A31B62D"/>
    <w:multiLevelType w:val="hybridMultilevel"/>
    <w:lvl w:ilvl="0">
      <w:lvlJc w:val="left"/>
      <w:lvlText w:val="u"/>
      <w:numFmt w:val="bullet"/>
      <w:start w:val="1"/>
    </w:lvl>
  </w:abstractNum>
  <w:abstractNum w:abstractNumId="125">
    <w:nsid w:val="1849C29B"/>
    <w:multiLevelType w:val="hybridMultilevel"/>
    <w:lvl w:ilvl="0">
      <w:lvlJc w:val="left"/>
      <w:lvlText w:val="(%1)"/>
      <w:numFmt w:val="decimal"/>
      <w:start w:val="1"/>
    </w:lvl>
  </w:abstractNum>
  <w:abstractNum w:abstractNumId="126">
    <w:nsid w:val="7DFF9D09"/>
    <w:multiLevelType w:val="hybridMultilevel"/>
    <w:lvl w:ilvl="0">
      <w:lvlJc w:val="left"/>
      <w:lvlText w:val="u"/>
      <w:numFmt w:val="bullet"/>
      <w:start w:val="1"/>
    </w:lvl>
  </w:abstractNum>
  <w:abstractNum w:abstractNumId="127">
    <w:nsid w:val="754342"/>
    <w:multiLevelType w:val="hybridMultilevel"/>
    <w:lvl w:ilvl="0">
      <w:lvlJc w:val="left"/>
      <w:lvlText w:val="•"/>
      <w:numFmt w:val="bullet"/>
      <w:start w:val="1"/>
    </w:lvl>
  </w:abstractNum>
  <w:abstractNum w:abstractNumId="128">
    <w:nsid w:val="69E7F3E5"/>
    <w:multiLevelType w:val="hybridMultilevel"/>
    <w:lvl w:ilvl="0">
      <w:lvlJc w:val="left"/>
      <w:lvlText w:val="•"/>
      <w:numFmt w:val="bullet"/>
      <w:start w:val="1"/>
    </w:lvl>
  </w:abstractNum>
  <w:abstractNum w:abstractNumId="129">
    <w:nsid w:val="2A6DE806"/>
    <w:multiLevelType w:val="hybridMultilevel"/>
    <w:lvl w:ilvl="0">
      <w:lvlJc w:val="left"/>
      <w:lvlText w:val="•"/>
      <w:numFmt w:val="bullet"/>
      <w:start w:val="1"/>
    </w:lvl>
  </w:abstractNum>
  <w:abstractNum w:abstractNumId="130">
    <w:nsid w:val="1816F8C4"/>
    <w:multiLevelType w:val="hybridMultilevel"/>
    <w:lvl w:ilvl="0">
      <w:lvlJc w:val="left"/>
      <w:lvlText w:val="(%1)"/>
      <w:numFmt w:val="decimal"/>
      <w:start w:val="1"/>
    </w:lvl>
  </w:abstractNum>
  <w:abstractNum w:abstractNumId="131">
    <w:nsid w:val="37DF2233"/>
    <w:multiLevelType w:val="hybridMultilevel"/>
    <w:lvl w:ilvl="0">
      <w:lvlJc w:val="left"/>
      <w:lvlText w:val="u"/>
      <w:numFmt w:val="bullet"/>
      <w:start w:val="1"/>
    </w:lvl>
  </w:abstractNum>
  <w:abstractNum w:abstractNumId="132">
    <w:nsid w:val="7AB49DAF"/>
    <w:multiLevelType w:val="hybridMultilevel"/>
    <w:lvl w:ilvl="0">
      <w:lvlJc w:val="left"/>
      <w:lvlText w:val="%1."/>
      <w:numFmt w:val="decimal"/>
      <w:start w:val="1"/>
    </w:lvl>
  </w:abstractNum>
  <w:abstractNum w:abstractNumId="133">
    <w:nsid w:val="759F82CD"/>
    <w:multiLevelType w:val="hybridMultilevel"/>
    <w:lvl w:ilvl="0">
      <w:lvlJc w:val="left"/>
      <w:lvlText w:val="(%1)"/>
      <w:numFmt w:val="decimal"/>
      <w:start w:val="1"/>
    </w:lvl>
    <w:lvl w:ilvl="1">
      <w:lvlJc w:val="left"/>
      <w:lvlText w:val="%2."/>
      <w:numFmt w:val="lowerLetter"/>
      <w:start w:val="1"/>
    </w:lvl>
  </w:abstractNum>
  <w:abstractNum w:abstractNumId="134">
    <w:nsid w:val="61E74EA3"/>
    <w:multiLevelType w:val="hybridMultilevel"/>
    <w:lvl w:ilvl="0">
      <w:lvlJc w:val="left"/>
      <w:lvlText w:val="(%1)"/>
      <w:numFmt w:val="decimal"/>
      <w:start w:val="1"/>
    </w:lvl>
  </w:abstractNum>
  <w:abstractNum w:abstractNumId="135">
    <w:nsid w:val="597B4D84"/>
    <w:multiLevelType w:val="hybridMultilevel"/>
    <w:lvl w:ilvl="0">
      <w:lvlJc w:val="left"/>
      <w:lvlText w:val="u"/>
      <w:numFmt w:val="bullet"/>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decimal"/>
      <w:start w:val="1"/>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u"/>
      <w:numFmt w:val="bullet"/>
      <w:start w:val="1"/>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u"/>
      <w:numFmt w:val="bullet"/>
      <w:start w:val="1"/>
    </w:lvl>
  </w:abstractNum>
  <w:abstractNum w:abstractNumId="144">
    <w:nsid w:val="65968C1C"/>
    <w:multiLevelType w:val="hybridMultilevel"/>
    <w:lvl w:ilvl="0">
      <w:lvlJc w:val="left"/>
      <w:lvlText w:val="u"/>
      <w:numFmt w:val="bullet"/>
      <w:start w:val="1"/>
    </w:lvl>
  </w:abstractNum>
  <w:abstractNum w:abstractNumId="145">
    <w:nsid w:val="46263DEC"/>
    <w:multiLevelType w:val="hybridMultilevel"/>
    <w:lvl w:ilvl="0">
      <w:lvlJc w:val="left"/>
      <w:lvlText w:val="u"/>
      <w:numFmt w:val="bullet"/>
      <w:start w:val="1"/>
    </w:lvl>
  </w:abstractNum>
  <w:abstractNum w:abstractNumId="146">
    <w:nsid w:val="260D8C4A"/>
    <w:multiLevelType w:val="hybridMultilevel"/>
    <w:lvl w:ilvl="0">
      <w:lvlJc w:val="left"/>
      <w:lvlText w:val="(%1)"/>
      <w:numFmt w:val="decimal"/>
      <w:start w:val="1"/>
    </w:lvl>
  </w:abstractNum>
  <w:abstractNum w:abstractNumId="147">
    <w:nsid w:val="73D4D3C4"/>
    <w:multiLevelType w:val="hybridMultilevel"/>
    <w:lvl w:ilvl="0">
      <w:lvlJc w:val="left"/>
      <w:lvlText w:val="(%1)"/>
      <w:numFmt w:val="decimal"/>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u"/>
      <w:numFmt w:val="bullet"/>
      <w:start w:val="1"/>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1."/>
      <w:numFmt w:val="decimal"/>
      <w:start w:val="2"/>
    </w:lvl>
  </w:abstractNum>
  <w:abstractNum w:abstractNumId="153">
    <w:nsid w:val="230F856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2019-12-03T08:19:45Z</dcterms:created>
  <dcterms:modified xsi:type="dcterms:W3CDTF">2019-12-03T08:19:45Z</dcterms:modified>
</cp:coreProperties>
</file>