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</w:rPr>
        <w:t>UNITED STATES SECURITIES AND EXCHANGE COMMISSION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Washington, D.C. 20549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___________________</w:t>
      </w:r>
    </w:p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 xml:space="preserve">FORM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8-K</w:t>
      </w:r>
      <w:r>
        <w:rPr>
          <w:caps w:val="false"/>
          <w:smallCaps w:val="false"/>
          <w:sz w:val="36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___________________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CURRENT REPORT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Pursuant to Section 13 or 15(d) of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the Securities Exchange Act of 1934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Date of Report (Date of earliest event reported): October 14, 2025 (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October 7, 2025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___________________</w:t>
      </w:r>
    </w:p>
    <w:p>
      <w:pPr>
        <w:pStyle w:val="TextBody"/>
        <w:bidi w:val="0"/>
        <w:spacing w:lineRule="atLeast" w:line="48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48"/>
          <w:u w:val="none"/>
          <w:effect w:val="none"/>
        </w:rPr>
        <w:t>GENERAL MOTORS COMPANY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(Exact name of registrant as specified in its charter)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___________________</w:t>
      </w:r>
    </w:p>
    <w:tbl>
      <w:tblPr>
        <w:tblW w:w="90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76"/>
        <w:gridCol w:w="1146"/>
        <w:gridCol w:w="1149"/>
        <w:gridCol w:w="3031"/>
      </w:tblGrid>
      <w:tr>
        <w:trPr/>
        <w:tc>
          <w:tcPr>
            <w:tcW w:w="3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Delaware</w:t>
            </w:r>
          </w:p>
        </w:tc>
        <w:tc>
          <w:tcPr>
            <w:tcW w:w="22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001-34960</w:t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27-0756180</w:t>
            </w:r>
          </w:p>
        </w:tc>
      </w:tr>
      <w:tr>
        <w:trPr/>
        <w:tc>
          <w:tcPr>
            <w:tcW w:w="36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(State or other jurisdiction of incorporation)</w:t>
            </w:r>
          </w:p>
        </w:tc>
        <w:tc>
          <w:tcPr>
            <w:tcW w:w="22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(Commission File Number)</w:t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(I.R.S. Employer Identification No.)</w:t>
            </w:r>
          </w:p>
        </w:tc>
      </w:tr>
    </w:tbl>
    <w:tbl>
      <w:tblPr>
        <w:tblW w:w="542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539"/>
        <w:gridCol w:w="539"/>
        <w:gridCol w:w="539"/>
        <w:gridCol w:w="541"/>
        <w:gridCol w:w="751"/>
        <w:gridCol w:w="916"/>
        <w:gridCol w:w="109"/>
        <w:gridCol w:w="109"/>
        <w:gridCol w:w="210"/>
        <w:gridCol w:w="210"/>
        <w:gridCol w:w="211"/>
        <w:gridCol w:w="184"/>
        <w:gridCol w:w="184"/>
        <w:gridCol w:w="263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58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300 Renaissance Center,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Detroit,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Michigan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48265</w:t>
            </w:r>
          </w:p>
        </w:tc>
        <w:tc>
          <w:tcPr>
            <w:tcW w:w="63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-3000</w:t>
            </w:r>
          </w:p>
        </w:tc>
      </w:tr>
      <w:tr>
        <w:trPr/>
        <w:tc>
          <w:tcPr>
            <w:tcW w:w="4167" w:type="dxa"/>
            <w:gridSpan w:val="9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(Address of principal executive offices)</w:t>
            </w:r>
          </w:p>
        </w:tc>
        <w:tc>
          <w:tcPr>
            <w:tcW w:w="1262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(Zip Code)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313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)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667-1500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(Registrant's telephone number, including area code)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 Applicable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(Former name or former address, if changed since last report)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___________________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Check the appropriate box below if the Form 8-K filing is intended to simultaneously satisfy the filing obligation of the registrant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under any of the following provisions: </w:t>
      </w:r>
    </w:p>
    <w:tbl>
      <w:tblPr>
        <w:tblW w:w="85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46"/>
        <w:gridCol w:w="8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Written communications pursuant to Rule 425 under the Securities Act (17 CFR 230.425)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Soliciting material pursuant to Rule 14a-12 under the Exchange Act (17 CFR 240.14a-12)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 14d-2(b) under the Exchange Act (17 CFR 240.14d-2(b))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 13e-4(c) under the Exchange Act (17 CFR 240.13e-4(c))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Securities registered pursuant to Section 12(b) of the Act:</w:t>
      </w:r>
    </w:p>
    <w:tbl>
      <w:tblPr>
        <w:tblW w:w="714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16"/>
        <w:gridCol w:w="1456"/>
        <w:gridCol w:w="3271"/>
      </w:tblGrid>
      <w:tr>
        <w:trPr/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  <w:t>Title of each class</w:t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  <w:t>Trading Symbol(s)</w:t>
            </w:r>
          </w:p>
        </w:tc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  <w:t>Name of each exchange on which registered</w:t>
            </w:r>
          </w:p>
        </w:tc>
      </w:tr>
      <w:tr>
        <w:trPr/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Common Stock, $0.01 par value</w:t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GM</w:t>
            </w:r>
          </w:p>
        </w:tc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New York Stock Exchange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Indicate by check mark whether the registrant is an emerging growth company as defined in Rule 405 of the Securities Act of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1933 (§230.405 of this chapter) or Rule 12b-2 of the Securities Exchange Act of 1934 (§240.12b-2 of this chapter). Emerging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growth company  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☐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If an emerging growth company, indicate by check mark if the registrant has elected not to use the extended transition period for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complying with any new or revised financial accounting standards provided pursuant to Section 13(a) of the Exchange Act.  </w:t>
      </w:r>
      <w:r>
        <w:rPr>
          <w:caps w:val="false"/>
          <w:smallCaps w:val="false"/>
        </w:rPr>
        <w:t>☐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Item 2.06.  Material Impairments.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General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Motors Company (the “Company,” “we,” “our” or “GM”) made significant investments and contractual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commitments in the development of electric vehicles (EVs) to help the Company’s vehicle fleet comply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emissions and fuel economy regulations that were scheduled to become increasingly stringent. Following recent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U.S. Government policy changes, including the termination of certain consumer tax incentives for EV purchases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reduction in the stringency of emissions regulations, we expect the adoption rate of EVs to slow.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developments have caused us to reassess our EV capacity and manufacturing footprint. On October 7, 2025,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Audit Committee of the Company’s Board of Directors approved charges of $1.6 billion in GM North America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(GMNA) in the three months ended September 30, 2025, based on a planned strategic realignment of our EV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capacity and manufacturing footprint to consumer demand. These charges include non-cash impairment and 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charges of $1.2 billion as a result of adjustments to our EV capacity. In addition, the Company has incurred charges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$0.4 billion, primarily related to contract cancellation fees and commercial settlements associated with EV-related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investments, which will have a cash impact. The reassessment of our EV capacity and manufacturing footprint,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including our investments in our battery component manufacturing, is ongoing, and it is reasonably possible that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will recognize additional future material cash and non-cash charges that may adversely affect our results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operations and cash flows in the period in which they are recognized. These amounts, and certain other insignificant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charges expected to be recognized in this quarter, will be reflected as adjustments in our non-GAAP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measures. Refer to the “Non-GAAP Measures” section in our 2024 Form 10-K for additional information.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strategic realignment of EV capacity does not impact today’s retail portfolio of Chevrolet, GMC and Cadillac EVs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currently in production, and we expect these models to remain available to consumers.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Cautionary Note on Forward Looking Statements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This Current Report on Form 8-K and the other reports filed by us with the Securities and Exchange Commission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(SEC) from time to time, as well as statements incorporated by reference herein and related comments by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management, may include "forward-looking statements" within the meaning of the U.S. federal securities laws.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Forward-looking statements are any statements other than statements of historical fact. Forward-looking statements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represent our current judgment about possible future events and are often identified by words like “aim,”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anticipate,” “appears,” “approximately,” “believe,” “continue,” “could,” “designed,” “effect,” “estimate,”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evaluate,” “expect,” “forecast,” “goal,” “initiative,” “intend,” “may,” “objective,” “outlook,” “plan,” “potential,”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priorities,” “project,” “pursue,” “seek,” “should,” “target,” “when,” “will,” “would,” or the negative of any of those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words or similar expressions. In making these statements, we rely on assumptions and analysis based on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experience and perception of historical trends, current conditions and expected future developments as well as 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factors we consider appropriate under the circumstances. We believe these judgments are reasonable, but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statements are not guarantees of any future events or financial results, and our actual results may differ materially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due to a variety of important factors, many of which are beyond our control. These factors, which may be revised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supplemented in subsequent reports we file with the SEC, include, among others, the following: (1) our ability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deliver new products, services, technologies and customer experiences in response to increased competition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changing consumer needs and preferences; (2) our ability to attract and retain talented and highly skilled employees;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(3) our ability to timely fund and introduce new and improved vehicle models, including EVs, that are able to attract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sufficient number of consumers; (4) our ability to profitably deliver a strategic portfolio of EVs; (5) adoptions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EVs by consumers; (6) the success of our current line of ICE vehicles, particularly our full-size sport utility vehicles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(SUVs) and full-size pickup trucks; (7) our highly competitive industry, which has been historically characterized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excess manufacturing capacity and the use of incentives, and the introduction of new and improved vehicle models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by our competitors; (8) the unique technological, operational, regulatory and competitive risks related to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refocused autonomous vehicle (AV) strategy on personal vehicles; (9) risks associated with climate change,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including increased regulation of greenhouse gas (GHG) emissions, our transition to EVs and the potential increased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impacts of severe weather events; (10) global automobile market sales volume, which can be volatile; (11)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inflationary pressures and persistently high prices and uncertain availability of raw materials and commodities used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by us and our suppliers, and instability in logistics and related costs; (12) our business in China, which is subject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unique operational, competitive, regulatory and economic risks; (13) the success of our ongoing strategic business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relationships, particularly with respect to facilitating access to raw materials necessary for the production of EVs,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of our joint ventures, which we cannot operate solely for our benefit and over which we may have limited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control; (14) the international scale and footprint of our operations, which expose us to a variety of unique political,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economic, competitive and regulatory risks, including the risk of changes in government leadership and laws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(including labor, trade, tax and other laws), political uncertainty or instability and economic tensions between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governments and changes in international trade policies, new barriers to entry and changes to or withdrawals from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free trade agreements, introduction of new tariffs or changes to announced tariffs directly and indirectly applicable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our industry, changes in foreign exchange rates and interest rates, economic downturns in the countries in which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operate, differing local product preferences and product requirements, changes to and compliance with U.S.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foreign countries' export controls and economic sanctions, differing labor regulations, requirements and union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relationships, differing dealer and franchise regulations and relationships, difficulties in obtaining financing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foreign countries, and public health crises, including the occurrence of a contagious disease or illness; (15) any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significant disruption, including any work stoppages, at any of our manufacturing facilities; (16) the ability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suppliers to deliver parts, systems and components without disruption and at such times to allow us to meet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production schedules; (17) pandemics, epidemics, disease outbreaks and other public health crises; (18)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possibility that competitors may independently develop products and services similar to ours, or that our intellectual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property rights are not sufficient to prevent competitors from developing or selling those products or services; (19)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ability to manage risks related to security breaches, cyberattacks and other disruptions to our information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technology systems and networked products, including connected vehicles; (20) our ability to manage security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breaches and other disruptions to our in-vehicle systems; (21) our ability to comply with increasingly complex,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restrictive and punitive regulations relating to our enterprise data practices, including the collection, use, sharing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security of the personal information of our customers, employees or suppliers; (22) our ability to comply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extensive laws, regulations and policies applicable to our industry, operations and products, including those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One Big Beautiful Bill Act and/or relating to fuel economy, emissions and AVs; (23) costs and risks associated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litigation and government investigations; (24) the costs and effect on our reputation of product safety recalls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alleged defects in products and services; (25) any additional tax expense or exposure or failure to fully realize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available tax incentives; (26) our continued ability to develop captive financing capability through General Motors</w:t>
      </w:r>
      <w:r>
        <w:rPr>
          <w:caps w:val="false"/>
          <w:smallCaps w:val="false"/>
          <w:u w:val="single"/>
        </w:rPr>
        <w:t xml:space="preserve"> 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Company, Inc.; and (27) any significant increase in our pension funding requirements. A further list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discussion of these risks, uncertainties and other factors can be found in our most recent Annual Report on Form 10-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K and our subsequent filings with the SEC.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Pursuant to the requirements of the Securities Exchange Act of 1934, the registrant has duly caused this report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signed on its behalf by the undersigned hereunto duly authorized.</w:t>
      </w:r>
    </w:p>
    <w:tbl>
      <w:tblPr>
        <w:tblW w:w="633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11"/>
        <w:gridCol w:w="406"/>
        <w:gridCol w:w="3916"/>
      </w:tblGrid>
      <w:tr>
        <w:trPr/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GENERAL MOTORS COMPANY (Registrant)</w:t>
            </w:r>
          </w:p>
        </w:tc>
      </w:tr>
      <w:tr>
        <w:trPr/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By:</w:t>
            </w:r>
          </w:p>
        </w:tc>
        <w:tc>
          <w:tcPr>
            <w:tcW w:w="39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/s/ CHRISTOPHER T. HATTO</w:t>
            </w:r>
          </w:p>
        </w:tc>
      </w:tr>
      <w:tr>
        <w:trPr/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Date: October 14, 2025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Christopher T. Hatto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Vice President, Global Business Solutions and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Chief Accounting Officer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1624</Words>
  <Characters>9546</Characters>
  <CharactersWithSpaces>11130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