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July 11, 2025 there were 952,077,801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Contingencies and Uncertainties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83,273</w:t>
            </w:r>
          </w:p>
        </w:tc>
      </w:tr>
      <w:tr>
        <w:trPr>
          <w:trHeight w:val="212"/>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r>
      <w:tr>
        <w:trPr>
          <w:trHeight w:val="211"/>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90,983</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72,611</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4,547</w:t>
            </w:r>
          </w:p>
        </w:tc>
      </w:tr>
      <w:tr>
        <w:trPr>
          <w:trHeight w:val="206"/>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83,372</w:t>
            </w:r>
          </w:p>
        </w:tc>
      </w:tr>
      <w:tr>
        <w:trPr>
          <w:trHeight w:val="211"/>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7,611</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r>
      <w:tr>
        <w:trPr>
          <w:trHeight w:val="54"/>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54"/>
        </w:trPr>
        <w:tc>
          <w:tcPr>
            <w:tcW w:w="5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r>
    </w:tbl>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17)</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r>
      <w:tr>
        <w:trPr>
          <w:trHeight w:val="212"/>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Defined benefit plans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8"/>
        </w:trPr>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(loss) on hedges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6"/>
        </w:trPr>
        <w:tc>
          <w:tcPr>
            <w:tcW w:w="5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21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r>
      <w:tr>
        <w:trPr>
          <w:trHeight w:val="212"/>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36"/>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$287 and $313</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$1,140 and $991 (Note 4; Note 9)</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9)</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$1,580 and $1,467 (Note 4; Note 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 (Note 8)</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9)</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9)</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175,099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171,216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25,680</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10)</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10)</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13)</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uncertainties (Note 14)</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17)</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9,128</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(8,987)</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17)</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17)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21,917</w:t>
            </w:r>
          </w:p>
        </w:tc>
      </w:tr>
      <w:tr>
        <w:trPr>
          <w:trHeight w:val="23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w:t>
            </w: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80" w:type="dxa"/>
            <w:vAlign w:val="bottom"/>
          </w:tcPr>
          <w:p>
            <w:pPr>
              <w:spacing w:after="0"/>
              <w:rPr>
                <w:sz w:val="11"/>
                <w:szCs w:val="11"/>
                <w:color w:val="auto"/>
              </w:rPr>
            </w:pPr>
          </w:p>
        </w:tc>
        <w:tc>
          <w:tcPr>
            <w:tcW w:w="1020" w:type="dxa"/>
            <w:vAlign w:val="bottom"/>
          </w:tcPr>
          <w:p>
            <w:pPr>
              <w:jc w:val="center"/>
              <w:ind w:right="9"/>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3"/>
                <w:szCs w:val="13"/>
                <w:b w:val="1"/>
                <w:bCs w:val="1"/>
                <w:color w:val="auto"/>
                <w:w w:val="98"/>
              </w:rPr>
              <w:t>Cruise Stock</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(Permanent</w:t>
            </w:r>
          </w:p>
        </w:tc>
        <w:tc>
          <w:tcPr>
            <w:tcW w:w="80" w:type="dxa"/>
            <w:vAlign w:val="bottom"/>
          </w:tcPr>
          <w:p>
            <w:pPr>
              <w:spacing w:after="0"/>
              <w:rPr>
                <w:sz w:val="11"/>
                <w:szCs w:val="11"/>
                <w:color w:val="auto"/>
              </w:rPr>
            </w:pPr>
          </w:p>
        </w:tc>
        <w:tc>
          <w:tcPr>
            <w:tcW w:w="1020" w:type="dxa"/>
            <w:vAlign w:val="bottom"/>
          </w:tcPr>
          <w:p>
            <w:pPr>
              <w:jc w:val="center"/>
              <w:ind w:right="9"/>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Incentive Awards</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(Temporary Equity)</w:t>
            </w:r>
          </w:p>
        </w:tc>
        <w:tc>
          <w:tcPr>
            <w:tcW w:w="0" w:type="dxa"/>
            <w:vAlign w:val="bottom"/>
          </w:tcPr>
          <w:p>
            <w:pPr>
              <w:spacing w:after="0"/>
              <w:rPr>
                <w:sz w:val="1"/>
                <w:szCs w:val="1"/>
                <w:color w:val="auto"/>
              </w:rPr>
            </w:pPr>
          </w:p>
        </w:tc>
      </w:tr>
      <w:tr>
        <w:trPr>
          <w:trHeight w:val="19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55,391</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57,688</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70,426</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59,807</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71,900</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7"/>
        </w:trPr>
        <w:tc>
          <w:tcPr>
            <w:tcW w:w="40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rPr>
              <w:t>53,472</w:t>
            </w: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65,590</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55,140</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66,427</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20,610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56,675</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68,459</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and GM Financial. In December 2024, we announced that we will no longer fund Cruise's robotaxi development work and in February 2025, began to wind down the Cruise robotaxi operations and combined the GM and Cruise ongoing personal autonomous technical efforts in our GMNA Automotive segment. Corporate includes certain centrally recorded income and costs such as interest, income taxes, corporate expenditures and certain revenues and expenses that are not part of a reportable segment.</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2024 Form 10-K. Except for per share amounts or as otherwise specified, amounts presented within tables are stated in millions. Certain columns and rows may not add due to rounding.</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color w:val="auto"/>
        </w:rPr>
        <w:t>On July 4, 2025, the One Big Beautiful Bill Act (the Act) was signed into law that includes the extension and modification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provisions of the U.S. Tax Cuts and Jobs Act of 2017 (TCJA), modification of certain Inflation Reduction Act (IRA) incentives, acceleration of the phase-out of clean vehicle and other clean energy credits and sets the civil penalties to zero for noncompliance with corporate average fuel economy (CAFE) standards. The Act also introduces a new auto loan interest deductibility provision that allows some individuals to deduct up to $10,000 per year in interest on new, U.S.-assembled personal vehicles purchased between 2025 and 2028. There are a variety of effective dates in the Act and only certain key provisions with financial reporting implications are expected to affect our financial statements for the year ending December 31, 2025. We are currently unable to estimate the financial impacts of the Act which could be material and may adversely affect electric vehicle (EV) profitability.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40,998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39,486</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42,869</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42,869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42,515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44,060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44,060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79,267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76,873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82,729</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82,730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82,729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91,141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74,313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80,177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80,177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83,272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83,272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and increased revenue by $310 million in the three months ended June 30, 2025 and 2024.</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vehicle connectivity, customer rewards programs, maintenance, extended warranty and other contracts of $7.7 billion and $6.6 billion at June 30, 2025 and December 31, 2024, which are included in Accrued liabilities and Other liabilities. We recognized revenue of $606 million and $1.2 billion related to contract liabilities in the three and six months ended June 30, 2025 and $455 million and $945 million in the three and six months ended June 30, 2024. We expect to recognize revenue of $1.3 billion in the six months ending December 31, 2025 and $1.9 billion, $1.3 billion and $3.3 billion in the years ending December 31, 2026, 2027 and thereafter related to contract liabilities at June 30,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3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$509 million at June 30, 2025 as these securities are not due at a single maturity date.</w:t>
      </w:r>
    </w:p>
    <w:p>
      <w:pPr>
        <w:spacing w:after="0" w:line="23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$621 million and $584 million in the three months ended June 30, 2025 and 2024 and $2.2 billion and $1.1 billion in the six months ended June 30, 2025 and 2024. Net unrealized gains on available-for-sale debt securities were insignificant in the three and six months ended June 30, 2025 and 2024. Cumulative unrealized losses on available-for-sale debt securities were insignificant at June 30, 2025 and December 31, 2024.</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77,837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94,236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95,294</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(2,630)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(2,720)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(2,458)</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73,667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92,836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16,308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19,169</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74,729</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$15.8 billion and $18.6 billion, and other financing of $571 million and $604 million at June 30, 2025 and December 31, 2024. Commercial finance receivables are presented net of dealer cash management balances of $3.2 billion and $3.4 billion at June 30, 2025 and December 31, 2024. Under the cash management program, subject to certain conditions, a dealer may choose to reduce the amount of interest on its floorplan line by making principal payments to GM Financial in advance.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304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8"/>
        </w:trPr>
        <w:tc>
          <w:tcPr>
            <w:tcW w:w="45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2.9% and 2.6% at June 30, 2025 and December 31, 2024. The allowance ratio is based on factors including portfolio credit quality, expectations for recovery rates and economic outlook.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June 30, 2025 and December 31,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77,837</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$910 million and $958 million at June 30, 2025 and December 31, 2024. The following tables are consolidated summaries of the delinquency status of the outstanding amortized cost of retail finance receivables for each vintage of the portfolio at June 30, 2025 and December 31, 2024, as well as summary totals for June 30,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7"/>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5"/>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71,211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77,837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73,335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19,411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710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55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677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669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689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20,100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76,066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finance receivables portfolio by dealer risk rating at June 30, 2025 and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14,109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  Floorplan advances comprise 99.1%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17,606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99.5%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June 30, 2025 and December 31, 2024.</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and GM Financial. These amounts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82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$918 million and $934 million in the three months ended June 30, 2025 and 2024 and $1.6 billion and $1.7 billion in the six months ended June 30, 2025 and 2024.</w:t>
      </w:r>
    </w:p>
    <w:p>
      <w:pPr>
        <w:spacing w:after="0" w:line="218"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$350 million and $450 million on its common stock in the three months ended June 30, 2025 and 2024 and $700 million and $900 million in the six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Inventories are reflected net of allowances totaling $2.5 billion and $2.0 billion, of which $1.9 billion and $1.4 billion are EV-related, to remeasure inventory on-hand to net realizable value at June 30, 2025 and December 31, 2024. Tariffs, less available offsets and deductions, are capitalized into the cost of inventories as incurred. Offset amounts in excess of tariffs incurred will be recognized as a reduction to future tariffs.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39,758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38,187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8"/>
              </w:rPr>
              <w:t>(6,562)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(6,601)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33,196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31,586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estimated residual value of our leased assets at the end of the lease term was $24.5 billion and $23.5 billion at June 30, 2025 and December 31, 2024.</w:t>
      </w:r>
    </w:p>
    <w:p>
      <w:pPr>
        <w:spacing w:after="0" w:line="26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in the three months ended June 30, 2025 and 2024 and $2.4 billion in the six months ended June 30, 2025 and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w:t>
            </w:r>
          </w:p>
        </w:tc>
      </w:tr>
      <w:tr>
        <w:trPr>
          <w:trHeight w:val="90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4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308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116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1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9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$1.4 billion and $395 million at June 30, 2025 and December 31, 2024. Dividends received from our nonconsolidated affiliates were $189 million and $977 million in the three and six months ended June 30, 2025 and insignificant and $190 million in the three and six months ended June 30, 2024. We had net undistributed losses from our nonconsolidated affiliates of $443 million, including $2.7 billion of undistributed losses offset by $2.3 billion of undistributed earnings at June 30, 2025 and insignificant undistributed earnings at December 31, 2024.</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loaned $1.8 billion to Ultium Cells LLC to facilitate full voluntary prepayment of loans Ultium Cells LLC received under the U.S. Department of Energy's (DOE) Advanced Technology Vehicles Manufacturing program. Our loan to Ultium Cells LLC accrues interest at a rate of 5.7% per year, matures in April 2030 and is prepayable without penalties. This loan is presented in Other investing activities in the condensed consolidated statements of cash flows.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2025, in connection with Ultium Cells Holdings LLC’s strategic realignment of manufacturing and cell capacity to meet EV demand, we recorded charges of $260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Goodwill of $1.9 billion consisted of $1.3 billion in GM Financial at June 30, 2025 and December 31, 2024, and $571 million and an insignificant amount in GMNA at June 30, 2025 and December 31, 2024 and an insignificant amount and $569 million in Cruise at June 30, 2025 and December 31, 2024. During the three months ended March 31, 2025, $571 million of goodwill recorded in the Cruise segment was reallocated to the GMNA segment. The reallocation of the goodwill reflects the wind down of the Cruise robotaxi operations and combination of the GM and Cruise technical efforts in our GMNA Automotive segment to build on the success of Super Cruise and prioritize the development of advanced driver-assistance systems (ADAS) on a path to fully autonomous personal vehicles. We performed goodwill impairment tests prior to and after the reallocation and determined that the goodwill was not impaired.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primarily include our battery cell manufacturing joint ventures to which we provided financial support to ensure that our supply needs for production are met or are not disrupted. Our variable interests in our automotive nonconsolidated VIEs include equity investments, accounts and loans receivable, committed financial support and other off-balance sheet arrangements. The carrying amounts of assets were approximately $3.2 billion and $4.3 billion and liabilities were insignificant related to our nonconsolidated VIEs at June 30, 2025 and December 31, 2024. Our maximum exposure to loss as a result of our involvement with these VIEs was approximately $6.3 billion and $7.0 billion, inclusive of approximately $2.1 billion and $2.3 billion in committed capital contributions to our battery cell manufacturing joint ventures, at June 30, 2025 and December 31, 2024.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14,709</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16,767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15,204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14,366</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838</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13,793</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$472 million and $439 million at June 30, 2025 and December 31, 2024.</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maturing on October 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49,753</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six months ended June 30, 2025, GM Financial renewed revolving credit facilities with total borrowing capacity of $12.0 billion and issued $14.8 billion in aggregate principal amount of securitization notes payable with an initial weighted-average interest rate of 4.80% and maturity dates ranging from 2027 to 2037.</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six months ended June 30, 2025, GM Financial issued $8.4 billion in aggregate principal amount of senior notes with an initial weighted-average interest rate of 5.33% and maturity dates ranging from 2027 to 2035.</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2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47"/>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six months ended June 30, 2025 and 2024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5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fair value hedges in the condensed consolidated income statements includes insignificant losses for the three and six months ended June 30, 2025 and 2024.</w:t>
      </w:r>
    </w:p>
    <w:p>
      <w:pPr>
        <w:spacing w:after="0" w:line="194" w:lineRule="exact"/>
        <w:rPr>
          <w:rFonts w:ascii="Times New Roman" w:cs="Times New Roman" w:eastAsia="Times New Roman" w:hAnsi="Times New Roman"/>
          <w:sz w:val="16"/>
          <w:szCs w:val="16"/>
          <w:color w:val="auto"/>
        </w:rPr>
      </w:pPr>
    </w:p>
    <w:p>
      <w:pPr>
        <w:jc w:val="both"/>
        <w:ind w:left="340" w:hanging="333"/>
        <w:spacing w:after="0" w:line="254"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 of foreign currency cash flow hedges recognized in Accumulated other comprehensive loss in the condensed consolidated statements of comprehensive income includes gains of $489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insignificant losses for the three months ended June 30, 2025 and 2024, and gains of $645 million and losses of $215 million for the six months ended June 30, 2025 and 2024. The effect of foreign currency cash flow hedges reclassified from Accumulated other comprehensive loss in the condensed consolidated statements of comprehensive income into income includes gains of $480 million and insignificant losses for the three months ended June 30, 2025 and 2024 and gains of $711 million and losses of $212 million for the six months ended June 30, 2025 and 2024. During the next 12 months, we expect insignificant gains will be reclassified into pre-tax earnings from foreign currency cash flow hedges designated for hedge accounting.</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6"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derivative instruments that are classified as assets or liabilities available for offset was $652 million at June 30, 2025 and $693 million at December 31, 2024. GM Financial held $62 million and $190 million of collateral from counterparties available for netting against GM Financial's asset positions and posted $687 million and $1.2 billion of collateral to counterparties available for netting against GM Financial's liability positions at June 30, 2025 and December 31, 2024.</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1,287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72"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$594 million and $719 million of unamortized losses remaining on hedged items for which hedge accounting has been discontinued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Warranty and Related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8"/>
        </w:trPr>
        <w:tc>
          <w:tcPr>
            <w:tcW w:w="5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2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4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 current portion of supplier recoveries is recorded in Accounts and notes receivable, net of allowance and the non-current portion is recorded in Other assets.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8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8"/>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5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estimates related to reasonably possible losses in excess of amounts accrued for recall campaigns, refer to Note 14 for additional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10"/>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20"/>
                <w:szCs w:val="20"/>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tcPr>
          <w:p>
            <w:pPr>
              <w:spacing w:after="0"/>
              <w:rPr>
                <w:sz w:val="16"/>
                <w:szCs w:val="16"/>
                <w:color w:val="auto"/>
              </w:rPr>
            </w:pPr>
          </w:p>
        </w:tc>
        <w:tc>
          <w:tcPr>
            <w:tcW w:w="6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20"/>
                <w:szCs w:val="20"/>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presented in Interest income and other non-operating income, net are insignificant in the three and six months ended June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Contingencies and Uncertainties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Indirect Tax-Related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2025 and December 31, 2024, we had accruals of $1.1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Litigation-Related Liabilities </w:t>
      </w:r>
      <w:r>
        <w:rPr>
          <w:rFonts w:ascii="Times New Roman" w:cs="Times New Roman" w:eastAsia="Times New Roman" w:hAnsi="Times New Roman"/>
          <w:sz w:val="18"/>
          <w:szCs w:val="18"/>
          <w:color w:val="auto"/>
        </w:rPr>
        <w:t>Various other legal actions, including class actions, governmental investigations, claims and proceedings are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and two certified class actions pending against GM in the U.S. alleging that various 2011–2014 model year vehicles are defective because they excessively consume oil. We have reached an agreement to resolve all of these pending matters and have accrued an immaterial amount related to these proceedings.</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amounts accrued.</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the U.S. matter on terms consistent with our accrual and the settlement agreement received final court approval in May 2025.</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Takata airbag inflators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June 30, 2025, our remaining accrual for these matters was $402 million, and we believe the currently accrued amount remains reasonable.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June 30, 2025, we had accrued a total of $2.7 billion and recognized receivables totaling $1.7 billion in connection with these matters. At June 30, 2025, our 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attorneys general that are conducting investigations. At this stage, we are not able to estimate any reasonably possible or probable material loss or range of loss that may result from these actions.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and Breach of Warranty </w:t>
      </w:r>
      <w:r>
        <w:rPr>
          <w:rFonts w:ascii="Times New Roman" w:cs="Times New Roman" w:eastAsia="Times New Roman" w:hAnsi="Times New Roman"/>
          <w:sz w:val="18"/>
          <w:szCs w:val="18"/>
          <w:color w:val="auto"/>
        </w:rPr>
        <w:t>We record liabilities related to product liability claims in Accrued liabilities and Other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2025 to 2030,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$3.7 billion for these guarantees at June 30, 2025 and December 31, 2024,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$1.7 billion and $0.9 billion at June 30, 2025 and December 31, 2024, which are recorded in Accounts payable (principally trade).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Indirect Tax-Related Matters </w:t>
      </w:r>
      <w:r>
        <w:rPr>
          <w:rFonts w:ascii="Times New Roman" w:cs="Times New Roman" w:eastAsia="Times New Roman" w:hAnsi="Times New Roman"/>
          <w:sz w:val="18"/>
          <w:szCs w:val="18"/>
          <w:color w:val="auto"/>
        </w:rPr>
        <w:t>Tax matters not subject to the provision of Accounting Standards Codification 740, "Income Taxes" that pertain to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taxes, customs, duties, sales tax, property taxes and other non-income tax exposures are evaluated globally. For indirect tax-related matters, we estimate our reasonably possible loss in excess of amounts accrued to be up to $6.6 billion at June 30, 2025.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Emissions-Related Uncertainties </w:t>
      </w:r>
      <w:r>
        <w:rPr>
          <w:rFonts w:ascii="Times New Roman" w:cs="Times New Roman" w:eastAsia="Times New Roman" w:hAnsi="Times New Roman"/>
          <w:sz w:val="18"/>
          <w:szCs w:val="18"/>
          <w:color w:val="auto"/>
        </w:rPr>
        <w:t>We are subject to state and federal governmental regulations, as well as regulations from governments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relating to fuel economy standards and greenhouse gas (GHG) emissions. Based on our current and forecasted sales mix, we expect in the near-term to have shortfalls in complying with current U.S. regulations. There are several methods to comply with these regulations that we have utilized and may continue to utilize, including, but not limited to, increasing production and sales of certain vehicles, such as EVs; curtailing production of certain vehicles, such as internal combustion engine (ICE) vehicles; certain technology changes; and/or the purchase of GHG credits from third parties. There is uncertainty around the future availability of credits and consumer demand for EVs, each of which could impact our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ability to comply with these regulations. In addition, the U.S. Government has indicated it may take action to reduce the stringency and/or scope of these regulations, which could improve our compliance position. In July 2025, the Act set the civil penalties for noncompliance with CAFE standards to zero. Refer to Note 1 for additional information on U.S. legislation signed into law after the three months ended June 30, 2025. Under other current regulations, shortfalls to certain other emissions standards could result in legal or regulatory proceedings, the recall or decertification of one or more of our products, negotiated remedial actions, fines and penalties, and/or restricted product offerings. We recorded compliance-related costs of $0.2 billion in the three months ended June 30, 2025 and 2024 and $0.4 billion in the six months ended June 30, 2025 and 2024 in Automotive and other costs of sales. Additional compliance costs, including potential fines and penalties, are not reasonably estimable and could be substantial.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months ended June 30, 2025 and 2024, Income tax expense of $481 million and $767 million was primarily due to tax expense attributable to entities included in our effective tax rate calculation. In the six months ended June 30, 2025 and 2024, Income tax expense of $1.2 billion and $1.5 billion was primarily due to tax expense attributable to entities included in our effective tax rate calculation. Refer to Note 1 for additional information on U.S. legislation signed into law after the three months ended June 30,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48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8"/>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recorded no charges in the three and six months ended June 30, 2025 and incurred $465 million in cash outflows in the six months ended June 30, 2025 resulting from strategic restructuring activities in GMNA related to Buick dealerships. Cumulatively, we have incurred charges of approximately $2.0 billion and cash outflows of $1.8 billion related to this initiative. The remaining $254 million is expected to be paid by the end of 2025.</w:t>
      </w:r>
    </w:p>
    <w:p>
      <w:pPr>
        <w:spacing w:after="0" w:line="2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autonomous vehicle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to combine the Cruise and GM technical efforts to advance autonomous and assisted driving, Cruise recorded net charges before noncontrolling interest of $522 million, which included net non-cash restructuring charges of $173 million. Cumulatively, we have incurred $496 million of cash outflows resulting from these restructuring activities and expect the remaining cash outflows related to these activities of $219 million to be completed by the end of 2025.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June 30, 2025 and December 31, 2024. We had 957 million and 995 million shares of common stock issued and outstanding at June 30, 2025 and December 31, 2024.</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total dividends paid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were $144 million and $260 million for the three and six months ended June 30, 2025 and $136 million and $274 million for the three and six months ended June 30, 2024.</w:t>
      </w:r>
    </w:p>
    <w:p>
      <w:pPr>
        <w:spacing w:after="0" w:line="20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and approved an accelerated share repurchase (ASR) program to repurchase an aggregate amount of $2.0 billion of our common stock. In February 2025, pursuant to the agreements entered into in connection with the ASR (collectively, the ASR Agreements), we advanced the $2.0 billion and received an initial delivery of approximately 33 million shares of our common stock with a value of $1.6 billion, which were immediately retired. In the three months ended June 30, 2025, we received and retired 10 million additional shares upon settlement of the transactions contemplated under the ASR program. The final number of shares received was based on the average of the daily volume-weighted average prices of our common stock during the term of the ASR Agreements, less a discount pursuant to the terms and conditions of the ASR Agreements.</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2025 and 2024, in addition to shares received under ASR programs, we repurchased an insignificant amount and approximately 31 million shares of our outstanding common stock for $1.4 billion.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Cruise Common and Preferred Shares </w:t>
      </w:r>
      <w:r>
        <w:rPr>
          <w:rFonts w:ascii="Times New Roman" w:cs="Times New Roman" w:eastAsia="Times New Roman" w:hAnsi="Times New Roman"/>
          <w:sz w:val="18"/>
          <w:szCs w:val="18"/>
          <w:color w:val="auto"/>
        </w:rPr>
        <w:t>In February 2025, we acquired all of the Cruise common shares and Cruise Class F and Class G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noncontrolling shareholders for an insignificant amount. We have completed the process of compensating a majority of the former Cruise shareholders. In the three months ended June 30, 2025, there were no changes in our ownership interest in Cruise. During the six months ended June 30, 2025, the effect on the equity attributable to us for changes in our ownership interest in Cruise was insignificant for Cruise common shares.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three and six months ended June 30, 2025, net income attributable to shareholders and transfers to the noncontrolling interest in Cruise and other subsidiaries were $1.9 billion and $5.2 billion, which includes a $538 million increase in equity attributable to us, mainly due to the redemption of Cruise preferred shares in February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6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15"/>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tax(a)(b)(c)</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before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Other comprehensive income (loss) and noncontrolling interests, net of</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tax(a)(c)</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Income (Loss) on 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54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 before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2"/>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tax(a)(c)</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and six months ended June 30, 2025 and 2024.</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and six months ended June 30, 2025 and 2024.</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six months ended June 30, 2025 and 2024.</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2024 Form 10-K for additional information.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5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8"/>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1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107"/>
        </w:trPr>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$593 million return from the preferred shareholders related to the redemption of Cruise preferred shares from noncontrolling interest holders in the six months ended June 30, 2025.</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Performance Stock Units and Restricted Stock Units (RSUs) at June 30, 2025 and stock options and RSUs at June 30, 2024, were excluded from the computation of diluted earnings per share (EPS) because the securities would have had an antidilutive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segments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AV technology until, in December 2024, we announced plans to refocus our autonomous driving strategy on personal vehicles and no longer fund Cruise's robotaxi development work. Cruise activity includes ongoing costs to be incurred related to the wind down of the robotaxi business. We have combined the GM and Cruise ongoing personal autonomous technical efforts in our GMNA Automotive segment. We provide automotive financing services through our GM Financial segment.</w:t>
      </w:r>
    </w:p>
    <w:p>
      <w:pPr>
        <w:spacing w:after="0" w:line="212"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2025</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39,486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42,869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4,255</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47,122</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0" w:type="dxa"/>
            <w:vAlign w:val="bottom"/>
          </w:tcPr>
          <w:p>
            <w:pPr>
              <w:spacing w:after="0"/>
              <w:rPr>
                <w:sz w:val="1"/>
                <w:szCs w:val="1"/>
                <w:color w:val="auto"/>
              </w:rPr>
            </w:pPr>
          </w:p>
        </w:tc>
      </w:tr>
      <w:tr>
        <w:trPr>
          <w:trHeight w:val="101"/>
        </w:trPr>
        <w:tc>
          <w:tcPr>
            <w:tcW w:w="21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6,103</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(65,630)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289,384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3,026</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ind w:left="340" w:hanging="333"/>
        <w:spacing w:after="0" w:line="238" w:lineRule="auto"/>
        <w:tabs>
          <w:tab w:leader="none" w:pos="33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Ultium Cells Holdings LLC strategic realignment and Cruise restructuring in GMNA; charges related to restructuring activities and manufacturing operations wind down in GMI; and headquarters relocation in Corporate.</w:t>
      </w:r>
    </w:p>
    <w:p>
      <w:pPr>
        <w:spacing w:after="0" w:line="1" w:lineRule="exact"/>
        <w:rPr>
          <w:rFonts w:ascii="Times New Roman" w:cs="Times New Roman" w:eastAsia="Times New Roman" w:hAnsi="Times New Roman"/>
          <w:sz w:val="13"/>
          <w:szCs w:val="13"/>
          <w:color w:val="auto"/>
        </w:rPr>
      </w:pPr>
    </w:p>
    <w:p>
      <w:pPr>
        <w:ind w:left="340" w:hanging="333"/>
        <w:spacing w:after="0" w:line="256"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June 30, 2024</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44,060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3,918</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47,969</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(44,291)</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0" w:type="dxa"/>
            <w:vAlign w:val="bottom"/>
          </w:tcPr>
          <w:p>
            <w:pPr>
              <w:spacing w:after="0"/>
              <w:rPr>
                <w:sz w:val="1"/>
                <w:szCs w:val="1"/>
                <w:color w:val="auto"/>
              </w:rPr>
            </w:pPr>
          </w:p>
        </w:tc>
      </w:tr>
      <w:tr>
        <w:trPr>
          <w:trHeight w:val="101"/>
        </w:trPr>
        <w:tc>
          <w:tcPr>
            <w:tcW w:w="21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2,933</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10,734</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4,778</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(83,178)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135,902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282,956</w:t>
            </w:r>
          </w:p>
        </w:tc>
        <w:tc>
          <w:tcPr>
            <w:tcW w:w="0" w:type="dxa"/>
            <w:vAlign w:val="bottom"/>
          </w:tcPr>
          <w:p>
            <w:pPr>
              <w:spacing w:after="0"/>
              <w:rPr>
                <w:sz w:val="1"/>
                <w:szCs w:val="1"/>
                <w:color w:val="auto"/>
              </w:rPr>
            </w:pPr>
          </w:p>
        </w:tc>
      </w:tr>
      <w:tr>
        <w:trPr>
          <w:trHeight w:val="170"/>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0" w:type="dxa"/>
            <w:vAlign w:val="bottom"/>
          </w:tcPr>
          <w:p>
            <w:pPr>
              <w:spacing w:after="0"/>
              <w:rPr>
                <w:sz w:val="1"/>
                <w:szCs w:val="1"/>
                <w:color w:val="auto"/>
              </w:rPr>
            </w:pPr>
          </w:p>
        </w:tc>
      </w:tr>
      <w:tr>
        <w:trPr>
          <w:trHeight w:val="17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impairment charges and people-related costs.</w:t>
      </w:r>
    </w:p>
    <w:p>
      <w:pPr>
        <w:ind w:left="320" w:hanging="313"/>
        <w:spacing w:after="0" w:line="237" w:lineRule="auto"/>
        <w:tabs>
          <w:tab w:leader="none" w:pos="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 charges related to manufacturing operations wind down in GMI and charges related to Cruise restructuring.</w:t>
      </w:r>
    </w:p>
    <w:p>
      <w:pPr>
        <w:ind w:left="340" w:hanging="333"/>
        <w:spacing w:after="0" w:line="259" w:lineRule="auto"/>
        <w:tabs>
          <w:tab w:leader="none" w:pos="33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3"/>
                <w:szCs w:val="13"/>
                <w:b w:val="1"/>
                <w:bCs w:val="1"/>
                <w:color w:val="auto"/>
                <w:w w:val="98"/>
              </w:rPr>
              <w:t>For the Six Months Ended June 30, 2025</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21"/>
        </w:trPr>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82,729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8,419</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91,141</w:t>
            </w: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(85,303)</w:t>
            </w: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101"/>
        </w:trPr>
        <w:tc>
          <w:tcPr>
            <w:tcW w:w="214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 taxes-</w:t>
            </w: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5,415</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6,527</w:t>
            </w: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5,946</w:t>
            </w: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w:t>
            </w: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4,747</w:t>
            </w: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86"/>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2,456</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w:t>
            </w: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ind w:left="340" w:hanging="333"/>
        <w:spacing w:after="0" w:line="238" w:lineRule="auto"/>
        <w:tabs>
          <w:tab w:leader="none" w:pos="33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Ultium Cells Holdings LLC strategic realignment and Cruise restructuring in GMNA; charges related to restructuring activities and manufacturing operations wind down in GMI; and headquarters relocation in Corporate.</w:t>
      </w:r>
    </w:p>
    <w:p>
      <w:pPr>
        <w:spacing w:after="0" w:line="1" w:lineRule="exact"/>
        <w:rPr>
          <w:rFonts w:ascii="Times New Roman" w:cs="Times New Roman" w:eastAsia="Times New Roman" w:hAnsi="Times New Roman"/>
          <w:sz w:val="13"/>
          <w:szCs w:val="13"/>
          <w:color w:val="auto"/>
        </w:rPr>
      </w:pPr>
    </w:p>
    <w:p>
      <w:pPr>
        <w:ind w:left="340" w:hanging="333"/>
        <w:spacing w:after="0" w:line="256" w:lineRule="auto"/>
        <w:tabs>
          <w:tab w:leader="none" w:pos="33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3"/>
                <w:szCs w:val="13"/>
                <w:b w:val="1"/>
                <w:bCs w:val="1"/>
                <w:color w:val="auto"/>
                <w:w w:val="89"/>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83,272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90,983</w:t>
            </w:r>
          </w:p>
        </w:tc>
        <w:tc>
          <w:tcPr>
            <w:tcW w:w="0" w:type="dxa"/>
            <w:vAlign w:val="bottom"/>
          </w:tcPr>
          <w:p>
            <w:pPr>
              <w:spacing w:after="0"/>
              <w:rPr>
                <w:sz w:val="1"/>
                <w:szCs w:val="1"/>
                <w:color w:val="auto"/>
              </w:rPr>
            </w:pP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center"/>
              <w:ind w:left="597"/>
              <w:spacing w:after="0"/>
              <w:rPr>
                <w:sz w:val="20"/>
                <w:szCs w:val="20"/>
                <w:color w:val="auto"/>
              </w:rPr>
            </w:pPr>
            <w:r>
              <w:rPr>
                <w:rFonts w:ascii="Times New Roman" w:cs="Times New Roman" w:eastAsia="Times New Roman" w:hAnsi="Times New Roman"/>
                <w:sz w:val="13"/>
                <w:szCs w:val="13"/>
                <w:color w:val="auto"/>
                <w:w w:val="91"/>
              </w:rPr>
              <w:t>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(83,530)</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0" w:type="dxa"/>
            <w:vAlign w:val="bottom"/>
          </w:tcPr>
          <w:p>
            <w:pPr>
              <w:spacing w:after="0"/>
              <w:rPr>
                <w:sz w:val="1"/>
                <w:szCs w:val="1"/>
                <w:color w:val="auto"/>
              </w:rPr>
            </w:pPr>
          </w:p>
        </w:tc>
      </w:tr>
      <w:tr>
        <w:trPr>
          <w:trHeight w:val="101"/>
        </w:trPr>
        <w:tc>
          <w:tcPr>
            <w:tcW w:w="2020" w:type="dxa"/>
            <w:vAlign w:val="bottom"/>
          </w:tcPr>
          <w:p>
            <w:pPr>
              <w:ind w:left="20"/>
              <w:spacing w:after="0" w:line="101" w:lineRule="exact"/>
              <w:rPr>
                <w:sz w:val="20"/>
                <w:szCs w:val="20"/>
                <w:color w:val="auto"/>
              </w:rPr>
            </w:pPr>
            <w:r>
              <w:rPr>
                <w:rFonts w:ascii="Times New Roman" w:cs="Times New Roman" w:eastAsia="Times New Roman" w:hAnsi="Times New Roman"/>
                <w:sz w:val="11"/>
                <w:szCs w:val="11"/>
                <w:color w:val="auto"/>
              </w:rPr>
              <w:t>Earnings (loss) before interest and</w:t>
            </w: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5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8,310</w:t>
            </w:r>
          </w:p>
        </w:tc>
        <w:tc>
          <w:tcPr>
            <w:tcW w:w="0" w:type="dxa"/>
            <w:vAlign w:val="bottom"/>
          </w:tcPr>
          <w:p>
            <w:pPr>
              <w:spacing w:after="0"/>
              <w:rPr>
                <w:sz w:val="1"/>
                <w:szCs w:val="1"/>
                <w:color w:val="auto"/>
              </w:rPr>
            </w:pPr>
          </w:p>
        </w:tc>
      </w:tr>
      <w:tr>
        <w:trPr>
          <w:trHeight w:val="18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0" w:type="dxa"/>
            <w:vAlign w:val="bottom"/>
          </w:tcPr>
          <w:p>
            <w:pPr>
              <w:spacing w:after="0"/>
              <w:rPr>
                <w:sz w:val="1"/>
                <w:szCs w:val="1"/>
                <w:color w:val="auto"/>
              </w:rPr>
            </w:pP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21"/>
        </w:trPr>
        <w:tc>
          <w:tcPr>
            <w:tcW w:w="20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7,359</w:t>
            </w:r>
          </w:p>
        </w:tc>
        <w:tc>
          <w:tcPr>
            <w:tcW w:w="0" w:type="dxa"/>
            <w:vAlign w:val="bottom"/>
          </w:tcPr>
          <w:p>
            <w:pPr>
              <w:spacing w:after="0"/>
              <w:rPr>
                <w:sz w:val="1"/>
                <w:szCs w:val="1"/>
                <w:color w:val="auto"/>
              </w:rPr>
            </w:pPr>
          </w:p>
        </w:tc>
      </w:tr>
      <w:tr>
        <w:trPr>
          <w:trHeight w:val="169"/>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0" w:type="dxa"/>
            <w:vAlign w:val="bottom"/>
          </w:tcPr>
          <w:p>
            <w:pPr>
              <w:spacing w:after="0"/>
              <w:rPr>
                <w:sz w:val="1"/>
                <w:szCs w:val="1"/>
                <w:color w:val="auto"/>
              </w:rPr>
            </w:pPr>
          </w:p>
        </w:tc>
      </w:tr>
      <w:tr>
        <w:trPr>
          <w:trHeight w:val="17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5,830</w:t>
            </w:r>
          </w:p>
        </w:tc>
        <w:tc>
          <w:tcPr>
            <w:tcW w:w="0" w:type="dxa"/>
            <w:vAlign w:val="bottom"/>
          </w:tcPr>
          <w:p>
            <w:pPr>
              <w:spacing w:after="0"/>
              <w:rPr>
                <w:sz w:val="1"/>
                <w:szCs w:val="1"/>
                <w:color w:val="auto"/>
              </w:rPr>
            </w:pPr>
          </w:p>
        </w:tc>
      </w:tr>
      <w:tr>
        <w:trPr>
          <w:trHeight w:val="121"/>
        </w:trPr>
        <w:tc>
          <w:tcPr>
            <w:tcW w:w="202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07"/>
        </w:trPr>
        <w:tc>
          <w:tcPr>
            <w:tcW w:w="202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5,913</w:t>
            </w:r>
          </w:p>
        </w:tc>
        <w:tc>
          <w:tcPr>
            <w:tcW w:w="0" w:type="dxa"/>
            <w:vAlign w:val="bottom"/>
          </w:tcPr>
          <w:p>
            <w:pPr>
              <w:spacing w:after="0"/>
              <w:rPr>
                <w:sz w:val="1"/>
                <w:szCs w:val="1"/>
                <w:color w:val="auto"/>
              </w:rPr>
            </w:pPr>
          </w:p>
        </w:tc>
      </w:tr>
      <w:tr>
        <w:trPr>
          <w:trHeight w:val="181"/>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3"/>
                <w:szCs w:val="13"/>
                <w:color w:val="auto"/>
                <w:w w:val="91"/>
              </w:rPr>
              <w:t>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5,352</w:t>
            </w:r>
          </w:p>
        </w:tc>
        <w:tc>
          <w:tcPr>
            <w:tcW w:w="0" w:type="dxa"/>
            <w:vAlign w:val="bottom"/>
          </w:tcPr>
          <w:p>
            <w:pPr>
              <w:spacing w:after="0"/>
              <w:rPr>
                <w:sz w:val="1"/>
                <w:szCs w:val="1"/>
                <w:color w:val="auto"/>
              </w:rPr>
            </w:pPr>
          </w:p>
        </w:tc>
      </w:tr>
      <w:tr>
        <w:trPr>
          <w:trHeight w:val="169"/>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5,678</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Automotive segments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impairment charges and people-related costs.</w:t>
      </w:r>
    </w:p>
    <w:p>
      <w:pPr>
        <w:ind w:left="320" w:hanging="313"/>
        <w:spacing w:after="0" w:line="237" w:lineRule="auto"/>
        <w:tabs>
          <w:tab w:leader="none" w:pos="3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in GMNA, charges related to manufacturing operations wind down in GMI and charges related to Cruise restructuring.</w:t>
      </w:r>
    </w:p>
    <w:p>
      <w:pPr>
        <w:ind w:left="340" w:hanging="333"/>
        <w:spacing w:after="0" w:line="259" w:lineRule="auto"/>
        <w:tabs>
          <w:tab w:leader="none" w:pos="33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2024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Part I, Item 1A. Risk Factors of our 2024 Form 10-K and Part II, Item 1A. Risk Factors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personal AV technology, software-enabled services and other new business opportunities. To support strong margins and cash flow during this transition, we continue to strengthen our market position in profitable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and building scale in our EV portfolio to improve profitability. In February 2025, we completed the acquisition of the noncontrolling interests in Cruise and are prioritizing the development of ADAS on a path to fully autonomous personal vehicles. We are monitoring industry pricing pressures, changing interest rates, inflation, warranty claims, consumer demand trends, changes to the regulatory environment, including with respect to fuel economy standards, GHG emissions regulations, corporate taxes and EV incentives.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first quarter of 2025, the U.S. Government announced new tariffs, inclusive of vehicles and parts imported into the U.S. The tariff environment continues to remain highly dynamic and the specific tariffs applicable to goods imported by GM and its suppliers into the U.S., including under the U.S.-Mexico-Canada Agreement, continue to evolve, as do import tariffs charged by other countries. Based on the current tariff environment, we estimate that impacts to EBIT-adjusted could range from $4.0 billion to $5.0 billion for the year ending December 31, 2025. Refer to Part II, Item 1A. Risk Factors for a full discussion of the risks associated with the U.S. tariff environment.</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On July 4, 2025, the Act was signed into law that includes the extension and modification of certain key provisions of the TCJA, modification of certain IRA incentives, acceleration of the phase-out of clean vehicle and other clean energy credits and sets the civil penalties to zero for noncompliance with CAFE standards. The Act also introduces a new auto loan interest deductibility provision that allows some individuals to deduct up to $10,000 per year in interest on new, U.S.-assembled personal vehicles purchased between 2025 and 2028. There are a variety of effective dates in the Act and only certain key provisions with financial reporting implications are expected to affect our financial statements for the year ending December 31, 2025. We are currently unable to estimate the financial impacts of the Act which could be material and may adversely affect EV profitability.</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in our 2024 Form 10-K and Part II, Item 1A. Risk Factors for a discussion of these challenges.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2025, we expect Net income attributable to stockholders of between $7.7 billion and $9.5 billion, EBIT-adjusted of between $10.0 billion and $12.5 billion, EPS-diluted of between $8.22 and $9.97 and EPS-diluted-adjusted of between $8.25 and $10.00. Refer to the "Non-GAAP Measures" section of this MD&amp;A for additional information.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2025</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$ 7.7-9.5</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$ 10.0-12.5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MD&amp;A for adjustment details. These expected financial results do not include the potential impact of future adjustments related to special items.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to expected EPS-diluted-adjusted</w:t>
      </w:r>
      <w:r>
        <w:rPr>
          <w:rFonts w:ascii="Times New Roman" w:cs="Times New Roman" w:eastAsia="Times New Roman" w:hAnsi="Times New Roman"/>
          <w:sz w:val="16"/>
          <w:szCs w:val="16"/>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Ending December 31, 2025</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$ 8.22-9.97</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$ 8.25-10.00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to EPS-diluted-adjusted within this MD&amp;A for adjustment details. These expected financial results do not include the potential impact of future adjustments related to special items.</w:t>
      </w:r>
    </w:p>
    <w:p>
      <w:pPr>
        <w:spacing w:after="0" w:line="18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10.3 million units in the six months ended June 30, 2025, representing an increase of 4.0%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2024. U.S. industry sales were 8.3 million units in the six months ended June 30, 2025, representing an increase of 3.8% compared to the corresponding period in 2024.</w:t>
      </w:r>
    </w:p>
    <w:p>
      <w:pPr>
        <w:spacing w:after="0" w:line="200"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1.4 million units for market share of 17.3% in the six months ended June 30, 2025, representing an increase of 1.2 percentage points compared to the corresponding period in 2024.</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achieved strong margins in the six months ended June 30, 2025 driven by the strength of our product portfolio and ongoing cost discipline. However, the evolving tariff and policy landscape could have a material impact on our profitability 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12.4 million units in the six months ended June 30, 2025, representing an increase of 7.5%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2024. Our total vehicle sales in China were 0.9 million units for market share of 7.2% in the six months ended June 30, 2025, representing an increase of 0.1 percentage points compared to the corresponding period in 2024. Our Automotive China JVs generated equity income of $0.1 billion in the six months ended June 30, 2025. We continue to focus on enhancing the competitiveness of our products in the Chinese market and executing restructuring plans. Additional restructuring charges may be incurred going forward.</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12.9 million units in the six months ended June 30, 2025, representing an increase of 3.3% compared to the corresponding period in 2024. Our total vehicle sales outside of China were 0.4 million units for market share of 3.1% in the six months ended June 30, 2025, representing a decrease of 0.3 percentage points compared to the corresponding period in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2025, 25.8% of our wholesale vehicle sales volume was generated outside the U.S. The following table summarizes wholesale vehicle sales by our Automotive segments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
        </w:trPr>
        <w:tc>
          <w:tcPr>
            <w:tcW w:w="19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8"/>
        </w:trPr>
        <w:tc>
          <w:tcPr>
            <w:tcW w:w="19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60" w:type="dxa"/>
            <w:vAlign w:val="bottom"/>
            <w:tcBorders>
              <w:bottom w:val="single" w:sz="8" w:color="auto"/>
            </w:tcBorders>
          </w:tcPr>
          <w:p>
            <w:pPr>
              <w:spacing w:after="0"/>
              <w:rPr>
                <w:sz w:val="16"/>
                <w:szCs w:val="16"/>
                <w:color w:val="auto"/>
              </w:rPr>
            </w:pPr>
          </w:p>
        </w:tc>
      </w:tr>
      <w:tr>
        <w:trPr>
          <w:trHeight w:val="22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87.4 %</w:t>
            </w:r>
          </w:p>
        </w:tc>
      </w:tr>
      <w:tr>
        <w:trPr>
          <w:trHeight w:val="228"/>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47"/>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GM</w:t>
            </w:r>
          </w:p>
        </w:tc>
        <w:tc>
          <w:tcPr>
            <w:tcW w:w="660" w:type="dxa"/>
            <w:vAlign w:val="bottom"/>
          </w:tcPr>
          <w:p>
            <w:pPr>
              <w:jc w:val="center"/>
              <w:ind w:right="1"/>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GM</w:t>
            </w:r>
          </w:p>
        </w:tc>
        <w:tc>
          <w:tcPr>
            <w:tcW w:w="680" w:type="dxa"/>
            <w:vAlign w:val="bottom"/>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GM</w:t>
            </w:r>
          </w:p>
        </w:tc>
        <w:tc>
          <w:tcPr>
            <w:tcW w:w="6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GM</w:t>
            </w:r>
          </w:p>
        </w:tc>
        <w:tc>
          <w:tcPr>
            <w:tcW w:w="680" w:type="dxa"/>
            <w:vAlign w:val="bottom"/>
          </w:tcPr>
          <w:p>
            <w:pPr>
              <w:jc w:val="right"/>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1"/>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141"/>
        </w:trPr>
        <w:tc>
          <w:tcPr>
            <w:tcW w:w="18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Asia/Pacific, Middle East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and Africa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Total Asia/Pacific, Middle</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11,869</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7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700" w:type="dxa"/>
            <w:vAlign w:val="bottom"/>
            <w:gridSpan w:val="3"/>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7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5"/>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East and Africa</w:t>
            </w:r>
          </w:p>
        </w:tc>
        <w:tc>
          <w:tcPr>
            <w:tcW w:w="68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1"/>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6"/>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36"/>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6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6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Syria and certain regions of Ukraine are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35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
        </w:trPr>
        <w:tc>
          <w:tcPr>
            <w:tcW w:w="43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74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88"/>
        </w:trPr>
        <w:tc>
          <w:tcPr>
            <w:tcW w:w="4340" w:type="dxa"/>
            <w:vAlign w:val="bottom"/>
          </w:tcPr>
          <w:p>
            <w:pPr>
              <w:spacing w:after="0"/>
              <w:rPr>
                <w:sz w:val="16"/>
                <w:szCs w:val="16"/>
                <w:color w:val="auto"/>
              </w:rPr>
            </w:pPr>
          </w:p>
        </w:tc>
        <w:tc>
          <w:tcPr>
            <w:tcW w:w="176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7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320</w:t>
            </w:r>
          </w:p>
        </w:tc>
      </w:tr>
      <w:tr>
        <w:trPr>
          <w:trHeight w:val="228"/>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166</w:t>
            </w:r>
          </w:p>
        </w:tc>
      </w:tr>
      <w:tr>
        <w:trPr>
          <w:trHeight w:val="24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887"/>
        </w:trPr>
        <w:tc>
          <w:tcPr>
            <w:tcW w:w="4340" w:type="dxa"/>
            <w:vAlign w:val="bottom"/>
          </w:tcPr>
          <w:p>
            <w:pPr>
              <w:spacing w:after="0"/>
              <w:rPr>
                <w:sz w:val="24"/>
                <w:szCs w:val="24"/>
                <w:color w:val="auto"/>
              </w:rPr>
            </w:pPr>
          </w:p>
        </w:tc>
        <w:tc>
          <w:tcPr>
            <w:tcW w:w="16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6"/>
        </w:trPr>
        <w:tc>
          <w:tcPr>
            <w:tcW w:w="43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35% in the six months ended June 30, 2025 and 39% in the corresponding period in 2024. Penetration levels vary depending on incentive financing programs available and competing third-party financing products in the market. GM Financial's prime loan originations as a percentage of total loan originations in North America increased to 81% in the six months ended June 30, 2025 from 79% in the corresponding period in 2024. In the six months ended June 30, 2025, GM Financial's revenue consisted of leased vehicle income of 46%, retail finance charge income of 41% and commercial finance charge income of 8%.</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$0.2 billion and $0.3 billion were included in GM Financial interest, operating and other expenses for the three and six months ended June 30, 2025, compared to gains of $0.2 billion and $0.4 billion in the corresponding periods in 2024. The decrease in gains is primarily due to fewer terminated leases in 2025. The following table summarizes the estimated residual value based on GM Financial's most recent estimates and the number of units included in GM Financial Equipment on operating leases, net by vehicle type (units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expenses;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6"/>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7"/>
                <w:szCs w:val="17"/>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7"/>
                <w:szCs w:val="17"/>
                <w:color w:val="auto"/>
              </w:rPr>
            </w:pPr>
          </w:p>
        </w:tc>
        <w:tc>
          <w:tcPr>
            <w:tcW w:w="6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4"/>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7"/>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w w:val="99"/>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w w:val="97"/>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w w:val="97"/>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5"/>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6"/>
                <w:szCs w:val="16"/>
                <w:color w:val="auto"/>
              </w:rPr>
            </w:pPr>
          </w:p>
        </w:tc>
        <w:tc>
          <w:tcPr>
            <w:tcW w:w="6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6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5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5"/>
        </w:trPr>
        <w:tc>
          <w:tcPr>
            <w:tcW w:w="25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90,983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7"/>
                <w:szCs w:val="17"/>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7"/>
                <w:szCs w:val="17"/>
                <w:color w:val="auto"/>
              </w:rPr>
            </w:pPr>
          </w:p>
        </w:tc>
        <w:tc>
          <w:tcPr>
            <w:tcW w:w="6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7"/>
                <w:szCs w:val="17"/>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39,289</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38,615</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9"/>
                <w:szCs w:val="9"/>
                <w:color w:val="auto"/>
              </w:rPr>
            </w:pP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6"/>
                <w:szCs w:val="16"/>
                <w:color w:val="auto"/>
              </w:rPr>
            </w:pPr>
          </w:p>
        </w:tc>
        <w:tc>
          <w:tcPr>
            <w:tcW w:w="6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88.5 %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74,480</w:t>
            </w:r>
          </w:p>
        </w:tc>
        <w:tc>
          <w:tcPr>
            <w:tcW w:w="12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72,611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3"/>
        </w:trPr>
        <w:tc>
          <w:tcPr>
            <w:tcW w:w="2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7"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2025, increased Cost was primarily due to: (1) increased material and freight costs of $1.4 billion, including $1.1 billion due to tariffs; (2) unfavorable net realizable value inventory adjustments, primarily EV-related, of $0.3 billion in the three months ended June 30, 2025 compared to similar favorable inventory adjustments of $0.3 billion in the three months ended June 30, 2024; (3) charges of $0.3 billion due to the Ultium Cells Holdings LLC strategic realignment; and (4) increased campaigns and other warranty-related costs of $0.3 billion; partially offset by (5) the reduction of charges related to Cruise restructuring of $0.6 billion; and (6) decreased engineering costs of $0.4 billion, driven primarily by the wind down of Cruise robotaxi operations. In the three months ended June 30, 2025, favorable Other was primarily due to net foreign currency changes primarily in the Mexican peso.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six months ended June 30, 2025, increased Cost was primarily due to: (1) increased material and freight costs of $1.6 billion, including $1.3 billion due to tariffs; (2) unfavorable net realizable value inventory adjustments, primarily EV-related, of $0.5 billion in the six months ended June 30, 2025 compared to similar favorable inventory adjustments of $0.2 billion in the six months ended June 30, 2024; (3) increased campaigns and other warranty-related costs of $0.4 billion; (4) charges of $0.3 billion due to the Ultium Cells Holdings LLC strategic realignment; and (5) increased manufacturing costs of $0.3 billion; partially offset by (6) the reduction of charges related to Cruise restructuring of $0.6 billion; and (7) decreased engineering costs of $0.5 billion, driven primarily by the wind down of Cruise robotaxi operations. In the six months ended June 30, 2025, favorable Other was primarily due to net foreign currency changes in the Mexican peso, Brazilian real and other currencies.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840" w:type="dxa"/>
            <w:vAlign w:val="bottom"/>
          </w:tcPr>
          <w:p>
            <w:pPr>
              <w:spacing w:after="0"/>
              <w:rPr>
                <w:sz w:val="19"/>
                <w:szCs w:val="19"/>
                <w:color w:val="auto"/>
              </w:rPr>
            </w:pPr>
          </w:p>
        </w:tc>
      </w:tr>
      <w:tr>
        <w:trPr>
          <w:trHeight w:val="182"/>
        </w:trPr>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4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4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75"/>
        </w:trPr>
        <w:tc>
          <w:tcPr>
            <w:tcW w:w="244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2"/>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30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June 30, 2025, Automotive and other selling, general and administrative expense decreased primarily due to several insignificant items.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2025, Automotive and other selling, general and administrative expense decreased primarily due to: (1) decreased administrative costs of $0.3 billion; and (2) the absence of charges related to strategic activities to transition certain Buick dealerships of $0.2 billion.</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7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9"/>
                <w:szCs w:val="19"/>
                <w:color w:val="auto"/>
              </w:rPr>
            </w:pPr>
          </w:p>
        </w:tc>
      </w:tr>
      <w:tr>
        <w:trPr>
          <w:trHeight w:val="182"/>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5"/>
                <w:szCs w:val="15"/>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76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5"/>
                <w:szCs w:val="15"/>
                <w:color w:val="auto"/>
              </w:rPr>
            </w:pPr>
          </w:p>
        </w:tc>
        <w:tc>
          <w:tcPr>
            <w:tcW w:w="9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5"/>
              </w:rPr>
              <w:t>June 30,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4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Interest income and other non-</w:t>
            </w: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42"/>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86.8 %</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2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and six months ended June 30, 2025, Interest income and other non-operating income, net increased primarily due to $0.2 billion in gains related to revaluation of investments and other individually insignificant items.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9"/>
                <w:szCs w:val="19"/>
                <w:color w:val="auto"/>
              </w:rPr>
            </w:pPr>
          </w:p>
        </w:tc>
      </w:tr>
      <w:tr>
        <w:trPr>
          <w:trHeight w:val="182"/>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5"/>
              </w:rPr>
              <w:t>June 30, 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2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and six months ended June 30, 2025, Income tax expense decreased primarily due to lower pre-tax income and a lower effective tax rate.</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three and six months ended June 30, 2025, our effective tax rate-adjusted (ETR-adjusted) was 17.9% and 19.1%. We expect our adjusted effective tax rate to be between 17% and 19% for the year ending December 31, 2025.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15 to our condensed consolidated financial statements for additional information related to Income tax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00" w:type="dxa"/>
            <w:vAlign w:val="bottom"/>
          </w:tcPr>
          <w:p>
            <w:pPr>
              <w:spacing w:after="0"/>
              <w:rPr>
                <w:sz w:val="16"/>
                <w:szCs w:val="16"/>
                <w:color w:val="auto"/>
              </w:rPr>
            </w:pPr>
          </w:p>
        </w:tc>
        <w:tc>
          <w:tcPr>
            <w:tcW w:w="5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6"/>
                <w:szCs w:val="16"/>
                <w:color w:val="auto"/>
              </w:rPr>
            </w:pPr>
          </w:p>
        </w:tc>
        <w:tc>
          <w:tcPr>
            <w:tcW w:w="5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39,486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40,725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2,415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4,433</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7"/>
                <w:szCs w:val="17"/>
                <w:color w:val="auto"/>
              </w:rPr>
            </w:pPr>
          </w:p>
        </w:tc>
        <w:tc>
          <w:tcPr>
            <w:tcW w:w="124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4"/>
            <w:vMerge w:val="restart"/>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6"/>
                <w:szCs w:val="16"/>
                <w:color w:val="auto"/>
              </w:rPr>
            </w:pPr>
          </w:p>
        </w:tc>
        <w:tc>
          <w:tcPr>
            <w:tcW w:w="5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6"/>
                <w:szCs w:val="16"/>
                <w:color w:val="auto"/>
              </w:rPr>
            </w:pPr>
          </w:p>
        </w:tc>
        <w:tc>
          <w:tcPr>
            <w:tcW w:w="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 w:type="dxa"/>
            <w:vAlign w:val="bottom"/>
          </w:tcPr>
          <w:p>
            <w:pPr>
              <w:spacing w:after="0"/>
              <w:rPr>
                <w:sz w:val="16"/>
                <w:szCs w:val="16"/>
                <w:color w:val="auto"/>
              </w:rPr>
            </w:pP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80" w:type="dxa"/>
            <w:vAlign w:val="bottom"/>
          </w:tcPr>
          <w:p>
            <w:pPr>
              <w:spacing w:after="0"/>
              <w:rPr>
                <w:sz w:val="16"/>
                <w:szCs w:val="16"/>
                <w:color w:val="auto"/>
              </w:rPr>
            </w:pPr>
          </w:p>
        </w:tc>
        <w:tc>
          <w:tcPr>
            <w:tcW w:w="4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76,873</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76,824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5,702</w:t>
            </w: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8,273</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1,676</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1,695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June 30, 2025, Total net sales and revenue decreased primarily due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to decreased sales of cars and full-size pickup trucks due to lower planned production for product upgrades, partially offset by increased sales of crossover vehicles, including EVs; and (2) unfavorable Price for carryover vehicles; partially offset by (3) favorable Mix associated with decreased sales of cars and increased sales of full-size SUVs.</w:t>
      </w:r>
    </w:p>
    <w:p>
      <w:pPr>
        <w:spacing w:after="0" w:line="205"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2025, Total net sales and revenue increased primarily due to: (1) favorable Mix associated with decreased sales of cars and increased sales of full-size SUVs, partially offset by increased sales of crossover vehicles, including EVs, and decreased sales of full-size pickup trucks; and (2) favorable Price as a result of reduced dealer inventory levels due to strong demand for our products; partially offset by (3) decreased net wholesale volumes due to decreased sales of cars and full-size pick-up trucks due to lower planned production for product upgrades, partially offset by increased sales of crossover vehicles, including EVs, mid-size pickup trucks and vans, and full-size SUVs; and (4) unfavorable Other due to net foreign currency changes primarily in the Mexican peso.</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June 30, 2025, EBIT-adjusted decreased primarily due to: (1) unfavorable Cost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material and freight costs of $1.4 billion, including $1.1 billion due to tariffs, unfavorable net realizable value inventory adjustments, primarily EV-related, of $0.3 billion in the three months ended June 30, 2025 compared to similar favorable inventory adjustments of $0.3 billion in the three months ended June 30, 2024 and increased warranty-related costs of $0.3 billion, partially offset by decreased other employee-related costs of $0.3 billion; (2) decreased net wholesale volumes; and (3) unfavorable Price; partially offset by (4) favorable Mix; and (5) favorable Other due to net foreign currency changes primarily in the Mexican peso.</w:t>
      </w:r>
    </w:p>
    <w:p>
      <w:pPr>
        <w:spacing w:after="0" w:line="211"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the six months ended June 30, 2025, EBIT-adjusted decreased primarily due to: (1) unfavorable Cost primarily due to increased material and freight costs of $1.5 billion, including $1.3 billion due to tariffs, unfavorable net realizable value inventory adjustments, primarily EV-related, of $0.5 billion in the six months ended June 30, 2025 compared to similar favorable inventory adjustments of $0.2 billion in the six months ended June 30, 2024, increased warranty-related costs of $0.5 billion and increased manufacturing costs of $0.3 billion; (2) unfavorable Mix associated with increased sales of crossover vehicles, including EVs, and decreased sales of full-size pickup trucks, partially offset by decreased sales of cars and increased sales of full-size SUVs; and</w:t>
      </w:r>
    </w:p>
    <w:p>
      <w:pPr>
        <w:spacing w:after="0" w:line="3" w:lineRule="exact"/>
        <w:rPr>
          <w:sz w:val="20"/>
          <w:szCs w:val="20"/>
          <w:color w:val="auto"/>
        </w:rPr>
      </w:pPr>
    </w:p>
    <w:p>
      <w:pPr>
        <w:ind w:firstLine="7"/>
        <w:spacing w:after="0" w:line="258"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wholesale volumes; partially offset by (4) favorable Price; and (5) favorable Other due to net foreign currency changes primarily in the Mexican peso.</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Pr>
          <w:p>
            <w:pPr>
              <w:spacing w:after="0"/>
              <w:rPr>
                <w:sz w:val="16"/>
                <w:szCs w:val="16"/>
                <w:color w:val="auto"/>
              </w:rPr>
            </w:pP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6"/>
                <w:szCs w:val="16"/>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3,326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71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(104)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176</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136</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154</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(loss)(a)</w:t>
            </w:r>
          </w:p>
        </w:tc>
        <w:tc>
          <w:tcPr>
            <w:tcW w:w="1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  Excludes adjustments related to Automotive China JVs restructuring recorded in GMI.</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3"/>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vMerge w:val="restart"/>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Pr>
          <w:p>
            <w:pPr>
              <w:spacing w:after="0"/>
              <w:rPr>
                <w:sz w:val="16"/>
                <w:szCs w:val="16"/>
                <w:color w:val="auto"/>
              </w:rPr>
            </w:pP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6"/>
                <w:szCs w:val="16"/>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8"/>
              </w:rPr>
              <w:t>(0.4)</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116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(210)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327</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18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20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120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i w:val="1"/>
                <w:iCs w:val="1"/>
                <w:color w:val="auto"/>
              </w:rPr>
              <w:t>250</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(130)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(52.0)%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(loss)(a)</w:t>
            </w:r>
          </w:p>
        </w:tc>
        <w:tc>
          <w:tcPr>
            <w:tcW w:w="1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adjustments related to Automotive China JVs restructuring recorded in GMI.</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June 30, 2025, Total net sales and revenue increased primarily due to: (1) favorable Mix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 Argentina and in the Middle East; and (2) favorable Price across multiple vehicle lines in Argentina and in Brazil; partially offset by (3) decreased net wholesale volumes in Brazil primarily due to decreased sales of passenger cars, partially offset by increased wholesale volumes in Argentina and Egypt; and (4) unfavorable Other primarily due to net foreign currency changes in the Brazilian real and Argentine peso.</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six months ended June 30, 2025, Total net sales and revenue decreased primarily due to: (1) decreased net wholesale volumes in Brazil, Korea and in the Middle East, partially offset by increased volumes in Argentina and Egypt primarily due to increased sales of passenger cars and trucks; and (2) unfavorable Other primarily due to net foreign currency changes in the Brazilian real, Argentine peso and Egyptian pound; partially offset by (3) favorable Mix in Brazil, partially offset by the Middle East; and (4) favorable Price across multiple vehicle lines in Argentina.</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June 30, 2025, EBIT-adjusted increased primarily due to: (1) favorable Price; (2) favorable Mix in Brazil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Argentina; and (3) favorable Other primarily due to increased Automotive China JVs equity income (loss), partially offset by net foreign currency changes in the Brazilian real and Argentine peso; partially offset by (4) decreased net wholesale volumes in Brazil; and (5) unfavorable Cost primarily due to increased material and logistics costs in Brazil.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six months ended June 30, 2025, EBIT-adjusted increased primarily due to: (1) favorable Price; (2) favorable Mix in Brazil and Argentina; partially offset by the Middle East; and (3) favorable Other primarily due to increased Automotive China JVs equity income (loss), partially offset by net foreign currency changes in the Brazilian real and Argentine peso; partially offset by (4) decreased net wholesale volumes in Brazil, partially offset by increased volumes in Argentina; and (5) unfavorable Cost primarily due to increased material and logistics costs in Brazil.</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7"/>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61"/>
        </w:trPr>
        <w:tc>
          <w:tcPr>
            <w:tcW w:w="5200" w:type="dxa"/>
            <w:vAlign w:val="bottom"/>
            <w:gridSpan w:val="9"/>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w w:val="99"/>
              </w:rPr>
              <w:t>Wholesale vehicle sales, including vehicles exported to markets outside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net sales and revenue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11,149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5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 Financial</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4"/>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1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90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 $</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980" w:type="dxa"/>
            <w:vAlign w:val="bottom"/>
            <w:tcBorders>
              <w:righ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gridSpan w:val="2"/>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50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378</w:t>
            </w:r>
          </w:p>
        </w:tc>
        <w:tc>
          <w:tcPr>
            <w:tcW w:w="60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5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1,559</w:t>
            </w:r>
          </w:p>
        </w:tc>
        <w:tc>
          <w:tcPr>
            <w:tcW w:w="60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debt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outstanding (dollars in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50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106.5</w:t>
            </w:r>
          </w:p>
        </w:tc>
        <w:tc>
          <w:tcPr>
            <w:tcW w:w="60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Effective rate of interest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19" w:lineRule="exact"/>
        <w:rPr>
          <w:sz w:val="20"/>
          <w:szCs w:val="20"/>
          <w:color w:val="auto"/>
        </w:rPr>
      </w:pPr>
    </w:p>
    <w:p>
      <w:pPr>
        <w:jc w:val="both"/>
        <w:ind w:firstLine="161"/>
        <w:spacing w:after="0" w:line="28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Revenue </w:t>
      </w:r>
      <w:r>
        <w:rPr>
          <w:rFonts w:ascii="Times New Roman" w:cs="Times New Roman" w:eastAsia="Times New Roman" w:hAnsi="Times New Roman"/>
          <w:sz w:val="17"/>
          <w:szCs w:val="17"/>
          <w:color w:val="auto"/>
        </w:rPr>
        <w:t>In the three months ended June 30, 2025, total revenue increased primarily due to: (1) increased finance charge income of $0.2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billion primarily due to growth in the size of the portfolio and an increase in the retail effective yield resulting from higher average interest rates on new loan originations; and (2) increased leased vehicle income of $0.1 billion primarily due to an increase in the average balance of the leased vehicles portfolio.</w:t>
      </w:r>
    </w:p>
    <w:p>
      <w:pPr>
        <w:spacing w:after="0" w:line="18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six months ended June 30, 2025, total revenue increased primarily due to: (1) increased finance charge income of $0.4 billion primarily due to growth in the size of the portfolio and an increase in the retail effective yield resulting from higher average interest rates on new loan originations; and (2) increased leased vehicle income of $0.2 billion primarily due to an increase in the average balance of the leased vehicles portfolio.</w:t>
      </w:r>
    </w:p>
    <w:p>
      <w:pPr>
        <w:spacing w:after="0" w:line="20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June 30, 2025, EBT-adjusted decreased primarily due to: (1) increased provision for loan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$0.2 billion primarily due to increased loan origination volume; (2) increased interest expense of $0.2 billion primarily due to an increase in average debt outstanding, as well as a slight increase in the effective rate of interest on debt; and (3) increased leased vehicle expenses of $0.1 billion primarily due to increased depreciation resulting from an increase in the average balance of the leased vehicles portfolio; partially offset by (4) increased finance charge income of $0.2 billion primarily due to growth in the size of the portfolio and an increase in the retail effective yield resulting from higher average interest rates on new loan originations; and (5) increased leased vehicle income of $0.1 billion primarily due to an increase in the average balance of the leased vehicles portfolio.</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2025, EBT-adjusted decreased primarily due to: (1) increased interest expense of $0.4 billion primarily due to an increase in average debt outstanding, as well as an increase in the effective rate of interest on debt; (2) increased provision for loan losses of $0.3 billion primarily due to increased loan origination volume; and (3) increased leased vehicle expenses of $0.1 billion primarily due to a decrease in lease termination gains resulting from fewer terminated leases in 2025; partially offset by (4) increased finance charge income of $0.4 billion primarily due to growth in the size of the portfolio and an increase in the retail effective yield resulting from higher average interest rates on new loan originations; 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increased leased vehicle income of $0.2 billion primarily due to an increase in the average balance of the leased vehicles portfolio.</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available liquidity actions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$10.0 billion to $11.0 billion in 2025; (2) payments for engineering and product development activities, including the development of AV technology and software-enabled services; (3) payments associated with previously announced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payments of emissions-related regulatory compliance costs.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212"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Part I, Item 1A. Risk Factors of our 2024 Form 10-K and Part II, Item 1A. Risk Factors, some of which are outside of our control.</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and approved an ASR program to repurchase an aggregate amount of $2.0 billion of our common stock. In February 2025, pursuant to the ASR Agreements, we advanced the $2.0 billion and received an initial delivery of approximately 33 million shares of our common stock with a value of $1.6 billion, which were immediately retired. In the three months ended June 30, 2025, we received and retired 10 million additional shares upon settlement of the transactions contemplated under the ASR program. The final number of shares received was based on the average of the daily volume-weighted average prices of our common stock during the term of the ASR Agreements, less a discount pursuant to the terms and conditions of the ASR Agreements.</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2025, in addition to shares received under the ASR program, we repurchased an insignificant amount of our outstanding common stock. We have $4.3 billion in capacity remaining under our share repurchase program as of June 30, 2025, with no expiration date.</w:t>
      </w:r>
    </w:p>
    <w:p>
      <w:pPr>
        <w:spacing w:after="0" w:line="189"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In the six months ended June 30, 2025, we paid dividends of $0.3 billion to holders of our common stock. In February 2025, our Board of Directors approved an increase in the quarterly common stock dividend of $0.03 to $0.15 per share beginning with the quarterly dividend declared in April 2025.</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May 2025, we loaned $1.8 billion to Ultium Cells LLC to facilitate full voluntary prepayment of loans Ultium Cells LLC received under the DOE's Advanced Technology Vehicles Manufacturing program. Our loan to Ultium Cells LLC accrues interest at a rate of 5.7% per year, matures in April 2030 and is prepayable without penalties.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Net cash used in operating activities by Cruise was $0.7 billion and $1.3 billion in the six months ended June 30, 2025 and 2024.</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2024. Refer to Part II, Item 7. MD&amp;A of our 2024 Form 10-K.</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$14.4 billion and $14.3 billion at June 30, 2025 and December 31, 2024,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$0.6 billion and $0.5 billion at June 30, 2025 and December 31, 2024.</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June 30, 2025 and December 31, 2024. We had intercompany loans from GM Financial of $0.3 billion at June 30, 2025 and December 31, 2024, which primarily consisted of commercial loans to dealers we consolidate. We did not have intercompany loans to GM Financial at June 30, 2025 and December 31, 2024. Refer to Note 4 to our condensed consolidated financial statements for additional information.</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maturing on October 1, 2025.</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2025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$0.7 billion on its common stock in the six months ended June 30, 2025. Future dividends from GM Financial will depend on several factors including business and economic conditions, its financial condition, earnings, liquidity requirements and leverage ratio.</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letters of credit outstanding under our sub-facility of $0.6 billion and $0.5 billion at June 30, 2025 and December 31, 2024.</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7"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2955" cy="15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ASR and dividends paid</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Loan to Ultium Cells LLC</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Cruise robotaxi operations wind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 nonconsolidated affiliates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senior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1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7"/>
              </w:rPr>
              <w:t>7.1</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(3.9)</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(2.3)</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2.0</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(1.8)</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(0.9)</w:t>
            </w:r>
          </w:p>
        </w:tc>
      </w:tr>
      <w:tr>
        <w:trPr>
          <w:trHeight w:val="228"/>
        </w:trPr>
        <w:tc>
          <w:tcPr>
            <w:tcW w:w="80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(0.5)</w:t>
            </w:r>
          </w:p>
        </w:tc>
      </w:tr>
      <w:tr>
        <w:trPr>
          <w:trHeight w:val="233"/>
        </w:trPr>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(0.5)</w:t>
            </w:r>
          </w:p>
        </w:tc>
      </w:tr>
      <w:tr>
        <w:trPr>
          <w:trHeight w:val="222"/>
        </w:trPr>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(0.8)</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7" w:lineRule="exact"/>
        <w:rPr>
          <w:sz w:val="20"/>
          <w:szCs w:val="20"/>
          <w:color w:val="auto"/>
        </w:rPr>
      </w:pPr>
    </w:p>
    <w:p>
      <w:pPr>
        <w:sectPr>
          <w:pgSz w:w="11900" w:h="16838" w:orient="portrait"/>
          <w:cols w:equalWidth="0" w:num="2">
            <w:col w:w="8980" w:space="400"/>
            <w:col w:w="18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8"/>
        </w:trPr>
        <w:tc>
          <w:tcPr>
            <w:tcW w:w="67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(2.0)</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0.3</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0.1</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8"/>
              </w:rPr>
              <w:t>(1.9)</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(2.3)</w:t>
            </w:r>
          </w:p>
        </w:tc>
      </w:tr>
      <w:tr>
        <w:trPr>
          <w:trHeight w:val="22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8"/>
                <w:szCs w:val="18"/>
                <w:color w:val="auto"/>
                <w:w w:val="97"/>
              </w:rPr>
              <w:t>1.6</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8"/>
              </w:rPr>
              <w:t>(4.3)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billion in dividends received from our nonconsolidated affiliates in the six months ended June 30, 2025; $0.7 billion and $0.9 billion in dividends received from GM Financial in the six months ended June 30, 2025 and 2024; and changes in other assets and liabilities in the six months ended June 30, 2025 and 2024.</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9"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 billion and $4.2 billion in the six months ended June 30, 2025 and 2024,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(1.6)</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2"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term loan to Ultium Cells LLC in the six months ended June 30, 2025; $(0.5) billion of GM's investment in nonconsolidated affiliates in the six months ended June 30, 2025 and 2024; $(0.9) billion funding to wind down Cruise robotaxi operations in the six months ended June 30, 2025; and $(1.2) billion investment in Cruise which is inclusive of $(0.9) billion convertible note issued by Cruise to us in the six months ended June 30, 2024.</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6"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$(0.9) billion funding to wind down Cruise robotaxi operations in the six months ended June 30, 2025; and $(1.2) billion investment in Cruise which is inclusive of $(0.9) billion convertible note issued by Cruise to us in the six months ended June 30, 2024, which are eliminated within the condensed consolidated statements of cash flows.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(0.5)</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(0.8)</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 billion in payments related to the ASR in the six months ended June 30, 2025 and $(1.3) billion for payments to purchase common stock in the six months ended June 30, 2024; and $(0.3) billion for dividends paid in the six months ended June 30, 2025 and 2024.</w:t>
      </w:r>
    </w:p>
    <w:p>
      <w:pPr>
        <w:spacing w:after="0" w:line="193"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six months ended June 30, 2025, net automotive cash provided by operating activities was $7.1 billion, capital expenditures were $3.9 billion and adjustments for management actions were $0.5 billion. In the six months ended June 30, 2024, net automotive cash provided by operating activities was $11.3 billion, capital expenditures were $5.3 billion and adjustments for management actions were $0.3 billion.</w:t>
      </w:r>
    </w:p>
    <w:p>
      <w:pPr>
        <w:spacing w:after="0" w:line="209" w:lineRule="exact"/>
        <w:rPr>
          <w:sz w:val="20"/>
          <w:szCs w:val="20"/>
          <w:color w:val="auto"/>
        </w:rPr>
      </w:pPr>
    </w:p>
    <w:p>
      <w:pPr>
        <w:jc w:val="both"/>
        <w:ind w:right="20"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July 15, 2025, all credit ratings remained unchanged since December 31, 2024.</w:t>
      </w:r>
    </w:p>
    <w:p>
      <w:pPr>
        <w:spacing w:after="0" w:line="22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23" w:lineRule="exact"/>
        <w:rPr>
          <w:sz w:val="20"/>
          <w:szCs w:val="20"/>
          <w:color w:val="auto"/>
        </w:rPr>
      </w:pPr>
    </w:p>
    <w:p>
      <w:pPr>
        <w:ind w:left="8240"/>
        <w:spacing w:after="0"/>
        <w:tabs>
          <w:tab w:leader="none" w:pos="9820" w:val="left"/>
        </w:tabs>
        <w:rPr>
          <w:sz w:val="20"/>
          <w:szCs w:val="20"/>
          <w:color w:val="auto"/>
        </w:rPr>
      </w:pP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right="1720"/>
        <w:spacing w:after="0" w:line="280" w:lineRule="auto"/>
        <w:rPr>
          <w:sz w:val="20"/>
          <w:szCs w:val="20"/>
          <w:color w:val="auto"/>
        </w:rPr>
      </w:pPr>
      <w:r>
        <w:rPr>
          <w:rFonts w:ascii="Times New Roman" w:cs="Times New Roman" w:eastAsia="Times New Roman" w:hAnsi="Times New Roman"/>
          <w:sz w:val="17"/>
          <w:szCs w:val="17"/>
          <w:color w:val="auto"/>
        </w:rPr>
        <w:t>Borrowing capacity on unpledged eligible assets Borrowing capacity on committed unsecured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2955" cy="1447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ind w:left="20" w:right="620"/>
        <w:spacing w:after="0" w:line="336" w:lineRule="auto"/>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 Total GM Financial available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7132955" cy="170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3"/>
        </w:trPr>
        <w:tc>
          <w:tcPr>
            <w:tcW w:w="1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2"/>
        </w:trPr>
        <w:tc>
          <w:tcPr>
            <w:tcW w:w="110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1100" w:type="dxa"/>
            <w:vAlign w:val="bottom"/>
          </w:tcPr>
          <w:p>
            <w:pPr>
              <w:spacing w:after="0"/>
              <w:rPr>
                <w:sz w:val="24"/>
                <w:szCs w:val="24"/>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7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0.9</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4.1</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4.8</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(3.6)</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right="20" w:hanging="333"/>
        <w:spacing w:after="0" w:line="255"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$3.7 billion in the six months ended June 30, 2025 driven primarily by purchases of, and collections on, wholesale finance receivables and collection of intercompany loans to Cruise; and $(3.3) billion in the six months ended June 30, 2024 driven primarily by purchases of, and collections on, wholesale finance receivables, which are eliminated within the condensed consolidated statements of cash flows.</w:t>
      </w:r>
    </w:p>
    <w:p>
      <w:pPr>
        <w:spacing w:after="0" w:line="1"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$(0.7) billion and $(0.9) billion in the six months ended June 30, 2025 and 2024 for dividends to GM, which are eliminated within the condensed consolidated statements of cash flows.</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000" w:type="dxa"/>
            <w:vAlign w:val="bottom"/>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loan and leasing fees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income</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26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June 30, 2025, available liquidity exceeded GM Financial's liquidity targets.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June 30, 2025 and December 31, 2024. Refer to the "Automotive Liquidity" section of this MD&amp;A for additional details.</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June 30, 2025, secured, committed unsecured and uncommitted unsecured credit facilities totaled $27.5 billion, $0.9 billion and $2.1 billion with advances outstanding of $1.6 billion, an insignificant amount and $2.1 billion.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2024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08"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5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Ultium strategic realignment(a)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restructuring actions(b)</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actions(c)</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Cruise restructuring(d)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GMI plant wind down(e)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Headquarters relocation(f)</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Buick dealer strategy(g)</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8"/>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Voluntary separation program(h)</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Korea wage litigation(i)</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India asset sales(j)</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Ultium Cells Holdings LLC charges from a strategic realignment to have the right manufacturing and cell capabilities in place to meet EV demand and expected growth.</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w:t>
      </w:r>
    </w:p>
    <w:p>
      <w:pPr>
        <w:spacing w:after="0" w:line="7" w:lineRule="exact"/>
        <w:rPr>
          <w:rFonts w:ascii="Times New Roman" w:cs="Times New Roman" w:eastAsia="Times New Roman" w:hAnsi="Times New Roman"/>
          <w:sz w:val="16"/>
          <w:szCs w:val="16"/>
          <w:color w:val="auto"/>
        </w:rPr>
      </w:pPr>
    </w:p>
    <w:p>
      <w:pPr>
        <w:jc w:val="both"/>
        <w:ind w:left="340" w:hanging="333"/>
        <w:spacing w:after="0" w:line="251"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wind down of our manufacturing operations in Colombia and Ecuador.</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14" w:lineRule="exact"/>
        <w:rPr>
          <w:rFonts w:ascii="Times New Roman" w:cs="Times New Roman" w:eastAsia="Times New Roman" w:hAnsi="Times New Roman"/>
          <w:sz w:val="16"/>
          <w:szCs w:val="16"/>
          <w:color w:val="auto"/>
        </w:rPr>
      </w:pPr>
    </w:p>
    <w:p>
      <w:pPr>
        <w:ind w:left="340" w:hanging="333"/>
        <w:spacing w:after="0" w:line="247"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to EPS-diluted-adjusted: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r>
      <w:tr>
        <w:trPr>
          <w:trHeight w:val="188"/>
        </w:trPr>
        <w:tc>
          <w:tcPr>
            <w:tcW w:w="3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5"/>
        </w:trPr>
        <w:tc>
          <w:tcPr>
            <w:tcW w:w="3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Per Share</w:t>
            </w: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from preferred shareholders(c)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the details of each individual adjustment.</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ind w:left="340" w:right="20" w:hanging="333"/>
        <w:spacing w:after="0" w:line="272"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return from the preferred shareholders related to the redemption of Cruise preferred shares from noncontrolling interest holders in the six months ended June 30, 2025.</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to ETR-adjusted: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7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3"/>
                <w:szCs w:val="13"/>
                <w:b w:val="1"/>
                <w:bCs w:val="1"/>
                <w:color w:val="auto"/>
              </w:rPr>
              <w:t>before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8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1"/>
                <w:szCs w:val="11"/>
                <w:color w:val="auto"/>
              </w:rPr>
            </w:pPr>
          </w:p>
        </w:tc>
        <w:tc>
          <w:tcPr>
            <w:tcW w:w="560" w:type="dxa"/>
            <w:vAlign w:val="bottom"/>
          </w:tcPr>
          <w:p>
            <w:pPr>
              <w:jc w:val="center"/>
              <w:ind w:right="66"/>
              <w:spacing w:after="0" w:line="134"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expense</w:t>
            </w:r>
          </w:p>
        </w:tc>
        <w:tc>
          <w:tcPr>
            <w:tcW w:w="84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1"/>
                <w:szCs w:val="11"/>
                <w:color w:val="auto"/>
              </w:rPr>
            </w:pPr>
          </w:p>
        </w:tc>
        <w:tc>
          <w:tcPr>
            <w:tcW w:w="560" w:type="dxa"/>
            <w:vAlign w:val="bottom"/>
          </w:tcPr>
          <w:p>
            <w:pPr>
              <w:jc w:val="center"/>
              <w:ind w:right="66"/>
              <w:spacing w:after="0" w:line="134"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1"/>
                <w:szCs w:val="11"/>
                <w:color w:val="auto"/>
              </w:rPr>
            </w:pPr>
          </w:p>
        </w:tc>
        <w:tc>
          <w:tcPr>
            <w:tcW w:w="800" w:type="dxa"/>
            <w:vAlign w:val="bottom"/>
            <w:gridSpan w:val="3"/>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8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120" w:type="dxa"/>
            <w:vAlign w:val="bottom"/>
          </w:tcPr>
          <w:p>
            <w:pPr>
              <w:spacing w:after="0"/>
              <w:rPr>
                <w:sz w:val="11"/>
                <w:szCs w:val="11"/>
                <w:color w:val="auto"/>
              </w:rPr>
            </w:pPr>
          </w:p>
        </w:tc>
        <w:tc>
          <w:tcPr>
            <w:tcW w:w="560" w:type="dxa"/>
            <w:vAlign w:val="bottom"/>
          </w:tcPr>
          <w:p>
            <w:pPr>
              <w:jc w:val="center"/>
              <w:ind w:right="66"/>
              <w:spacing w:after="0" w:line="134"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1"/>
                <w:szCs w:val="11"/>
                <w:color w:val="auto"/>
              </w:rPr>
            </w:pPr>
          </w:p>
        </w:tc>
        <w:tc>
          <w:tcPr>
            <w:tcW w:w="820" w:type="dxa"/>
            <w:vAlign w:val="bottom"/>
            <w:gridSpan w:val="3"/>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100" w:type="dxa"/>
            <w:vAlign w:val="bottom"/>
          </w:tcPr>
          <w:p>
            <w:pPr>
              <w:spacing w:after="0"/>
              <w:rPr>
                <w:sz w:val="14"/>
                <w:szCs w:val="14"/>
                <w:color w:val="auto"/>
              </w:rPr>
            </w:pPr>
          </w:p>
        </w:tc>
        <w:tc>
          <w:tcPr>
            <w:tcW w:w="7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4"/>
                <w:szCs w:val="14"/>
                <w:color w:val="auto"/>
              </w:rPr>
            </w:pPr>
          </w:p>
        </w:tc>
        <w:tc>
          <w:tcPr>
            <w:tcW w:w="5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1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(benefit)</w:t>
            </w:r>
          </w:p>
        </w:tc>
        <w:tc>
          <w:tcPr>
            <w:tcW w:w="7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6"/>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5,946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$ 1,199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$ 1,529</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2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689</w:t>
            </w:r>
          </w:p>
        </w:tc>
        <w:tc>
          <w:tcPr>
            <w:tcW w:w="76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924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ETR-adjusted</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$ 1,269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9"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440" w:type="dxa"/>
            <w:vAlign w:val="bottom"/>
          </w:tcPr>
          <w:p>
            <w:pPr>
              <w:spacing w:after="0"/>
              <w:rPr>
                <w:sz w:val="16"/>
                <w:szCs w:val="16"/>
                <w:color w:val="auto"/>
              </w:rPr>
            </w:pPr>
          </w:p>
        </w:tc>
      </w:tr>
      <w:tr>
        <w:trPr>
          <w:trHeight w:val="25"/>
        </w:trPr>
        <w:tc>
          <w:tcPr>
            <w:tcW w:w="69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8"/>
        </w:trPr>
        <w:tc>
          <w:tcPr>
            <w:tcW w:w="69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70.4</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7"/>
              </w:rPr>
              <w:t>15.7 %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Four Quarters Ended</w:t>
            </w:r>
          </w:p>
        </w:tc>
        <w:tc>
          <w:tcPr>
            <w:tcW w:w="146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1460" w:type="dxa"/>
            <w:vAlign w:val="bottom"/>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1460" w:type="dxa"/>
            <w:vAlign w:val="bottom"/>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70.4</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146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1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(22.1)</w:t>
            </w:r>
          </w:p>
        </w:tc>
      </w:tr>
      <w:tr>
        <w:trPr>
          <w:trHeight w:val="222"/>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14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65" w:lineRule="auto"/>
        <w:tabs>
          <w:tab w:leader="none" w:pos="25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Act and/or relating to fuel economy, emissions and AVs; (23) costs and risks associated with litigation and government investigations;</w:t>
      </w:r>
    </w:p>
    <w:p>
      <w:pPr>
        <w:spacing w:after="0" w:line="2" w:lineRule="exact"/>
        <w:rPr>
          <w:sz w:val="20"/>
          <w:szCs w:val="20"/>
          <w:color w:val="auto"/>
        </w:rPr>
      </w:pPr>
    </w:p>
    <w:p>
      <w:pPr>
        <w:jc w:val="both"/>
        <w:ind w:firstLine="7"/>
        <w:spacing w:after="0" w:line="252"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A further discussion of these risks, uncertainties and other factors can be found in Part I, Item 1A. Risk Factors of our 2024 Form 10-K, Part II, Item 1A. Risk Factors and our subsequent filings with the SEC.</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2024. For further discussion on market risk, refer to Part II, Item 7A. of our 2024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June 30, 2025 as required by paragraph (b) of Rules 13a-15 or 15d-15. Based on this evaluation, our CEO and CFO concluded that our disclosure controls and procedures were effective as of June 30, 2025.</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June 30, 2025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14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2024 Form 10-K, other than as set forth below in this Item 1A.</w:t>
      </w:r>
    </w:p>
    <w:p>
      <w:pPr>
        <w:spacing w:after="0" w:line="200"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b w:val="1"/>
          <w:bCs w:val="1"/>
          <w:i w:val="1"/>
          <w:iCs w:val="1"/>
          <w:color w:val="212121"/>
        </w:rPr>
        <w:t xml:space="preserve">The U.S. Government has introduced new tariffs applicable to the automotive industry, and signaled additional tariffs may be implemented in August 2025. Such tariffs, and tariffs imposed by other governments, could have a material adverse effect on our financial condition and results of operations. </w:t>
      </w:r>
      <w:r>
        <w:rPr>
          <w:rFonts w:ascii="Times New Roman" w:cs="Times New Roman" w:eastAsia="Times New Roman" w:hAnsi="Times New Roman"/>
          <w:sz w:val="18"/>
          <w:szCs w:val="18"/>
          <w:color w:val="000000"/>
        </w:rPr>
        <w:t>The U.S. Government has introduced new tariffs and tariff-related measures, including tariffs specifically related to the automotive industry, and has indicated that tariff rates may increase or additional tariffs may be introduced in the coming months. The U.S. Government has also identified other potential tariff measures under consideration. In these respects, the U.S. tariff environment remains highly dynamic and the specific tariffs applicable to goods imported by GM and our suppliers into the U.S. continue to evolve. Import tariffs charged by other countries in which GM does business may also change. We believe the tariffs currently in place will have a $4.0 billion to $5.0 billion impact on our 2025 EBIT-adjusted results, but we cannot predict with complete precision the breadth of tariffs and related costs that will ultimately impact GM this year and beyond. As a result, the ultimate impact of tariffs on our business could exceed our current estimates, which could have a material adverse effect on our financial condition, results of operations and cash flows, and our expected financial results. We are taking various actions to mitigate the impact of tariffs including, but not limited to, making changes to our U.S. production plan and reducing or pausing certain imports, but we do not expect such actions to fully offset the impact of tariffs in the near term. We have made and may need to make additional changes to our global production footprint and workforce, which could require significant capital expenditures and could result in asset impairments and other charges, including restructuring charges, any of which could be material. For example, we recently announced plans to increase vehicle and engine production in the U.S. Tariffs could also cause supply chain disruptions globally, potentially resulting in increased production costs and the inability to receive certain critical parts.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June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(b)(c)</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through April 30, 2025</w:t>
            </w: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Final settlement of ASR(b)</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4,890,748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4,890,748</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shares purchased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through May 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through June 30, 2025</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Final settlement of ASR(b)</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5,159,608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5,159,608</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shares purchased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10,193,567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10,050,356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relating to compensation plans. Refer to our 2024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2"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2025, our Board of Directors increased the capacity under our existing share repurchase program by $6.0 billion to an aggregate of $6.3 billion, with no expiration, and approved an ASR program to repurchase an aggregate amount of $2.0 billion of our common stock. In February 2025, pursuant to the ASR Agreements, we advanced the $2.0 billion and received and immediately retired 33 million shares of our common stock worth $1.6 billion (80% of the aggregate purchase price based on a $48.46 per share closing share price of our common stock on February 26, 2025). In the three months ended June 30, 2025, upon the final settlement of the transactions contemplated under the ASR Agreements, we received approximately 10 million additional shares, which were immediately retired. The final number of shares received under the ASR program was based on the average of the daily volume-weighted average prices of our common stock during the term of the ASR Agreements, less a discount pursuant to the terms and conditions of the ASR Agreements.</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36"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2025, the following directors or officers of the Company adopted a "Rule 10b5-1 trading arrangement" or "non-Rule 10b5-1 trading arrangement," as each term is defined in Item 408(a) of Regulation S-K: (1) on May 6, 2025, Rory Harvey, Executive Vice President and President, Global Markets, adopted a trading plan intended to satisfy Rule 10b5-1(c) to sell up to 18,325 shares of GM common stock and the exercise of vested stock options and the associated sale of up to 16,711 shares of GM common stock between August 5, 2025 and February 28, 2026, subject to certain conditions; and (2) on May 29, 2025, Mary Barra, Chair and Chief Executive Officer, adopted a trading plan intended to satisfy Rule 10b5-1(c) to sell up to 500,000 shares of GM common stock and the exercise of vested stock options and the associated sale of up to 1,214,048 shares of GM common stock between August 28, 2025 and May 30, 2026, subject to certain conditions.</w:t>
      </w: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20" w:type="dxa"/>
            <w:vAlign w:val="bottom"/>
            <w:gridSpan w:val="12"/>
          </w:tcPr>
          <w:p>
            <w:pPr>
              <w:ind w:left="10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20" w:type="dxa"/>
            <w:vAlign w:val="bottom"/>
            <w:gridSpan w:val="12"/>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8140" w:type="dxa"/>
            <w:vAlign w:val="bottom"/>
            <w:tcBorders>
              <w:top w:val="single" w:sz="8" w:color="auto"/>
            </w:tcBorders>
            <w:gridSpan w:val="14"/>
            <w:shd w:val="clear" w:color="auto" w:fill="CCEEFF"/>
          </w:tcPr>
          <w:p>
            <w:pPr>
              <w:ind w:left="20"/>
              <w:spacing w:after="0" w:line="168"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Certificate of Incorporation of General Motors Company dated June 3, 2025,</w:t>
              </w:r>
            </w:hyperlink>
          </w:p>
        </w:tc>
        <w:tc>
          <w:tcPr>
            <w:tcW w:w="1600" w:type="dxa"/>
            <w:vAlign w:val="bottom"/>
            <w:tcBorders>
              <w:top w:val="single" w:sz="8" w:color="CCEEFF"/>
            </w:tcBorders>
            <w:shd w:val="clear" w:color="auto" w:fill="CCEEFF"/>
          </w:tcPr>
          <w:p>
            <w:pPr>
              <w:ind w:left="8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9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0" w:type="dxa"/>
            <w:vAlign w:val="bottom"/>
            <w:vMerge w:val="restart"/>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0" w:type="dxa"/>
            <w:vAlign w:val="bottom"/>
            <w:gridSpan w:val="5"/>
            <w:shd w:val="clear" w:color="auto" w:fill="CCEEFF"/>
          </w:tcPr>
          <w:p>
            <w:pPr>
              <w:ind w:left="20"/>
              <w:spacing w:after="0" w:line="161"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incorporated by reference to Exhibit 3.1 to the Current Report on Form 8-K of General Motors</w:t>
              </w:r>
            </w:hyperlink>
          </w:p>
        </w:tc>
        <w:tc>
          <w:tcPr>
            <w:tcW w:w="1140" w:type="dxa"/>
            <w:vAlign w:val="bottom"/>
            <w:gridSpan w:val="9"/>
            <w:shd w:val="clear" w:color="auto" w:fill="CCEEFF"/>
          </w:tcPr>
          <w:p>
            <w:pPr>
              <w:spacing w:after="0" w:line="161"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 filed</w:t>
              </w:r>
            </w:hyperlink>
          </w:p>
        </w:tc>
        <w:tc>
          <w:tcPr>
            <w:tcW w:w="1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0000FF"/>
              <w:bottom w:val="single" w:sz="8" w:color="0000FF"/>
            </w:tcBorders>
            <w:gridSpan w:val="2"/>
            <w:shd w:val="clear" w:color="auto" w:fill="CCEEFF"/>
          </w:tcPr>
          <w:p>
            <w:pPr>
              <w:ind w:left="20"/>
              <w:spacing w:after="0" w:line="154"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 xml:space="preserve">June 5, </w:t>
              </w:r>
            </w:hyperlink>
            <w:r>
              <w:rPr>
                <w:rFonts w:ascii="Times New Roman" w:cs="Times New Roman" w:eastAsia="Times New Roman" w:hAnsi="Times New Roman"/>
                <w:sz w:val="17"/>
                <w:szCs w:val="17"/>
                <w:color w:val="0000FF"/>
              </w:rPr>
              <w:t>2025</w:t>
            </w:r>
          </w:p>
        </w:tc>
        <w:tc>
          <w:tcPr>
            <w:tcW w:w="698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140" w:type="dxa"/>
            <w:vAlign w:val="bottom"/>
            <w:gridSpan w:val="14"/>
          </w:tcPr>
          <w:p>
            <w:pPr>
              <w:ind w:left="20"/>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General Motors Company Amended and Restated Bylaws, as amended October 4, 2024, incorporated by</w:t>
              </w:r>
            </w:hyperlink>
          </w:p>
        </w:tc>
        <w:tc>
          <w:tcPr>
            <w:tcW w:w="16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00" w:type="dxa"/>
            <w:vAlign w:val="bottom"/>
            <w:tcBorders>
              <w:top w:val="single" w:sz="8" w:color="0000FF"/>
            </w:tcBorders>
            <w:gridSpan w:val="12"/>
          </w:tcPr>
          <w:p>
            <w:pPr>
              <w:ind w:left="20"/>
              <w:spacing w:after="0" w:line="154"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reference to Exhibit 3.1 to the Current Report on Form 8-K of General Motors Company filed October 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ind w:left="8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9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6"/>
                <w:szCs w:val="16"/>
                <w:color w:val="auto"/>
              </w:rPr>
            </w:pPr>
          </w:p>
        </w:tc>
        <w:tc>
          <w:tcPr>
            <w:tcW w:w="8140" w:type="dxa"/>
            <w:vAlign w:val="bottom"/>
            <w:gridSpan w:val="14"/>
            <w:shd w:val="clear" w:color="auto" w:fill="CCEEFF"/>
          </w:tcPr>
          <w:p>
            <w:pPr>
              <w:ind w:left="20"/>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Eighth Supplemental Indenture, dated as of May 7, 2025, to the Indenture, dated as of September 27, 2013,</w:t>
              </w:r>
            </w:hyperlink>
          </w:p>
        </w:tc>
        <w:tc>
          <w:tcPr>
            <w:tcW w:w="160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120" w:type="dxa"/>
            <w:vAlign w:val="bottom"/>
            <w:tcBorders>
              <w:top w:val="single" w:sz="8" w:color="0000FF"/>
            </w:tcBorders>
            <w:gridSpan w:val="13"/>
            <w:shd w:val="clear" w:color="auto" w:fill="CCEEFF"/>
          </w:tcPr>
          <w:p>
            <w:pPr>
              <w:ind w:left="20"/>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between General Motors Company, as issuer, and The Bank of New York Mellon, as Trustee, incorporated by</w:t>
              </w:r>
            </w:hyperlink>
          </w:p>
        </w:tc>
        <w:tc>
          <w:tcPr>
            <w:tcW w:w="2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CCEEFF"/>
            </w:tcBorders>
            <w:shd w:val="clear" w:color="auto" w:fill="CCEEFF"/>
          </w:tcPr>
          <w:p>
            <w:pPr>
              <w:ind w:left="8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60" w:type="dxa"/>
            <w:vAlign w:val="bottom"/>
            <w:tcBorders>
              <w:top w:val="single" w:sz="8" w:color="0000FF"/>
            </w:tcBorders>
            <w:gridSpan w:val="10"/>
            <w:shd w:val="clear" w:color="auto" w:fill="CCEEFF"/>
          </w:tcPr>
          <w:p>
            <w:pPr>
              <w:ind w:left="20"/>
              <w:spacing w:after="0" w:line="154"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reference to Exhibit 4.3 to the Current Report on Form 8-K of General Motors Company filed May 7, 2025</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16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6"/>
                <w:szCs w:val="16"/>
                <w:color w:val="auto"/>
              </w:rPr>
            </w:pPr>
          </w:p>
        </w:tc>
        <w:tc>
          <w:tcPr>
            <w:tcW w:w="7680" w:type="dxa"/>
            <w:vAlign w:val="bottom"/>
            <w:tcBorders>
              <w:top w:val="single" w:sz="8" w:color="0000FF"/>
            </w:tcBorders>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460" w:type="dxa"/>
            <w:vAlign w:val="bottom"/>
            <w:tcBorders>
              <w:top w:val="single" w:sz="8" w:color="CCEEFF"/>
            </w:tcBorders>
            <w:gridSpan w:val="7"/>
          </w:tcPr>
          <w:p>
            <w:pPr>
              <w:spacing w:after="0"/>
              <w:rPr>
                <w:sz w:val="16"/>
                <w:szCs w:val="16"/>
                <w:color w:val="auto"/>
              </w:rPr>
            </w:pPr>
          </w:p>
        </w:tc>
        <w:tc>
          <w:tcPr>
            <w:tcW w:w="1600" w:type="dxa"/>
            <w:vAlign w:val="bottom"/>
            <w:tcBorders>
              <w:top w:val="single" w:sz="8" w:color="CCEEFF"/>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814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60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140" w:type="dxa"/>
            <w:vAlign w:val="bottom"/>
            <w:gridSpan w:val="14"/>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6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80" w:type="dxa"/>
            <w:vAlign w:val="bottom"/>
            <w:tcBorders>
              <w:top w:val="single" w:sz="8" w:color="0000FF"/>
            </w:tcBorders>
            <w:gridSpan w:val="11"/>
          </w:tcPr>
          <w:p>
            <w:pPr>
              <w:ind w:left="20"/>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60" w:type="dxa"/>
            <w:vAlign w:val="bottom"/>
            <w:gridSpan w:val="3"/>
          </w:tcPr>
          <w:p>
            <w:pPr>
              <w:spacing w:after="0"/>
              <w:rPr>
                <w:sz w:val="13"/>
                <w:szCs w:val="13"/>
                <w:color w:val="auto"/>
              </w:rPr>
            </w:pPr>
          </w:p>
        </w:tc>
        <w:tc>
          <w:tcPr>
            <w:tcW w:w="1600" w:type="dxa"/>
            <w:vAlign w:val="bottom"/>
          </w:tcPr>
          <w:p>
            <w:pPr>
              <w:ind w:left="8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814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three months</w:t>
            </w:r>
          </w:p>
        </w:tc>
        <w:tc>
          <w:tcPr>
            <w:tcW w:w="160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14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ended June 30, 2025, formatted in Inline Extensible Business Reporting Language (Inline XBRL) includes:</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140" w:type="dxa"/>
            <w:vAlign w:val="bottom"/>
            <w:gridSpan w:val="14"/>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  the  Condensed  Consolidated  Income  Statements,  (ii)  the  Condensed  Consolidated  Statements  of</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140" w:type="dxa"/>
            <w:vAlign w:val="bottom"/>
            <w:gridSpan w:val="14"/>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Comprehensive Income, (iii) the Condensed Consolidated Balance Sheets, (iv) the Condensed Consolidated</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140" w:type="dxa"/>
            <w:vAlign w:val="bottom"/>
            <w:gridSpan w:val="14"/>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Statements of Cash Flows, (v) the Condensed Consolidated Statements of Equity and (vi) Notes to the</w:t>
            </w: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140" w:type="dxa"/>
            <w:vAlign w:val="bottom"/>
            <w:gridSpan w:val="1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8140" w:type="dxa"/>
            <w:vAlign w:val="bottom"/>
            <w:gridSpan w:val="14"/>
          </w:tcPr>
          <w:p>
            <w:pPr>
              <w:ind w:left="20"/>
              <w:spacing w:after="0" w:line="190"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three months ended June 30, 2025,</w:t>
            </w:r>
          </w:p>
        </w:tc>
        <w:tc>
          <w:tcPr>
            <w:tcW w:w="1600" w:type="dxa"/>
            <w:vAlign w:val="bottom"/>
          </w:tcPr>
          <w:p>
            <w:pPr>
              <w:ind w:left="80"/>
              <w:spacing w:after="0" w:line="190"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ind w:left="1500"/>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22,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22, 2025</w:t>
      </w:r>
    </w:p>
    <w:p>
      <w:pPr>
        <w:sectPr>
          <w:pgSz w:w="11900" w:h="16838" w:orient="portrait"/>
          <w:cols w:equalWidth="0" w:num="1">
            <w:col w:w="11240"/>
          </w:cols>
          <w:pgMar w:left="320" w:top="35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22, 2025</w:t>
      </w:r>
    </w:p>
    <w:p>
      <w:pPr>
        <w:sectPr>
          <w:pgSz w:w="11900" w:h="16838" w:orient="portrait"/>
          <w:cols w:equalWidth="0" w:num="1">
            <w:col w:w="11240"/>
          </w:cols>
          <w:pgMar w:left="320" w:top="35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June 30, 2025 as filed with the Securities and Exchange Commission on the date hereof (the “Report”), each of the undersigned officers of the Company, certify, pursuant to 18 U.S.C.</w:t>
      </w:r>
    </w:p>
    <w:p>
      <w:pPr>
        <w:ind w:left="140" w:hanging="133"/>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such officer's knowledge:</w:t>
      </w:r>
    </w:p>
    <w:p>
      <w:pPr>
        <w:spacing w:after="0" w:line="231"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22, 2025</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24"/>
    </w:lvl>
  </w:abstractNum>
  <w:abstractNum w:abstractNumId="30">
    <w:nsid w:val="22221A70"/>
    <w:multiLevelType w:val="hybridMultilevel"/>
    <w:lvl w:ilvl="0">
      <w:lvlJc w:val="left"/>
      <w:lvlText w:val="(%1)"/>
      <w:numFmt w:val="lowerLetter"/>
      <w:start w:val="1"/>
    </w:lvl>
    <w:lvl w:ilvl="1">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79" Type="http://schemas.openxmlformats.org/officeDocument/2006/relationships/hyperlink" Target="https://www.sec.gov/Archives/edgar/data/1467858/000146785825000112/amendedandrestatedcharter.htm" TargetMode="External"/><Relationship Id="rId80" Type="http://schemas.openxmlformats.org/officeDocument/2006/relationships/hyperlink" Target="https://www.sec.gov/Archives/edgar/data/1467858/000119312524235250/d895658dex31.htm" TargetMode="External"/><Relationship Id="rId81" Type="http://schemas.openxmlformats.org/officeDocument/2006/relationships/hyperlink" Target="https://www.sec.gov/Archives/edgar/data/1467858/000119312525114935/d932240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2025-07-22T15:24:07Z</dcterms:created>
  <dcterms:modified xsi:type="dcterms:W3CDTF">2025-07-22T15:24:07Z</dcterms:modified>
</cp:coreProperties>
</file>